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gents.md"/>
    <w:p>
      <w:pPr>
        <w:pStyle w:val="Heading1"/>
      </w:pPr>
      <w:r>
        <w:t xml:space="preserve">AGENTS.md</w:t>
      </w:r>
    </w:p>
    <w:bookmarkStart w:id="9" w:name="project-purpose"/>
    <w:p>
      <w:pPr>
        <w:pStyle w:val="Heading2"/>
      </w:pPr>
      <w:r>
        <w:t xml:space="preserve">Project purpose</w:t>
      </w:r>
    </w:p>
    <w:p>
      <w:pPr>
        <w:pStyle w:val="FirstParagraph"/>
      </w:pPr>
      <w:r>
        <w:t xml:space="preserve">Build an AI-assisted system that detects public stock-market news, identifies affected securities, classifies the event, estimates the likely market reaction, and delivers an explainable alert.</w:t>
      </w:r>
    </w:p>
    <w:p>
      <w:pPr>
        <w:pStyle w:val="BodyText"/>
      </w:pPr>
      <w:r>
        <w:t xml:space="preserve">The initial product is an analytical system. It must not automatically send broker orders.</w:t>
      </w:r>
    </w:p>
    <w:bookmarkEnd w:id="9"/>
    <w:bookmarkStart w:id="10" w:name="current-mvp-scope"/>
    <w:p>
      <w:pPr>
        <w:pStyle w:val="Heading2"/>
      </w:pPr>
      <w:r>
        <w:t xml:space="preserve">Current MVP scope</w:t>
      </w:r>
    </w:p>
    <w:p>
      <w:pPr>
        <w:pStyle w:val="FirstParagraph"/>
      </w:pPr>
      <w:r>
        <w:t xml:space="preserve">The MVP must:</w:t>
      </w:r>
    </w:p>
    <w:p>
      <w:pPr>
        <w:pStyle w:val="Compact"/>
        <w:numPr>
          <w:ilvl w:val="0"/>
          <w:numId w:val="1001"/>
        </w:numPr>
      </w:pPr>
      <w:r>
        <w:t xml:space="preserve">receive public news and corporate disclosures;</w:t>
      </w:r>
    </w:p>
    <w:p>
      <w:pPr>
        <w:pStyle w:val="Compact"/>
        <w:numPr>
          <w:ilvl w:val="0"/>
          <w:numId w:val="1001"/>
        </w:numPr>
      </w:pPr>
      <w:r>
        <w:t xml:space="preserve">preserve the original source, URL, publication time, and receipt time;</w:t>
      </w:r>
    </w:p>
    <w:p>
      <w:pPr>
        <w:pStyle w:val="Compact"/>
        <w:numPr>
          <w:ilvl w:val="0"/>
          <w:numId w:val="1001"/>
        </w:numPr>
      </w:pPr>
      <w:r>
        <w:t xml:space="preserve">deduplicate repeated publications;</w:t>
      </w:r>
    </w:p>
    <w:p>
      <w:pPr>
        <w:pStyle w:val="Compact"/>
        <w:numPr>
          <w:ilvl w:val="0"/>
          <w:numId w:val="1001"/>
        </w:numPr>
      </w:pPr>
      <w:r>
        <w:t xml:space="preserve">identify the issuer and ticker;</w:t>
      </w:r>
    </w:p>
    <w:p>
      <w:pPr>
        <w:pStyle w:val="Compact"/>
        <w:numPr>
          <w:ilvl w:val="0"/>
          <w:numId w:val="1001"/>
        </w:numPr>
      </w:pPr>
      <w:r>
        <w:t xml:space="preserve">classify the event type;</w:t>
      </w:r>
    </w:p>
    <w:p>
      <w:pPr>
        <w:pStyle w:val="Compact"/>
        <w:numPr>
          <w:ilvl w:val="0"/>
          <w:numId w:val="1001"/>
        </w:numPr>
      </w:pPr>
      <w:r>
        <w:t xml:space="preserve">extract important facts, dates, currencies, percentages, and financial values;</w:t>
      </w:r>
    </w:p>
    <w:p>
      <w:pPr>
        <w:pStyle w:val="Compact"/>
        <w:numPr>
          <w:ilvl w:val="0"/>
          <w:numId w:val="1001"/>
        </w:numPr>
      </w:pPr>
      <w:r>
        <w:t xml:space="preserve">estimate positive, neutral, negative, or uncertain impact;</w:t>
      </w:r>
    </w:p>
    <w:p>
      <w:pPr>
        <w:pStyle w:val="Compact"/>
        <w:numPr>
          <w:ilvl w:val="0"/>
          <w:numId w:val="1001"/>
        </w:numPr>
      </w:pPr>
      <w:r>
        <w:t xml:space="preserve">compare the prediction with subsequent market movement;</w:t>
      </w:r>
    </w:p>
    <w:p>
      <w:pPr>
        <w:pStyle w:val="Compact"/>
        <w:numPr>
          <w:ilvl w:val="0"/>
          <w:numId w:val="1001"/>
        </w:numPr>
      </w:pPr>
      <w:r>
        <w:t xml:space="preserve">store every prediction for later evaluation;</w:t>
      </w:r>
    </w:p>
    <w:p>
      <w:pPr>
        <w:pStyle w:val="Compact"/>
        <w:numPr>
          <w:ilvl w:val="0"/>
          <w:numId w:val="1001"/>
        </w:numPr>
      </w:pPr>
      <w:r>
        <w:t xml:space="preserve">expose results through an API;</w:t>
      </w:r>
    </w:p>
    <w:p>
      <w:pPr>
        <w:pStyle w:val="Compact"/>
        <w:numPr>
          <w:ilvl w:val="0"/>
          <w:numId w:val="1001"/>
        </w:numPr>
      </w:pPr>
      <w:r>
        <w:t xml:space="preserve">send optional Telegram notifications.</w:t>
      </w:r>
    </w:p>
    <w:p>
      <w:pPr>
        <w:pStyle w:val="FirstParagraph"/>
      </w:pPr>
      <w:r>
        <w:t xml:space="preserve">The MVP must not:</w:t>
      </w:r>
    </w:p>
    <w:p>
      <w:pPr>
        <w:pStyle w:val="Compact"/>
        <w:numPr>
          <w:ilvl w:val="0"/>
          <w:numId w:val="1002"/>
        </w:numPr>
      </w:pPr>
      <w:r>
        <w:t xml:space="preserve">execute trades;</w:t>
      </w:r>
    </w:p>
    <w:p>
      <w:pPr>
        <w:pStyle w:val="Compact"/>
        <w:numPr>
          <w:ilvl w:val="0"/>
          <w:numId w:val="1002"/>
        </w:numPr>
      </w:pPr>
      <w:r>
        <w:t xml:space="preserve">connect to a production brokerage account;</w:t>
      </w:r>
    </w:p>
    <w:p>
      <w:pPr>
        <w:pStyle w:val="Compact"/>
        <w:numPr>
          <w:ilvl w:val="0"/>
          <w:numId w:val="1002"/>
        </w:numPr>
      </w:pPr>
      <w:r>
        <w:t xml:space="preserve">promise a specific future price;</w:t>
      </w:r>
    </w:p>
    <w:p>
      <w:pPr>
        <w:pStyle w:val="Compact"/>
        <w:numPr>
          <w:ilvl w:val="0"/>
          <w:numId w:val="1002"/>
        </w:numPr>
      </w:pPr>
      <w:r>
        <w:t xml:space="preserve">treat model-generated explanations as verified facts;</w:t>
      </w:r>
    </w:p>
    <w:p>
      <w:pPr>
        <w:pStyle w:val="Compact"/>
        <w:numPr>
          <w:ilvl w:val="0"/>
          <w:numId w:val="1002"/>
        </w:numPr>
      </w:pPr>
      <w:r>
        <w:t xml:space="preserve">use non-public or unlawfully obtained information.</w:t>
      </w:r>
    </w:p>
    <w:bookmarkEnd w:id="10"/>
    <w:bookmarkStart w:id="11" w:name="architecture-principles"/>
    <w:p>
      <w:pPr>
        <w:pStyle w:val="Heading2"/>
      </w:pPr>
      <w:r>
        <w:t xml:space="preserve">Architecture principles</w:t>
      </w:r>
    </w:p>
    <w:p>
      <w:pPr>
        <w:pStyle w:val="FirstParagraph"/>
      </w:pPr>
      <w:r>
        <w:t xml:space="preserve">Use a modular monolith with separate worker processes.</w:t>
      </w:r>
    </w:p>
    <w:p>
      <w:pPr>
        <w:pStyle w:val="BodyText"/>
      </w:pPr>
      <w:r>
        <w:t xml:space="preserve">Initial components:</w:t>
      </w:r>
    </w:p>
    <w:p>
      <w:pPr>
        <w:pStyle w:val="Compact"/>
        <w:numPr>
          <w:ilvl w:val="0"/>
          <w:numId w:val="1003"/>
        </w:numPr>
      </w:pPr>
      <w:r>
        <w:t xml:space="preserve">API service;</w:t>
      </w:r>
    </w:p>
    <w:p>
      <w:pPr>
        <w:pStyle w:val="Compact"/>
        <w:numPr>
          <w:ilvl w:val="0"/>
          <w:numId w:val="1003"/>
        </w:numPr>
      </w:pPr>
      <w:r>
        <w:t xml:space="preserve">news ingestion worker;</w:t>
      </w:r>
    </w:p>
    <w:p>
      <w:pPr>
        <w:pStyle w:val="Compact"/>
        <w:numPr>
          <w:ilvl w:val="0"/>
          <w:numId w:val="1003"/>
        </w:numPr>
      </w:pPr>
      <w:r>
        <w:t xml:space="preserve">event extraction worker;</w:t>
      </w:r>
    </w:p>
    <w:p>
      <w:pPr>
        <w:pStyle w:val="Compact"/>
        <w:numPr>
          <w:ilvl w:val="0"/>
          <w:numId w:val="1003"/>
        </w:numPr>
      </w:pPr>
      <w:r>
        <w:t xml:space="preserve">prediction worker;</w:t>
      </w:r>
    </w:p>
    <w:p>
      <w:pPr>
        <w:pStyle w:val="Compact"/>
        <w:numPr>
          <w:ilvl w:val="0"/>
          <w:numId w:val="1003"/>
        </w:numPr>
      </w:pPr>
      <w:r>
        <w:t xml:space="preserve">market-data ingestion worker;</w:t>
      </w:r>
    </w:p>
    <w:p>
      <w:pPr>
        <w:pStyle w:val="Compact"/>
        <w:numPr>
          <w:ilvl w:val="0"/>
          <w:numId w:val="1003"/>
        </w:numPr>
      </w:pPr>
      <w:r>
        <w:t xml:space="preserve">alert worker;</w:t>
      </w:r>
    </w:p>
    <w:p>
      <w:pPr>
        <w:pStyle w:val="Compact"/>
        <w:numPr>
          <w:ilvl w:val="0"/>
          <w:numId w:val="1003"/>
        </w:numPr>
      </w:pPr>
      <w:r>
        <w:t xml:space="preserve">PostgreSQL;</w:t>
      </w:r>
    </w:p>
    <w:p>
      <w:pPr>
        <w:pStyle w:val="Compact"/>
        <w:numPr>
          <w:ilvl w:val="0"/>
          <w:numId w:val="1003"/>
        </w:numPr>
      </w:pPr>
      <w:r>
        <w:t xml:space="preserve">Redis;</w:t>
      </w:r>
    </w:p>
    <w:p>
      <w:pPr>
        <w:pStyle w:val="Compact"/>
        <w:numPr>
          <w:ilvl w:val="0"/>
          <w:numId w:val="1003"/>
        </w:numPr>
      </w:pPr>
      <w:r>
        <w:t xml:space="preserve">object storage for raw documents.</w:t>
      </w:r>
    </w:p>
    <w:p>
      <w:pPr>
        <w:pStyle w:val="FirstParagraph"/>
      </w:pPr>
      <w:r>
        <w:t xml:space="preserve">Do not create microservices unless independent deployment or scaling is already required.</w:t>
      </w:r>
    </w:p>
    <w:bookmarkEnd w:id="11"/>
    <w:bookmarkStart w:id="12" w:name="repository-layout"/>
    <w:p>
      <w:pPr>
        <w:pStyle w:val="Heading2"/>
      </w:pPr>
      <w:r>
        <w:t xml:space="preserve">Repository layout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apps/api</w:t>
      </w:r>
      <w:r>
        <w:t xml:space="preserve"> </w:t>
      </w:r>
      <w:r>
        <w:t xml:space="preserve">— HTTP API;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apps/workers</w:t>
      </w:r>
      <w:r>
        <w:t xml:space="preserve"> </w:t>
      </w:r>
      <w:r>
        <w:t xml:space="preserve">— background workers;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src/domain</w:t>
      </w:r>
      <w:r>
        <w:t xml:space="preserve"> </w:t>
      </w:r>
      <w:r>
        <w:t xml:space="preserve">— domain entities and business rules;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src/ingestion</w:t>
      </w:r>
      <w:r>
        <w:t xml:space="preserve"> </w:t>
      </w:r>
      <w:r>
        <w:t xml:space="preserve">— source connectors;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src/events</w:t>
      </w:r>
      <w:r>
        <w:t xml:space="preserve"> </w:t>
      </w:r>
      <w:r>
        <w:t xml:space="preserve">— classification and extraction;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src/prediction</w:t>
      </w:r>
      <w:r>
        <w:t xml:space="preserve"> </w:t>
      </w:r>
      <w:r>
        <w:t xml:space="preserve">— prediction interfaces and models;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src/market_data</w:t>
      </w:r>
      <w:r>
        <w:t xml:space="preserve"> </w:t>
      </w:r>
      <w:r>
        <w:t xml:space="preserve">— prices and market context;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src/alerts</w:t>
      </w:r>
      <w:r>
        <w:t xml:space="preserve"> </w:t>
      </w:r>
      <w:r>
        <w:t xml:space="preserve">— notification delivery;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src/storage</w:t>
      </w:r>
      <w:r>
        <w:t xml:space="preserve"> </w:t>
      </w:r>
      <w:r>
        <w:t xml:space="preserve">— database and object storage;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</w:t>
      </w:r>
      <w:r>
        <w:t xml:space="preserve"> </w:t>
      </w:r>
      <w:r>
        <w:t xml:space="preserve">— automated tests;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</w:t>
      </w:r>
      <w:r>
        <w:t xml:space="preserve"> </w:t>
      </w:r>
      <w:r>
        <w:t xml:space="preserve">— architecture and decisions;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infra</w:t>
      </w:r>
      <w:r>
        <w:t xml:space="preserve"> </w:t>
      </w:r>
      <w:r>
        <w:t xml:space="preserve">— Docker and deployment configuration.</w:t>
      </w:r>
    </w:p>
    <w:bookmarkEnd w:id="12"/>
    <w:bookmarkStart w:id="13" w:name="mandatory-data-fields"/>
    <w:p>
      <w:pPr>
        <w:pStyle w:val="Heading2"/>
      </w:pPr>
      <w:r>
        <w:t xml:space="preserve">Mandatory data fields</w:t>
      </w:r>
    </w:p>
    <w:p>
      <w:pPr>
        <w:pStyle w:val="FirstParagraph"/>
      </w:pPr>
      <w:r>
        <w:t xml:space="preserve">Every ingested news item must preserve: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source_id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source_name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source_url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published_at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received_at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raw_content_hash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raw_content_location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language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ingestion_version</w:t>
      </w:r>
      <w:r>
        <w:t xml:space="preserve">.</w:t>
      </w:r>
    </w:p>
    <w:p>
      <w:pPr>
        <w:pStyle w:val="FirstParagraph"/>
      </w:pPr>
      <w:r>
        <w:t xml:space="preserve">Every prediction must preserve: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prediction_id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news_id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model_name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model_version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created_at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affected_instruments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event_type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direction_probabilities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expected_horizon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confidence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reason_codes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input_data_version</w:t>
      </w:r>
      <w:r>
        <w:t xml:space="preserve">.</w:t>
      </w:r>
    </w:p>
    <w:bookmarkEnd w:id="13"/>
    <w:bookmarkStart w:id="14" w:name="financial-and-research-safety"/>
    <w:p>
      <w:pPr>
        <w:pStyle w:val="Heading2"/>
      </w:pPr>
      <w:r>
        <w:t xml:space="preserve">Financial and research safety</w:t>
      </w:r>
    </w:p>
    <w:p>
      <w:pPr>
        <w:pStyle w:val="Compact"/>
        <w:numPr>
          <w:ilvl w:val="0"/>
          <w:numId w:val="1007"/>
        </w:numPr>
      </w:pPr>
      <w:r>
        <w:t xml:space="preserve">Never send a real broker order.</w:t>
      </w:r>
    </w:p>
    <w:p>
      <w:pPr>
        <w:pStyle w:val="Compact"/>
        <w:numPr>
          <w:ilvl w:val="0"/>
          <w:numId w:val="1007"/>
        </w:numPr>
      </w:pPr>
      <w:r>
        <w:t xml:space="preserve">Never create code that silently enables live trading.</w:t>
      </w:r>
    </w:p>
    <w:p>
      <w:pPr>
        <w:pStyle w:val="Compact"/>
        <w:numPr>
          <w:ilvl w:val="0"/>
          <w:numId w:val="1007"/>
        </w:numPr>
      </w:pPr>
      <w:r>
        <w:t xml:space="preserve">Never store credentials in source files.</w:t>
      </w:r>
    </w:p>
    <w:p>
      <w:pPr>
        <w:pStyle w:val="Compact"/>
        <w:numPr>
          <w:ilvl w:val="0"/>
          <w:numId w:val="1007"/>
        </w:numPr>
      </w:pPr>
      <w:r>
        <w:t xml:space="preserve">Never log API keys or access tokens.</w:t>
      </w:r>
    </w:p>
    <w:p>
      <w:pPr>
        <w:pStyle w:val="Compact"/>
        <w:numPr>
          <w:ilvl w:val="0"/>
          <w:numId w:val="1007"/>
        </w:numPr>
      </w:pPr>
      <w:r>
        <w:t xml:space="preserve">Never invent missing financial values.</w:t>
      </w:r>
    </w:p>
    <w:p>
      <w:pPr>
        <w:pStyle w:val="Compact"/>
        <w:numPr>
          <w:ilvl w:val="0"/>
          <w:numId w:val="1007"/>
        </w:numPr>
      </w:pPr>
      <w:r>
        <w:t xml:space="preserve">Represent missing data explicitly.</w:t>
      </w:r>
    </w:p>
    <w:p>
      <w:pPr>
        <w:pStyle w:val="Compact"/>
        <w:numPr>
          <w:ilvl w:val="0"/>
          <w:numId w:val="1007"/>
        </w:numPr>
      </w:pPr>
      <w:r>
        <w:t xml:space="preserve">Preserve timestamps with timezone information.</w:t>
      </w:r>
    </w:p>
    <w:p>
      <w:pPr>
        <w:pStyle w:val="Compact"/>
        <w:numPr>
          <w:ilvl w:val="0"/>
          <w:numId w:val="1007"/>
        </w:numPr>
      </w:pPr>
      <w:r>
        <w:t xml:space="preserve">Use UTC for internal storage.</w:t>
      </w:r>
    </w:p>
    <w:p>
      <w:pPr>
        <w:pStyle w:val="Compact"/>
        <w:numPr>
          <w:ilvl w:val="0"/>
          <w:numId w:val="1007"/>
        </w:numPr>
      </w:pPr>
      <w:r>
        <w:t xml:space="preserve">Preserve both publication time and system receipt time.</w:t>
      </w:r>
    </w:p>
    <w:p>
      <w:pPr>
        <w:pStyle w:val="Compact"/>
        <w:numPr>
          <w:ilvl w:val="0"/>
          <w:numId w:val="1007"/>
        </w:numPr>
      </w:pPr>
      <w:r>
        <w:t xml:space="preserve">Avoid look-ahead bias in all historical evaluations.</w:t>
      </w:r>
    </w:p>
    <w:p>
      <w:pPr>
        <w:pStyle w:val="Compact"/>
        <w:numPr>
          <w:ilvl w:val="0"/>
          <w:numId w:val="1007"/>
        </w:numPr>
      </w:pPr>
      <w:r>
        <w:t xml:space="preserve">Never use data published after the prediction timestamp.</w:t>
      </w:r>
    </w:p>
    <w:p>
      <w:pPr>
        <w:pStyle w:val="Compact"/>
        <w:numPr>
          <w:ilvl w:val="0"/>
          <w:numId w:val="1007"/>
        </w:numPr>
      </w:pPr>
      <w:r>
        <w:t xml:space="preserve">Account for spread, commissions, and slippage when evaluating a signal.</w:t>
      </w:r>
    </w:p>
    <w:p>
      <w:pPr>
        <w:pStyle w:val="Compact"/>
        <w:numPr>
          <w:ilvl w:val="0"/>
          <w:numId w:val="1007"/>
        </w:numPr>
      </w:pPr>
      <w:r>
        <w:t xml:space="preserve">Clearly distinguish facts, extracted values, model estimates, and explanations.</w:t>
      </w:r>
    </w:p>
    <w:bookmarkEnd w:id="14"/>
    <w:bookmarkStart w:id="15" w:name="coding-rules"/>
    <w:p>
      <w:pPr>
        <w:pStyle w:val="Heading2"/>
      </w:pPr>
      <w:r>
        <w:t xml:space="preserve">Coding rules</w:t>
      </w:r>
    </w:p>
    <w:p>
      <w:pPr>
        <w:pStyle w:val="Compact"/>
        <w:numPr>
          <w:ilvl w:val="0"/>
          <w:numId w:val="1008"/>
        </w:numPr>
      </w:pPr>
      <w:r>
        <w:t xml:space="preserve">Use Python type annotations.</w:t>
      </w:r>
    </w:p>
    <w:p>
      <w:pPr>
        <w:pStyle w:val="Compact"/>
        <w:numPr>
          <w:ilvl w:val="0"/>
          <w:numId w:val="1008"/>
        </w:numPr>
      </w:pPr>
      <w:r>
        <w:t xml:space="preserve">Use Pydantic models at system boundaries.</w:t>
      </w:r>
    </w:p>
    <w:p>
      <w:pPr>
        <w:pStyle w:val="Compact"/>
        <w:numPr>
          <w:ilvl w:val="0"/>
          <w:numId w:val="1008"/>
        </w:numPr>
      </w:pPr>
      <w:r>
        <w:t xml:space="preserve">Keep domain logic independent from FastAPI and database frameworks.</w:t>
      </w:r>
    </w:p>
    <w:p>
      <w:pPr>
        <w:pStyle w:val="Compact"/>
        <w:numPr>
          <w:ilvl w:val="0"/>
          <w:numId w:val="1008"/>
        </w:numPr>
      </w:pPr>
      <w:r>
        <w:t xml:space="preserve">Prefer small, testable functions.</w:t>
      </w:r>
    </w:p>
    <w:p>
      <w:pPr>
        <w:pStyle w:val="Compact"/>
        <w:numPr>
          <w:ilvl w:val="0"/>
          <w:numId w:val="1008"/>
        </w:numPr>
      </w:pPr>
      <w:r>
        <w:t xml:space="preserve">Use structured logging.</w:t>
      </w:r>
    </w:p>
    <w:p>
      <w:pPr>
        <w:pStyle w:val="Compact"/>
        <w:numPr>
          <w:ilvl w:val="0"/>
          <w:numId w:val="1008"/>
        </w:numPr>
      </w:pPr>
      <w:r>
        <w:t xml:space="preserve">Use timezone-aware datetimes.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for monetary values where exact arithmetic is required.</w:t>
      </w:r>
    </w:p>
    <w:p>
      <w:pPr>
        <w:pStyle w:val="Compact"/>
        <w:numPr>
          <w:ilvl w:val="0"/>
          <w:numId w:val="1008"/>
        </w:numPr>
      </w:pPr>
      <w:r>
        <w:t xml:space="preserve">Do not add a production dependency without explaining why it is needed.</w:t>
      </w:r>
    </w:p>
    <w:p>
      <w:pPr>
        <w:pStyle w:val="Compact"/>
        <w:numPr>
          <w:ilvl w:val="0"/>
          <w:numId w:val="1008"/>
        </w:numPr>
      </w:pPr>
      <w:r>
        <w:t xml:space="preserve">Do not replace deterministic financial calculations with LLM calls.</w:t>
      </w:r>
    </w:p>
    <w:p>
      <w:pPr>
        <w:pStyle w:val="Compact"/>
        <w:numPr>
          <w:ilvl w:val="0"/>
          <w:numId w:val="1008"/>
        </w:numPr>
      </w:pPr>
      <w:r>
        <w:t xml:space="preserve">Do not make unrelated refactors during a focused task.</w:t>
      </w:r>
    </w:p>
    <w:bookmarkEnd w:id="15"/>
    <w:bookmarkStart w:id="16" w:name="required-checks"/>
    <w:p>
      <w:pPr>
        <w:pStyle w:val="Heading2"/>
      </w:pPr>
      <w:r>
        <w:t xml:space="preserve">Required checks</w:t>
      </w:r>
    </w:p>
    <w:p>
      <w:pPr>
        <w:pStyle w:val="FirstParagraph"/>
      </w:pPr>
      <w:r>
        <w:t xml:space="preserve">Before declaring a task complete, run:</w:t>
      </w:r>
    </w:p>
    <w:p>
      <w:pPr>
        <w:pStyle w:val="SourceCode"/>
      </w:pPr>
      <w:r>
        <w:rPr>
          <w:rStyle w:val="ExtensionTok"/>
        </w:rPr>
        <w:t xml:space="preserve">just</w:t>
      </w:r>
      <w:r>
        <w:rPr>
          <w:rStyle w:val="NormalTok"/>
        </w:rPr>
        <w:t xml:space="preserve"> format</w:t>
      </w:r>
      <w:r>
        <w:br/>
      </w:r>
      <w:r>
        <w:rPr>
          <w:rStyle w:val="ExtensionTok"/>
        </w:rPr>
        <w:t xml:space="preserve">just</w:t>
      </w:r>
      <w:r>
        <w:rPr>
          <w:rStyle w:val="NormalTok"/>
        </w:rPr>
        <w:t xml:space="preserve"> lint</w:t>
      </w:r>
      <w:r>
        <w:br/>
      </w:r>
      <w:r>
        <w:rPr>
          <w:rStyle w:val="ExtensionTok"/>
        </w:rPr>
        <w:t xml:space="preserve">just</w:t>
      </w:r>
      <w:r>
        <w:rPr>
          <w:rStyle w:val="NormalTok"/>
        </w:rPr>
        <w:t xml:space="preserve"> typecheck</w:t>
      </w:r>
      <w:r>
        <w:br/>
      </w:r>
      <w:r>
        <w:rPr>
          <w:rStyle w:val="ExtensionTok"/>
        </w:rPr>
        <w:t xml:space="preserve">just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If a command does not exist yet, create the project configuration needed to support it.</w:t>
      </w:r>
    </w:p>
    <w:bookmarkEnd w:id="16"/>
    <w:bookmarkStart w:id="17" w:name="testing-requirements"/>
    <w:p>
      <w:pPr>
        <w:pStyle w:val="Heading2"/>
      </w:pPr>
      <w:r>
        <w:t xml:space="preserve">Testing requirements</w:t>
      </w:r>
    </w:p>
    <w:p>
      <w:pPr>
        <w:pStyle w:val="FirstParagraph"/>
      </w:pPr>
      <w:r>
        <w:t xml:space="preserve">Add tests for:</w:t>
      </w:r>
    </w:p>
    <w:p>
      <w:pPr>
        <w:pStyle w:val="Compact"/>
        <w:numPr>
          <w:ilvl w:val="0"/>
          <w:numId w:val="1009"/>
        </w:numPr>
      </w:pPr>
      <w:r>
        <w:t xml:space="preserve">normal behavior;</w:t>
      </w:r>
    </w:p>
    <w:p>
      <w:pPr>
        <w:pStyle w:val="Compact"/>
        <w:numPr>
          <w:ilvl w:val="0"/>
          <w:numId w:val="1009"/>
        </w:numPr>
      </w:pPr>
      <w:r>
        <w:t xml:space="preserve">malformed source data;</w:t>
      </w:r>
    </w:p>
    <w:p>
      <w:pPr>
        <w:pStyle w:val="Compact"/>
        <w:numPr>
          <w:ilvl w:val="0"/>
          <w:numId w:val="1009"/>
        </w:numPr>
      </w:pPr>
      <w:r>
        <w:t xml:space="preserve">duplicate news;</w:t>
      </w:r>
    </w:p>
    <w:p>
      <w:pPr>
        <w:pStyle w:val="Compact"/>
        <w:numPr>
          <w:ilvl w:val="0"/>
          <w:numId w:val="1009"/>
        </w:numPr>
      </w:pPr>
      <w:r>
        <w:t xml:space="preserve">missing timestamps;</w:t>
      </w:r>
    </w:p>
    <w:p>
      <w:pPr>
        <w:pStyle w:val="Compact"/>
        <w:numPr>
          <w:ilvl w:val="0"/>
          <w:numId w:val="1009"/>
        </w:numPr>
      </w:pPr>
      <w:r>
        <w:t xml:space="preserve">incorrect currencies;</w:t>
      </w:r>
    </w:p>
    <w:p>
      <w:pPr>
        <w:pStyle w:val="Compact"/>
        <w:numPr>
          <w:ilvl w:val="0"/>
          <w:numId w:val="1009"/>
        </w:numPr>
      </w:pPr>
      <w:r>
        <w:t xml:space="preserve">negative and decimal values;</w:t>
      </w:r>
    </w:p>
    <w:p>
      <w:pPr>
        <w:pStyle w:val="Compact"/>
        <w:numPr>
          <w:ilvl w:val="0"/>
          <w:numId w:val="1009"/>
        </w:numPr>
      </w:pPr>
      <w:r>
        <w:t xml:space="preserve">multiple issuers in one publication;</w:t>
      </w:r>
    </w:p>
    <w:p>
      <w:pPr>
        <w:pStyle w:val="Compact"/>
        <w:numPr>
          <w:ilvl w:val="0"/>
          <w:numId w:val="1009"/>
        </w:numPr>
      </w:pPr>
      <w:r>
        <w:t xml:space="preserve">conflicting extracted facts;</w:t>
      </w:r>
    </w:p>
    <w:p>
      <w:pPr>
        <w:pStyle w:val="Compact"/>
        <w:numPr>
          <w:ilvl w:val="0"/>
          <w:numId w:val="1009"/>
        </w:numPr>
      </w:pPr>
      <w:r>
        <w:t xml:space="preserve">model timeout;</w:t>
      </w:r>
    </w:p>
    <w:p>
      <w:pPr>
        <w:pStyle w:val="Compact"/>
        <w:numPr>
          <w:ilvl w:val="0"/>
          <w:numId w:val="1009"/>
        </w:numPr>
      </w:pPr>
      <w:r>
        <w:t xml:space="preserve">database failure;</w:t>
      </w:r>
    </w:p>
    <w:p>
      <w:pPr>
        <w:pStyle w:val="Compact"/>
        <w:numPr>
          <w:ilvl w:val="0"/>
          <w:numId w:val="1009"/>
        </w:numPr>
      </w:pPr>
      <w:r>
        <w:t xml:space="preserve">retry behavior.</w:t>
      </w:r>
    </w:p>
    <w:p>
      <w:pPr>
        <w:pStyle w:val="FirstParagraph"/>
      </w:pPr>
      <w:r>
        <w:t xml:space="preserve">For every bug fix, add a regression test that fails before the fix and passes afterward.</w:t>
      </w:r>
    </w:p>
    <w:bookmarkEnd w:id="17"/>
    <w:bookmarkStart w:id="18" w:name="database-rules"/>
    <w:p>
      <w:pPr>
        <w:pStyle w:val="Heading2"/>
      </w:pPr>
      <w:r>
        <w:t xml:space="preserve">Database rules</w:t>
      </w:r>
    </w:p>
    <w:p>
      <w:pPr>
        <w:pStyle w:val="Compact"/>
        <w:numPr>
          <w:ilvl w:val="0"/>
          <w:numId w:val="1010"/>
        </w:numPr>
      </w:pPr>
      <w:r>
        <w:t xml:space="preserve">Use migrations for every schema change.</w:t>
      </w:r>
    </w:p>
    <w:p>
      <w:pPr>
        <w:pStyle w:val="Compact"/>
        <w:numPr>
          <w:ilvl w:val="0"/>
          <w:numId w:val="1010"/>
        </w:numPr>
      </w:pPr>
      <w:r>
        <w:t xml:space="preserve">Never rewrite an applied migration.</w:t>
      </w:r>
    </w:p>
    <w:p>
      <w:pPr>
        <w:pStyle w:val="Compact"/>
        <w:numPr>
          <w:ilvl w:val="0"/>
          <w:numId w:val="1010"/>
        </w:numPr>
      </w:pPr>
      <w:r>
        <w:t xml:space="preserve">Add indexes only with a documented query use case.</w:t>
      </w:r>
    </w:p>
    <w:p>
      <w:pPr>
        <w:pStyle w:val="Compact"/>
        <w:numPr>
          <w:ilvl w:val="0"/>
          <w:numId w:val="1010"/>
        </w:numPr>
      </w:pPr>
      <w:r>
        <w:t xml:space="preserve">Use idempotency keys for ingestion.</w:t>
      </w:r>
    </w:p>
    <w:p>
      <w:pPr>
        <w:pStyle w:val="Compact"/>
        <w:numPr>
          <w:ilvl w:val="0"/>
          <w:numId w:val="1010"/>
        </w:numPr>
      </w:pPr>
      <w:r>
        <w:t xml:space="preserve">Preserve raw data even if normalized processing fails.</w:t>
      </w:r>
    </w:p>
    <w:bookmarkEnd w:id="18"/>
    <w:bookmarkStart w:id="19" w:name="agent-workflow"/>
    <w:p>
      <w:pPr>
        <w:pStyle w:val="Heading2"/>
      </w:pPr>
      <w:r>
        <w:t xml:space="preserve">Agent workflow</w:t>
      </w:r>
    </w:p>
    <w:p>
      <w:pPr>
        <w:pStyle w:val="FirstParagraph"/>
      </w:pPr>
      <w:r>
        <w:t xml:space="preserve">For every non-trivial task:</w:t>
      </w:r>
    </w:p>
    <w:p>
      <w:pPr>
        <w:pStyle w:val="Compact"/>
        <w:numPr>
          <w:ilvl w:val="0"/>
          <w:numId w:val="1011"/>
        </w:numPr>
      </w:pPr>
      <w:r>
        <w:t xml:space="preserve">inspect the relevant files;</w:t>
      </w:r>
    </w:p>
    <w:p>
      <w:pPr>
        <w:pStyle w:val="Compact"/>
        <w:numPr>
          <w:ilvl w:val="0"/>
          <w:numId w:val="1011"/>
        </w:numPr>
      </w:pPr>
      <w:r>
        <w:t xml:space="preserve">summarize the existing behavior;</w:t>
      </w:r>
    </w:p>
    <w:p>
      <w:pPr>
        <w:pStyle w:val="Compact"/>
        <w:numPr>
          <w:ilvl w:val="0"/>
          <w:numId w:val="1011"/>
        </w:numPr>
      </w:pPr>
      <w:r>
        <w:t xml:space="preserve">propose a short implementation plan;</w:t>
      </w:r>
    </w:p>
    <w:p>
      <w:pPr>
        <w:pStyle w:val="Compact"/>
        <w:numPr>
          <w:ilvl w:val="0"/>
          <w:numId w:val="1011"/>
        </w:numPr>
      </w:pPr>
      <w:r>
        <w:t xml:space="preserve">identify risks and assumptions;</w:t>
      </w:r>
    </w:p>
    <w:p>
      <w:pPr>
        <w:pStyle w:val="Compact"/>
        <w:numPr>
          <w:ilvl w:val="0"/>
          <w:numId w:val="1011"/>
        </w:numPr>
      </w:pPr>
      <w:r>
        <w:t xml:space="preserve">implement only the approved scope;</w:t>
      </w:r>
    </w:p>
    <w:p>
      <w:pPr>
        <w:pStyle w:val="Compact"/>
        <w:numPr>
          <w:ilvl w:val="0"/>
          <w:numId w:val="1011"/>
        </w:numPr>
      </w:pPr>
      <w:r>
        <w:t xml:space="preserve">run formatting, linting, type checks, and tests;</w:t>
      </w:r>
    </w:p>
    <w:p>
      <w:pPr>
        <w:pStyle w:val="Compact"/>
        <w:numPr>
          <w:ilvl w:val="0"/>
          <w:numId w:val="1011"/>
        </w:numPr>
      </w:pPr>
      <w:r>
        <w:t xml:space="preserve">review the diff;</w:t>
      </w:r>
    </w:p>
    <w:p>
      <w:pPr>
        <w:pStyle w:val="Compact"/>
        <w:numPr>
          <w:ilvl w:val="0"/>
          <w:numId w:val="1011"/>
        </w:numPr>
      </w:pPr>
      <w:r>
        <w:t xml:space="preserve">summarize changed files and remaining limitations.</w:t>
      </w:r>
    </w:p>
    <w:p>
      <w:pPr>
        <w:pStyle w:val="FirstParagraph"/>
      </w:pPr>
      <w:r>
        <w:t xml:space="preserve">Use subagents for independent read-heavy tasks such as repository exploration, documentation research, test review, and log analysis.</w:t>
      </w:r>
    </w:p>
    <w:p>
      <w:pPr>
        <w:pStyle w:val="BodyText"/>
      </w:pPr>
      <w:r>
        <w:t xml:space="preserve">Avoid parallel edits to the same files.</w:t>
      </w:r>
    </w:p>
    <w:bookmarkEnd w:id="19"/>
    <w:bookmarkStart w:id="20" w:name="definition-of-done"/>
    <w:p>
      <w:pPr>
        <w:pStyle w:val="Heading2"/>
      </w:pPr>
      <w:r>
        <w:t xml:space="preserve">Definition of done</w:t>
      </w:r>
    </w:p>
    <w:p>
      <w:pPr>
        <w:pStyle w:val="FirstParagraph"/>
      </w:pPr>
      <w:r>
        <w:t xml:space="preserve">A task is complete only when:</w:t>
      </w:r>
    </w:p>
    <w:p>
      <w:pPr>
        <w:pStyle w:val="Compact"/>
        <w:numPr>
          <w:ilvl w:val="0"/>
          <w:numId w:val="1012"/>
        </w:numPr>
      </w:pPr>
      <w:r>
        <w:t xml:space="preserve">the requested behavior is implemented;</w:t>
      </w:r>
    </w:p>
    <w:p>
      <w:pPr>
        <w:pStyle w:val="Compact"/>
        <w:numPr>
          <w:ilvl w:val="0"/>
          <w:numId w:val="1012"/>
        </w:numPr>
      </w:pPr>
      <w:r>
        <w:t xml:space="preserve">tests cover the behavior;</w:t>
      </w:r>
    </w:p>
    <w:p>
      <w:pPr>
        <w:pStyle w:val="Compact"/>
        <w:numPr>
          <w:ilvl w:val="0"/>
          <w:numId w:val="1012"/>
        </w:numPr>
      </w:pPr>
      <w:r>
        <w:t xml:space="preserve">all required checks pass;</w:t>
      </w:r>
    </w:p>
    <w:p>
      <w:pPr>
        <w:pStyle w:val="Compact"/>
        <w:numPr>
          <w:ilvl w:val="0"/>
          <w:numId w:val="1012"/>
        </w:numPr>
      </w:pPr>
      <w:r>
        <w:t xml:space="preserve">errors are handled explicitly;</w:t>
      </w:r>
    </w:p>
    <w:p>
      <w:pPr>
        <w:pStyle w:val="Compact"/>
        <w:numPr>
          <w:ilvl w:val="0"/>
          <w:numId w:val="1012"/>
        </w:numPr>
      </w:pPr>
      <w:r>
        <w:t xml:space="preserve">logs contain sufficient diagnostic context;</w:t>
      </w:r>
    </w:p>
    <w:p>
      <w:pPr>
        <w:pStyle w:val="Compact"/>
        <w:numPr>
          <w:ilvl w:val="0"/>
          <w:numId w:val="1012"/>
        </w:numPr>
      </w:pPr>
      <w:r>
        <w:t xml:space="preserve">documentation is updated when contracts or architecture change;</w:t>
      </w:r>
    </w:p>
    <w:p>
      <w:pPr>
        <w:pStyle w:val="Compact"/>
        <w:numPr>
          <w:ilvl w:val="0"/>
          <w:numId w:val="1012"/>
        </w:numPr>
      </w:pPr>
      <w:r>
        <w:t xml:space="preserve">no secrets or temporary files are included;</w:t>
      </w:r>
    </w:p>
    <w:p>
      <w:pPr>
        <w:pStyle w:val="Compact"/>
        <w:numPr>
          <w:ilvl w:val="0"/>
          <w:numId w:val="1012"/>
        </w:numPr>
      </w:pPr>
      <w:r>
        <w:t xml:space="preserve">the final response lists changed files and commands executed.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