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</w:pPr>
      <w:r>
        <w:rPr>
          <w:rFonts w:ascii="Georgia" w:cs="Georgia" w:eastAsia="Georgia" w:hAnsi="Georgia"/>
          <w:b/>
          <w:bCs/>
          <w:color w:val="5B5B79"/>
          <w:sz w:val="40"/>
          <w:szCs w:val="40"/>
        </w:rPr>
        <w:t xml:space="preserve">TP2 — Qui a le droit de voir quoi ? (RBAC &amp; anonymisation)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44445A"/>
          <w:sz w:val="22"/>
          <w:szCs w:val="22"/>
        </w:rPr>
        <w:t xml:space="preserve">Module Sécurité des Données &amp; DevSecOps — Projet fil rouge « DataCorp Secure »</w:t>
      </w:r>
    </w:p>
    <w:p>
      <w:pPr>
        <w:spacing w:after="200"/>
      </w:pPr>
      <w:r>
        <w:rPr>
          <w:rFonts w:ascii="Georgia" w:cs="Georgia" w:eastAsia="Georgia" w:hAnsi="Georgia"/>
          <w:i/>
          <w:iCs/>
          <w:color w:val="44445A"/>
          <w:sz w:val="24"/>
          <w:szCs w:val="24"/>
        </w:rPr>
        <w:t xml:space="preserve">Séance 2 sur 3 · Contrôle d'accès &amp; gouvernance des rôles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24"/>
        <w:gridCol w:w="7414"/>
      </w:tblGrid>
      <w:tr>
        <w:trPr>
          <w:tblHeader w:val="off"/>
        </w:trPr>
        <w:tc>
          <w:tcPr>
            <w:tcW w:type="dxa" w:w="2224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Durée</w:t>
            </w:r>
          </w:p>
        </w:tc>
        <w:tc>
          <w:tcPr>
            <w:tcW w:type="dxa" w:w="7414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3 h 30</w:t>
            </w:r>
          </w:p>
        </w:tc>
      </w:tr>
      <w:tr>
        <w:trPr>
          <w:tblHeader w:val="off"/>
        </w:trPr>
        <w:tc>
          <w:tcPr>
            <w:tcW w:type="dxa" w:w="2224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Modalité</w:t>
            </w:r>
          </w:p>
        </w:tc>
        <w:tc>
          <w:tcPr>
            <w:tcW w:type="dxa" w:w="7414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Binôme, sur la stack du TP1 (sinon, le formateur lance </w:t>
            </w:r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./solutions/run.sh tp1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2224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Rendu</w:t>
            </w:r>
          </w:p>
        </w:tc>
        <w:tc>
          <w:tcPr>
            <w:tcW w:type="dxa" w:w="7414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Compte rendu de 2 pages : une capture par étape ✅ + la fiche GRC du §6.3</w:t>
            </w:r>
          </w:p>
        </w:tc>
      </w:tr>
      <w:tr>
        <w:trPr>
          <w:tblHeader w:val="off"/>
        </w:trPr>
        <w:tc>
          <w:tcPr>
            <w:tcW w:type="dxa" w:w="2224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Outils</w:t>
            </w:r>
          </w:p>
        </w:tc>
        <w:tc>
          <w:tcPr>
            <w:tcW w:type="dxa" w:w="7414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PostgreSQL (rôles, RLS, vues), MinIO (politiques S3)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40" w:before="320"/>
      </w:pPr>
      <w:r>
        <w:rPr>
          <w:rFonts w:ascii="Georgia" w:cs="Georgia" w:eastAsia="Georgia" w:hAnsi="Georgia"/>
          <w:b/>
          <w:bCs/>
          <w:color w:val="5B5B79"/>
          <w:sz w:val="30"/>
          <w:szCs w:val="30"/>
        </w:rPr>
        <w:t xml:space="preserve">Contexte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color w:val="202122"/>
          <w:sz w:val="21"/>
          <w:szCs w:val="21"/>
        </w:rPr>
        <w:t xml:space="preserve">L'équipe Data veut analyser la masse salariale. Aujourd'hui, la seule solution est une extraction complète de la table RH… avec les n° de sécurité sociale, les IBAN et les salaires nominatifs. Claire, la DPO, refuse : </w:t>
      </w:r>
      <w:r>
        <w:rPr>
          <w:b/>
          <w:bCs/>
          <w:color w:val="202122"/>
          <w:sz w:val="21"/>
          <w:szCs w:val="21"/>
        </w:rPr>
        <w:t xml:space="preserve">chacun ne doit voir que ce dont il a besoin</w:t>
      </w:r>
      <w:r>
        <w:rPr>
          <w:color w:val="202122"/>
          <w:sz w:val="21"/>
          <w:szCs w:val="21"/>
        </w:rPr>
        <w:t xml:space="preserve">, et les analystes ne doivent voir que des données </w:t>
      </w:r>
      <w:r>
        <w:rPr>
          <w:b/>
          <w:bCs/>
          <w:color w:val="202122"/>
          <w:sz w:val="21"/>
          <w:szCs w:val="21"/>
        </w:rPr>
        <w:t xml:space="preserve">masquées</w:t>
      </w:r>
      <w:r>
        <w:rPr>
          <w:color w:val="202122"/>
          <w:sz w:val="21"/>
          <w:szCs w:val="21"/>
        </w:rPr>
        <w:t xml:space="preserve">.</w:t>
      </w:r>
    </w:p>
    <w:p>
      <w:pPr>
        <w:pStyle w:val="Heading1"/>
        <w:keepNext/>
        <w:spacing w:after="140" w:before="320"/>
      </w:pPr>
      <w:r>
        <w:rPr>
          <w:rFonts w:ascii="Georgia" w:cs="Georgia" w:eastAsia="Georgia" w:hAnsi="Georgia"/>
          <w:b/>
          <w:bCs/>
          <w:color w:val="5B5B79"/>
          <w:sz w:val="30"/>
          <w:szCs w:val="30"/>
        </w:rPr>
        <w:t xml:space="preserve">1. Le cours en bref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202122"/>
          <w:sz w:val="21"/>
          <w:szCs w:val="21"/>
        </w:rPr>
        <w:t xml:space="preserve">Authentification</w:t>
      </w:r>
      <w:r>
        <w:rPr>
          <w:color w:val="202122"/>
          <w:sz w:val="21"/>
          <w:szCs w:val="21"/>
        </w:rPr>
        <w:t xml:space="preserve"> = prouver </w:t>
      </w:r>
      <w:r>
        <w:rPr>
          <w:i/>
          <w:iCs/>
          <w:color w:val="202122"/>
          <w:sz w:val="21"/>
          <w:szCs w:val="21"/>
        </w:rPr>
        <w:t xml:space="preserve">qui</w:t>
      </w:r>
      <w:r>
        <w:rPr>
          <w:color w:val="202122"/>
          <w:sz w:val="21"/>
          <w:szCs w:val="21"/>
        </w:rPr>
        <w:t xml:space="preserve"> je suis (TP1). </w:t>
      </w:r>
      <w:r>
        <w:rPr>
          <w:b/>
          <w:bCs/>
          <w:color w:val="202122"/>
          <w:sz w:val="21"/>
          <w:szCs w:val="21"/>
        </w:rPr>
        <w:t xml:space="preserve">Autorisation</w:t>
      </w:r>
      <w:r>
        <w:rPr>
          <w:color w:val="202122"/>
          <w:sz w:val="21"/>
          <w:szCs w:val="21"/>
        </w:rPr>
        <w:t xml:space="preserve"> = ce que j'ai le </w:t>
      </w:r>
      <w:r>
        <w:rPr>
          <w:i/>
          <w:iCs/>
          <w:color w:val="202122"/>
          <w:sz w:val="21"/>
          <w:szCs w:val="21"/>
        </w:rPr>
        <w:t xml:space="preserve">droit</w:t>
      </w:r>
      <w:r>
        <w:rPr>
          <w:color w:val="202122"/>
          <w:sz w:val="21"/>
          <w:szCs w:val="21"/>
        </w:rPr>
        <w:t xml:space="preserve"> de faire (ce TP).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202122"/>
          <w:sz w:val="21"/>
          <w:szCs w:val="21"/>
        </w:rPr>
        <w:t xml:space="preserve">RBAC</w:t>
      </w:r>
      <w:r>
        <w:rPr>
          <w:color w:val="202122"/>
          <w:sz w:val="21"/>
          <w:szCs w:val="21"/>
        </w:rPr>
        <w:t xml:space="preserve"> (</w:t>
      </w:r>
      <w:r>
        <w:rPr>
          <w:i/>
          <w:iCs/>
          <w:color w:val="202122"/>
          <w:sz w:val="21"/>
          <w:szCs w:val="21"/>
        </w:rPr>
        <w:t xml:space="preserve">Role-Based Access Control</w:t>
      </w:r>
      <w:r>
        <w:rPr>
          <w:color w:val="202122"/>
          <w:sz w:val="21"/>
          <w:szCs w:val="21"/>
        </w:rPr>
        <w:t xml:space="preserve">) : on donne les droits à un </w:t>
      </w:r>
      <w:r>
        <w:rPr>
          <w:b/>
          <w:bCs/>
          <w:color w:val="202122"/>
          <w:sz w:val="21"/>
          <w:szCs w:val="21"/>
        </w:rPr>
        <w:t xml:space="preserve">rôle</w:t>
      </w:r>
      <w:r>
        <w:rPr>
          <w:color w:val="202122"/>
          <w:sz w:val="21"/>
          <w:szCs w:val="21"/>
        </w:rPr>
        <w:t xml:space="preserve"> (« analyste »), puis le rôle à une </w:t>
      </w:r>
      <w:r>
        <w:rPr>
          <w:b/>
          <w:bCs/>
          <w:color w:val="202122"/>
          <w:sz w:val="21"/>
          <w:szCs w:val="21"/>
        </w:rPr>
        <w:t xml:space="preserve">personne</w:t>
      </w:r>
      <w:r>
        <w:rPr>
          <w:color w:val="202122"/>
          <w:sz w:val="21"/>
          <w:szCs w:val="21"/>
        </w:rPr>
        <w:t xml:space="preserve"> (« Bruno »). Quand Bruno change de poste, on change son rôle ; on ne refait pas tous ses droits.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202122"/>
          <w:sz w:val="21"/>
          <w:szCs w:val="21"/>
        </w:rPr>
        <w:t xml:space="preserve">Moindre privilège</w:t>
      </w:r>
      <w:r>
        <w:rPr>
          <w:color w:val="202122"/>
          <w:sz w:val="21"/>
          <w:szCs w:val="21"/>
        </w:rPr>
        <w:t xml:space="preserve"> : le strict nécessaire pour faire son travail. </w:t>
      </w:r>
      <w:r>
        <w:rPr>
          <w:b/>
          <w:bCs/>
          <w:color w:val="202122"/>
          <w:sz w:val="21"/>
          <w:szCs w:val="21"/>
        </w:rPr>
        <w:t xml:space="preserve">Séparation des tâches</w:t>
      </w:r>
      <w:r>
        <w:rPr>
          <w:color w:val="202122"/>
          <w:sz w:val="21"/>
          <w:szCs w:val="21"/>
        </w:rPr>
        <w:t xml:space="preserve"> : celui qui prépare n'est pas celui qui valide.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202122"/>
          <w:sz w:val="21"/>
          <w:szCs w:val="21"/>
        </w:rPr>
        <w:t xml:space="preserve">Pseudonymiser ≠ anonymiser</w:t>
      </w:r>
      <w:r>
        <w:rPr>
          <w:color w:val="202122"/>
          <w:sz w:val="21"/>
          <w:szCs w:val="21"/>
        </w:rPr>
        <w:t xml:space="preserve"> : une donnée pseudonymisée reste personnelle (RGPD art. 4.5). Seule une donnée vraiment anonyme sort du RGPD.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2962275"/>
            <wp:effectExtent t="0" r="0" b="0" l="0"/>
            <wp:docPr id="1" name="fig_tp2_rbac.png" descr="RBAC : personnes → rôles → données" title="RBAC : personnes → rôles → donné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6B80"/>
          <w:sz w:val="17"/>
          <w:szCs w:val="17"/>
        </w:rPr>
        <w:t xml:space="preserve">RBAC : personnes → rôles → données</w:t>
      </w:r>
    </w:p>
    <w:p>
      <w:pPr>
        <w:pStyle w:val="Heading1"/>
        <w:keepNext/>
        <w:spacing w:after="140" w:before="320"/>
      </w:pPr>
      <w:r>
        <w:rPr>
          <w:rFonts w:ascii="Georgia" w:cs="Georgia" w:eastAsia="Georgia" w:hAnsi="Georgia"/>
          <w:b/>
          <w:bCs/>
          <w:color w:val="5B5B79"/>
          <w:sz w:val="30"/>
          <w:szCs w:val="30"/>
        </w:rPr>
        <w:t xml:space="preserve">2. Les outils en 5 minutes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87"/>
        <w:gridCol w:w="4769"/>
        <w:gridCol w:w="2882"/>
      </w:tblGrid>
      <w:tr>
        <w:trPr>
          <w:tblHeader/>
        </w:trPr>
        <w:tc>
          <w:tcPr>
            <w:tcW w:type="dxa" w:w="1987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Besoin</w:t>
            </w:r>
          </w:p>
        </w:tc>
        <w:tc>
          <w:tcPr>
            <w:tcW w:type="dxa" w:w="4769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Mécanisme PostgreSQL</w:t>
            </w:r>
          </w:p>
        </w:tc>
        <w:tc>
          <w:tcPr>
            <w:tcW w:type="dxa" w:w="2882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Exemple</w:t>
            </w:r>
          </w:p>
        </w:tc>
      </w:tr>
      <w:tr>
        <w:trPr>
          <w:tblHeader w:val="off"/>
        </w:trPr>
        <w:tc>
          <w:tcPr>
            <w:tcW w:type="dxa" w:w="1987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Un groupe de droits</w:t>
            </w:r>
          </w:p>
        </w:tc>
        <w:tc>
          <w:tcPr>
            <w:tcW w:type="dxa" w:w="4769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CREATE ROLE r_data_analyst NOLOGIN</w:t>
            </w:r>
          </w:p>
        </w:tc>
        <w:tc>
          <w:tcPr>
            <w:tcW w:type="dxa" w:w="2882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le rôle « analyste »</w:t>
            </w:r>
          </w:p>
        </w:tc>
      </w:tr>
      <w:tr>
        <w:trPr>
          <w:tblHeader w:val="off"/>
        </w:trPr>
        <w:tc>
          <w:tcPr>
            <w:tcW w:type="dxa" w:w="1987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Une personne</w:t>
            </w:r>
          </w:p>
        </w:tc>
        <w:tc>
          <w:tcPr>
            <w:tcW w:type="dxa" w:w="4769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CREATE ROLE bruno LOGIN IN ROLE r_data_analyst</w:t>
            </w:r>
          </w:p>
        </w:tc>
        <w:tc>
          <w:tcPr>
            <w:tcW w:type="dxa" w:w="2882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Bruno reçoit le rôle</w:t>
            </w:r>
          </w:p>
        </w:tc>
      </w:tr>
      <w:tr>
        <w:trPr>
          <w:tblHeader w:val="off"/>
        </w:trPr>
        <w:tc>
          <w:tcPr>
            <w:tcW w:type="dxa" w:w="1987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Limiter les </w:t>
            </w:r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colonnes</w:t>
            </w:r>
          </w:p>
        </w:tc>
        <w:tc>
          <w:tcPr>
            <w:tcW w:type="dxa" w:w="4769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GRANT SELECT (departement, poste) ON rh.employes</w:t>
            </w:r>
          </w:p>
        </w:tc>
        <w:tc>
          <w:tcPr>
            <w:tcW w:type="dxa" w:w="2882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pas de NIR</w:t>
            </w:r>
          </w:p>
        </w:tc>
      </w:tr>
      <w:tr>
        <w:trPr>
          <w:tblHeader w:val="off"/>
        </w:trPr>
        <w:tc>
          <w:tcPr>
            <w:tcW w:type="dxa" w:w="1987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Limiter les </w:t>
            </w:r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lignes</w:t>
            </w:r>
          </w:p>
        </w:tc>
        <w:tc>
          <w:tcPr>
            <w:tcW w:type="dxa" w:w="4769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02122"/>
                <w:sz w:val="19"/>
                <w:szCs w:val="19"/>
              </w:rPr>
              <w:t xml:space="preserve">Row Level Security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 : </w:t>
            </w:r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CREATE POLICY …</w:t>
            </w:r>
          </w:p>
        </w:tc>
        <w:tc>
          <w:tcPr>
            <w:tcW w:type="dxa" w:w="2882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Nadia ne voit que son service</w:t>
            </w:r>
          </w:p>
        </w:tc>
      </w:tr>
      <w:tr>
        <w:trPr>
          <w:tblHeader w:val="off"/>
        </w:trPr>
        <w:tc>
          <w:tcPr>
            <w:tcW w:type="dxa" w:w="1987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Masquer</w:t>
            </w:r>
          </w:p>
        </w:tc>
        <w:tc>
          <w:tcPr>
            <w:tcW w:type="dxa" w:w="4769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Une </w:t>
            </w:r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vue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 qui transforme les colonnes</w:t>
            </w:r>
          </w:p>
        </w:tc>
        <w:tc>
          <w:tcPr>
            <w:tcW w:type="dxa" w:w="2882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e-mail → </w:t>
            </w:r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k***@…</w:t>
            </w:r>
          </w:p>
        </w:tc>
      </w:tr>
    </w:tbl>
    <w:p>
      <w:pPr>
        <w:spacing w:after="120"/>
      </w:pPr>
    </w:p>
    <w:p>
      <w:pPr>
        <w:spacing w:after="120" w:line="276"/>
        <w:rPr>
          <w:color w:val="202122"/>
          <w:sz w:val="21"/>
          <w:szCs w:val="21"/>
        </w:rPr>
      </w:pPr>
      <w:r>
        <w:rPr>
          <w:color w:val="202122"/>
          <w:sz w:val="21"/>
          <w:szCs w:val="21"/>
        </w:rPr>
        <w:t xml:space="preserve">Côté stockage objet, MinIO utilise des </w:t>
      </w:r>
      <w:r>
        <w:rPr>
          <w:b/>
          <w:bCs/>
          <w:color w:val="202122"/>
          <w:sz w:val="21"/>
          <w:szCs w:val="21"/>
        </w:rPr>
        <w:t xml:space="preserve">politiques JSON</w:t>
      </w:r>
      <w:r>
        <w:rPr>
          <w:color w:val="202122"/>
          <w:sz w:val="21"/>
          <w:szCs w:val="21"/>
        </w:rPr>
        <w:t xml:space="preserve"> : </w:t>
      </w:r>
      <w:r>
        <w:rPr>
          <w:rFonts w:ascii="Consolas" w:cs="Consolas" w:eastAsia="Consolas" w:hAnsi="Consolas"/>
          <w:color w:val="44445A"/>
          <w:sz w:val="19"/>
          <w:szCs w:val="19"/>
          <w:shd w:fill="EEEEEE" w:val="clear"/>
        </w:rPr>
        <w:t xml:space="preserve">"Effect": "Allow"</w:t>
      </w:r>
      <w:r>
        <w:rPr>
          <w:color w:val="202122"/>
          <w:sz w:val="21"/>
          <w:szCs w:val="21"/>
        </w:rPr>
        <w:t xml:space="preserve"> ou </w:t>
      </w:r>
      <w:r>
        <w:rPr>
          <w:rFonts w:ascii="Consolas" w:cs="Consolas" w:eastAsia="Consolas" w:hAnsi="Consolas"/>
          <w:color w:val="44445A"/>
          <w:sz w:val="19"/>
          <w:szCs w:val="19"/>
          <w:shd w:fill="EEEEEE" w:val="clear"/>
        </w:rPr>
        <w:t xml:space="preserve">"Deny"</w:t>
      </w:r>
      <w:r>
        <w:rPr>
          <w:color w:val="202122"/>
          <w:sz w:val="21"/>
          <w:szCs w:val="21"/>
        </w:rPr>
        <w:t xml:space="preserve">, une liste d'actions (</w:t>
      </w:r>
      <w:r>
        <w:rPr>
          <w:rFonts w:ascii="Consolas" w:cs="Consolas" w:eastAsia="Consolas" w:hAnsi="Consolas"/>
          <w:color w:val="44445A"/>
          <w:sz w:val="19"/>
          <w:szCs w:val="19"/>
          <w:shd w:fill="EEEEEE" w:val="clear"/>
        </w:rPr>
        <w:t xml:space="preserve">s3:GetObject</w:t>
      </w:r>
      <w:r>
        <w:rPr>
          <w:color w:val="202122"/>
          <w:sz w:val="21"/>
          <w:szCs w:val="21"/>
        </w:rPr>
        <w:t xml:space="preserve">…) et de buckets. Un </w:t>
      </w:r>
      <w:r>
        <w:rPr>
          <w:rFonts w:ascii="Consolas" w:cs="Consolas" w:eastAsia="Consolas" w:hAnsi="Consolas"/>
          <w:color w:val="44445A"/>
          <w:sz w:val="19"/>
          <w:szCs w:val="19"/>
          <w:shd w:fill="EEEEEE" w:val="clear"/>
        </w:rPr>
        <w:t xml:space="preserve">Deny</w:t>
      </w:r>
      <w:r>
        <w:rPr>
          <w:color w:val="202122"/>
          <w:sz w:val="21"/>
          <w:szCs w:val="21"/>
        </w:rPr>
        <w:t xml:space="preserve"> l'emporte toujours.</w:t>
      </w:r>
    </w:p>
    <w:p>
      <w:pPr>
        <w:pStyle w:val="Heading1"/>
        <w:keepNext/>
        <w:spacing w:after="140" w:before="320"/>
      </w:pPr>
      <w:r>
        <w:rPr>
          <w:rFonts w:ascii="Georgia" w:cs="Georgia" w:eastAsia="Georgia" w:hAnsi="Georgia"/>
          <w:b/>
          <w:bCs/>
          <w:color w:val="5B5B79"/>
          <w:sz w:val="30"/>
          <w:szCs w:val="30"/>
        </w:rPr>
        <w:t xml:space="preserve">3. Mission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36"/>
        <w:gridCol w:w="1090"/>
        <w:gridCol w:w="7012"/>
      </w:tblGrid>
      <w:tr>
        <w:trPr>
          <w:tblHeader/>
        </w:trPr>
        <w:tc>
          <w:tcPr>
            <w:tcW w:type="dxa" w:w="1536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  <w:tc>
          <w:tcPr>
            <w:tcW w:type="dxa" w:w="109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Personne</w:t>
            </w:r>
          </w:p>
        </w:tc>
        <w:tc>
          <w:tcPr>
            <w:tcW w:type="dxa" w:w="7012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Ce qu'elle fait aujourd'hui</w:t>
            </w:r>
          </w:p>
        </w:tc>
      </w:tr>
      <w:tr>
        <w:trPr>
          <w:tblHeader w:val="off"/>
        </w:trPr>
        <w:tc>
          <w:tcPr>
            <w:tcW w:type="dxa" w:w="1536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DPO</w:t>
            </w:r>
          </w:p>
        </w:tc>
        <w:tc>
          <w:tcPr>
            <w:tcW w:type="dxa" w:w="109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Claire</w:t>
            </w:r>
          </w:p>
        </w:tc>
        <w:tc>
          <w:tcPr>
            <w:tcW w:type="dxa" w:w="7012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Définit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 les règles et </w:t>
            </w:r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valide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 chaque vue avant ouverture</w:t>
            </w:r>
          </w:p>
        </w:tc>
      </w:tr>
      <w:tr>
        <w:trPr>
          <w:tblHeader w:val="off"/>
        </w:trPr>
        <w:tc>
          <w:tcPr>
            <w:tcW w:type="dxa" w:w="1536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Data Engineer</w:t>
            </w:r>
          </w:p>
        </w:tc>
        <w:tc>
          <w:tcPr>
            <w:tcW w:type="dxa" w:w="109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Alice</w:t>
            </w:r>
          </w:p>
        </w:tc>
        <w:tc>
          <w:tcPr>
            <w:tcW w:type="dxa" w:w="7012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Met en place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 les rôles et les vues ; ne peut pas s'auto-valider</w:t>
            </w:r>
          </w:p>
        </w:tc>
      </w:tr>
      <w:tr>
        <w:trPr>
          <w:tblHeader w:val="off"/>
        </w:trPr>
        <w:tc>
          <w:tcPr>
            <w:tcW w:type="dxa" w:w="1536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Data Analyst</w:t>
            </w:r>
          </w:p>
        </w:tc>
        <w:tc>
          <w:tcPr>
            <w:tcW w:type="dxa" w:w="109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Bruno</w:t>
            </w:r>
          </w:p>
        </w:tc>
        <w:tc>
          <w:tcPr>
            <w:tcW w:type="dxa" w:w="7012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Utilise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 les données masquées</w:t>
            </w:r>
          </w:p>
        </w:tc>
      </w:tr>
      <w:tr>
        <w:trPr>
          <w:tblHeader w:val="off"/>
        </w:trPr>
        <w:tc>
          <w:tcPr>
            <w:tcW w:type="dxa" w:w="1536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Manager RH</w:t>
            </w:r>
          </w:p>
        </w:tc>
        <w:tc>
          <w:tcPr>
            <w:tcW w:type="dxa" w:w="109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Nadia</w:t>
            </w:r>
          </w:p>
        </w:tc>
        <w:tc>
          <w:tcPr>
            <w:tcW w:type="dxa" w:w="7012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Consulte les salariés de </w:t>
            </w:r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son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 département (Finance)</w:t>
            </w:r>
          </w:p>
        </w:tc>
      </w:tr>
    </w:tbl>
    <w:p>
      <w:pPr>
        <w:spacing w:after="120"/>
      </w:pPr>
    </w:p>
    <w:p>
      <w:pPr>
        <w:spacing w:after="120" w:line="276"/>
        <w:rPr>
          <w:color w:val="202122"/>
          <w:sz w:val="21"/>
          <w:szCs w:val="21"/>
        </w:rPr>
      </w:pPr>
      <w:r>
        <w:rPr>
          <w:color w:val="202122"/>
          <w:sz w:val="21"/>
          <w:szCs w:val="21"/>
        </w:rPr>
        <w:t xml:space="preserve">Dans le binôme : l'un joue Alice (technique), l'autre Claire (règles et tests de refus).</w:t>
      </w:r>
    </w:p>
    <w:p>
      <w:pPr>
        <w:pStyle w:val="Heading1"/>
        <w:keepNext/>
        <w:spacing w:after="140" w:before="320"/>
      </w:pPr>
      <w:r>
        <w:rPr>
          <w:rFonts w:ascii="Georgia" w:cs="Georgia" w:eastAsia="Georgia" w:hAnsi="Georgia"/>
          <w:b/>
          <w:bCs/>
          <w:color w:val="5B5B79"/>
          <w:sz w:val="30"/>
          <w:szCs w:val="30"/>
        </w:rPr>
        <w:t xml:space="preserve">4. Manipulations guidées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b/>
          <w:bCs/>
          <w:color w:val="202122"/>
          <w:sz w:val="21"/>
          <w:szCs w:val="21"/>
        </w:rPr>
        <w:t xml:space="preserve">Où taper les commandes ?</w:t>
      </w:r>
      <w:r>
        <w:rPr>
          <w:color w:val="202122"/>
          <w:sz w:val="21"/>
          <w:szCs w:val="21"/>
        </w:rPr>
        <w:t xml:space="preserve"> Dans l'onglet </w:t>
      </w:r>
      <w:r>
        <w:rPr>
          <w:b/>
          <w:bCs/>
          <w:color w:val="202122"/>
          <w:sz w:val="21"/>
          <w:szCs w:val="21"/>
        </w:rPr>
        <w:t xml:space="preserve">Terminal</w:t>
      </w:r>
      <w:r>
        <w:rPr>
          <w:color w:val="202122"/>
          <w:sz w:val="21"/>
          <w:szCs w:val="21"/>
        </w:rPr>
        <w:t xml:space="preserve"> de votre console web (adresse et mot de passe donnés par le formateur). Une commande par ligne, Ctrl+Entrée pour lancer. Remplacez chaque </w:t>
      </w:r>
      <w:r>
        <w:rPr>
          <w:rFonts w:ascii="Consolas" w:cs="Consolas" w:eastAsia="Consolas" w:hAnsi="Consolas"/>
          <w:color w:val="44445A"/>
          <w:sz w:val="19"/>
          <w:szCs w:val="19"/>
          <w:shd w:fill="EEEEEE" w:val="clear"/>
        </w:rPr>
        <w:t xml:space="preserve">&lt;valeur&gt;</w:t>
      </w:r>
      <w:r>
        <w:rPr>
          <w:color w:val="202122"/>
          <w:sz w:val="21"/>
          <w:szCs w:val="21"/>
        </w:rPr>
        <w:t xml:space="preserve"> par ce que la commande précédente a affiché. Le bouton </w:t>
      </w:r>
      <w:r>
        <w:rPr>
          <w:b/>
          <w:bCs/>
          <w:color w:val="202122"/>
          <w:sz w:val="21"/>
          <w:szCs w:val="21"/>
        </w:rPr>
        <w:t xml:space="preserve">🔑 Voir les identifiants</w:t>
      </w:r>
      <w:r>
        <w:rPr>
          <w:color w:val="202122"/>
          <w:sz w:val="21"/>
          <w:szCs w:val="21"/>
        </w:rPr>
        <w:t xml:space="preserve"> donne tous les mots de passe du lab.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color w:val="202122"/>
          <w:sz w:val="21"/>
          <w:szCs w:val="21"/>
        </w:rPr>
        <w:t xml:space="preserve">Chaque étape suit la même démarche : </w:t>
      </w:r>
      <w:r>
        <w:rPr>
          <w:b/>
          <w:bCs/>
          <w:color w:val="202122"/>
          <w:sz w:val="21"/>
          <w:szCs w:val="21"/>
        </w:rPr>
        <w:t xml:space="preserve">🎯 Pourquoi → ▶ Faire → ✅ Vérifier</w:t>
      </w:r>
      <w:r>
        <w:rPr>
          <w:color w:val="202122"/>
          <w:sz w:val="21"/>
          <w:szCs w:val="21"/>
        </w:rPr>
        <w:t xml:space="preserve">. Faites une capture de chaque ✅.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b/>
          <w:bCs/>
          <w:color w:val="202122"/>
          <w:sz w:val="21"/>
          <w:szCs w:val="21"/>
        </w:rPr>
        <w:t xml:space="preserve">Aide-mémoire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70"/>
        <w:gridCol w:w="6968"/>
      </w:tblGrid>
      <w:tr>
        <w:trPr>
          <w:tblHeader/>
        </w:trPr>
        <w:tc>
          <w:tcPr>
            <w:tcW w:type="dxa" w:w="267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Commande</w:t>
            </w:r>
          </w:p>
        </w:tc>
        <w:tc>
          <w:tcPr>
            <w:tcW w:type="dxa" w:w="696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À quoi elle sert</w:t>
            </w:r>
          </w:p>
        </w:tc>
      </w:tr>
      <w:tr>
        <w:trPr>
          <w:tblHeader w:val="off"/>
        </w:trPr>
        <w:tc>
          <w:tcPr>
            <w:tcW w:type="dxa" w:w="267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sql "SELECT …"</w:t>
            </w:r>
          </w:p>
        </w:tc>
        <w:tc>
          <w:tcPr>
            <w:tcW w:type="dxa" w:w="696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une requête SQL en administrateur (le mot de passe est lu dans Vault)</w:t>
            </w:r>
          </w:p>
        </w:tc>
      </w:tr>
      <w:tr>
        <w:trPr>
          <w:tblHeader w:val="off"/>
        </w:trPr>
        <w:tc>
          <w:tcPr>
            <w:tcW w:type="dxa" w:w="267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sql -f fichier.sql</w:t>
            </w:r>
          </w:p>
        </w:tc>
        <w:tc>
          <w:tcPr>
            <w:tcW w:type="dxa" w:w="696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exécuter un fichier SQL</w:t>
            </w:r>
          </w:p>
        </w:tc>
      </w:tr>
      <w:tr>
        <w:trPr>
          <w:tblHeader w:val="off"/>
        </w:trPr>
        <w:tc>
          <w:tcPr>
            <w:tcW w:type="dxa" w:w="267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sql-as bruno "SELECT …"</w:t>
            </w:r>
          </w:p>
        </w:tc>
        <w:tc>
          <w:tcPr>
            <w:tcW w:type="dxa" w:w="696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une requête </w:t>
            </w:r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en tant que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 alice, bruno, claire, david, samira ou nadia (à partir du TP2)</w:t>
            </w:r>
          </w:p>
        </w:tc>
      </w:tr>
      <w:tr>
        <w:trPr>
          <w:tblHeader w:val="off"/>
        </w:trPr>
        <w:tc>
          <w:tcPr>
            <w:tcW w:type="dxa" w:w="267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vault status</w:t>
            </w:r>
          </w:p>
        </w:tc>
        <w:tc>
          <w:tcPr>
            <w:tcW w:type="dxa" w:w="696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état du coffre (</w:t>
            </w:r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Sealed true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 = fermé)</w:t>
            </w:r>
          </w:p>
        </w:tc>
      </w:tr>
      <w:tr>
        <w:trPr>
          <w:tblHeader w:val="off"/>
        </w:trPr>
        <w:tc>
          <w:tcPr>
            <w:tcW w:type="dxa" w:w="267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vault-cles</w:t>
            </w:r>
          </w:p>
        </w:tc>
        <w:tc>
          <w:tcPr>
            <w:tcW w:type="dxa" w:w="696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les 5 clés d'ouverture et le jeton root de Vault</w:t>
            </w:r>
          </w:p>
        </w:tc>
      </w:tr>
      <w:tr>
        <w:trPr>
          <w:tblHeader w:val="off"/>
        </w:trPr>
        <w:tc>
          <w:tcPr>
            <w:tcW w:type="dxa" w:w="267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cat fichier</w:t>
            </w:r>
          </w:p>
        </w:tc>
        <w:tc>
          <w:tcPr>
            <w:tcW w:type="dxa" w:w="696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lire un script avant de le lancer</w:t>
            </w:r>
          </w:p>
        </w:tc>
      </w:tr>
      <w:tr>
        <w:trPr>
          <w:tblHeader w:val="off"/>
        </w:trPr>
        <w:tc>
          <w:tcPr>
            <w:tcW w:type="dxa" w:w="267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logs tout</w:t>
            </w:r>
          </w:p>
        </w:tc>
        <w:tc>
          <w:tcPr>
            <w:tcW w:type="dxa" w:w="696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les journaux d'audit, lisibles (</w:t>
            </w:r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logs audit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logs echecs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logs minio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logs vault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267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$POSTGRES_PASSWORD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…</w:t>
            </w:r>
          </w:p>
        </w:tc>
        <w:tc>
          <w:tcPr>
            <w:tcW w:type="dxa" w:w="696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les mots de passe du fichier </w:t>
            </w:r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.env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 sont déjà dans des variables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20"/>
      </w:pPr>
      <w:r>
        <w:rPr>
          <w:rFonts w:ascii="Georgia" w:cs="Georgia" w:eastAsia="Georgia" w:hAnsi="Georgia"/>
          <w:b/>
          <w:bCs/>
          <w:color w:val="44445A"/>
          <w:sz w:val="24"/>
          <w:szCs w:val="24"/>
        </w:rPr>
        <w:t xml:space="preserve">Étape 1 — Lire la politique de la DPO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i/>
          <w:iCs/>
          <w:color w:val="202122"/>
          <w:sz w:val="21"/>
          <w:szCs w:val="21"/>
        </w:rPr>
        <w:t xml:space="preserve">Claire (DPO)</w:t>
      </w:r>
    </w:p>
    <w:p>
      <w:pPr>
        <w:pBdr>
          <w:left w:val="single" w:color="5B5B79" w:sz="18" w:space="8"/>
        </w:pBdr>
        <w:shd w:fill="F5F5F5" w:val="clear"/>
        <w:spacing w:after="160" w:before="80" w:line="276"/>
        <w:ind w:left="160" w:right="160"/>
      </w:pPr>
      <w:r>
        <w:rPr>
          <w:i/>
          <w:iCs/>
          <w:color w:val="44445A"/>
        </w:rPr>
        <w:t xml:space="preserve">🎯 On ne crée pas de droits au hasard : on part de la classification des données faite par la DPO.</w:t>
      </w:r>
    </w:p>
    <w:p>
      <w:pPr>
        <w:pBdr>
          <w:left w:val="single" w:color="5B5B79" w:sz="12" w:space="6"/>
        </w:pBdr>
        <w:shd w:fill="F5F5F5" w:val="clear"/>
        <w:spacing w:after="16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sql "SELECT * FROM gouvernance.classification_donnees WHERE schema_name = 'rh' ORDER BY niveau DESC"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color w:val="202122"/>
          <w:sz w:val="21"/>
          <w:szCs w:val="21"/>
        </w:rPr>
        <w:t xml:space="preserve">✅ </w:t>
      </w:r>
      <w:r>
        <w:rPr>
          <w:b/>
          <w:bCs/>
          <w:color w:val="202122"/>
          <w:sz w:val="21"/>
          <w:szCs w:val="21"/>
        </w:rPr>
        <w:t xml:space="preserve">Vérifier :</w:t>
      </w:r>
      <w:r>
        <w:rPr>
          <w:color w:val="202122"/>
          <w:sz w:val="21"/>
          <w:szCs w:val="21"/>
        </w:rPr>
        <w:t xml:space="preserve"> Vous savez quelles colonnes sont RESTREINT (NIR, IBAN, salaire) et ce qu'il faut en faire.</w:t>
      </w:r>
    </w:p>
    <w:p>
      <w:pPr>
        <w:pStyle w:val="Heading2"/>
        <w:keepNext/>
        <w:spacing w:after="100" w:before="220"/>
      </w:pPr>
      <w:r>
        <w:rPr>
          <w:rFonts w:ascii="Georgia" w:cs="Georgia" w:eastAsia="Georgia" w:hAnsi="Georgia"/>
          <w:b/>
          <w:bCs/>
          <w:color w:val="44445A"/>
          <w:sz w:val="24"/>
          <w:szCs w:val="24"/>
        </w:rPr>
        <w:t xml:space="preserve">Étape 2 — Créer les rôles, puis les comptes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i/>
          <w:iCs/>
          <w:color w:val="202122"/>
          <w:sz w:val="21"/>
          <w:szCs w:val="21"/>
        </w:rPr>
        <w:t xml:space="preserve">Alice</w:t>
      </w:r>
    </w:p>
    <w:p>
      <w:pPr>
        <w:pBdr>
          <w:left w:val="single" w:color="5B5B79" w:sz="18" w:space="8"/>
        </w:pBdr>
        <w:shd w:fill="F5F5F5" w:val="clear"/>
        <w:spacing w:after="160" w:before="80" w:line="276"/>
        <w:ind w:left="160" w:right="160"/>
      </w:pPr>
      <w:r>
        <w:rPr>
          <w:i/>
          <w:iCs/>
          <w:color w:val="44445A"/>
        </w:rPr>
        <w:t xml:space="preserve">🎯 D'abord les rôles (ce que l'on fait), ensuite les personnes (qui l'on est).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cat /lab/scripts/sql/tp2/01-roles.sql              # lisez : un bloc de droits (GRANT) par rôle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sql -f /lab/scripts/sql/tp2/01-roles.sql           # 1. crée les rôles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/lab/scripts/setup/tp2-comptes.sh                  # 2. crée les 6 personnes (mots de passe rangés dans Vault)</w:t>
      </w:r>
    </w:p>
    <w:p>
      <w:pPr>
        <w:pBdr>
          <w:left w:val="single" w:color="5B5B79" w:sz="12" w:space="6"/>
        </w:pBdr>
        <w:shd w:fill="F5F5F5" w:val="clear"/>
        <w:spacing w:after="16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sql "\du"                                          # qui a quel rôle ?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color w:val="202122"/>
          <w:sz w:val="21"/>
          <w:szCs w:val="21"/>
        </w:rPr>
        <w:t xml:space="preserve">✅ </w:t>
      </w:r>
      <w:r>
        <w:rPr>
          <w:b/>
          <w:bCs/>
          <w:color w:val="202122"/>
          <w:sz w:val="21"/>
          <w:szCs w:val="21"/>
        </w:rPr>
        <w:t xml:space="preserve">Vérifier :</w:t>
      </w:r>
      <w:r>
        <w:rPr>
          <w:color w:val="202122"/>
          <w:sz w:val="21"/>
          <w:szCs w:val="21"/>
        </w:rPr>
        <w:t xml:space="preserve"> sql "\du" montre alice membre de r_data_engineer, bruno de r_data_analyst, etc.</w:t>
      </w:r>
    </w:p>
    <w:p>
      <w:pPr>
        <w:pStyle w:val="Heading2"/>
        <w:keepNext/>
        <w:spacing w:after="100" w:before="220"/>
      </w:pPr>
      <w:r>
        <w:rPr>
          <w:rFonts w:ascii="Georgia" w:cs="Georgia" w:eastAsia="Georgia" w:hAnsi="Georgia"/>
          <w:b/>
          <w:bCs/>
          <w:color w:val="44445A"/>
          <w:sz w:val="24"/>
          <w:szCs w:val="24"/>
        </w:rPr>
        <w:t xml:space="preserve">Étape 3 — Tester le moindre privilège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i/>
          <w:iCs/>
          <w:color w:val="202122"/>
          <w:sz w:val="21"/>
          <w:szCs w:val="21"/>
        </w:rPr>
        <w:t xml:space="preserve">Claire</w:t>
      </w:r>
    </w:p>
    <w:p>
      <w:pPr>
        <w:pBdr>
          <w:left w:val="single" w:color="5B5B79" w:sz="18" w:space="8"/>
        </w:pBdr>
        <w:shd w:fill="F5F5F5" w:val="clear"/>
        <w:spacing w:after="160" w:before="80" w:line="276"/>
        <w:ind w:left="160" w:right="160"/>
      </w:pPr>
      <w:r>
        <w:rPr>
          <w:i/>
          <w:iCs/>
          <w:color w:val="44445A"/>
        </w:rPr>
        <w:t xml:space="preserve">🎯 Une règle de sécurité ne vaut que si on a vérifié qu'elle bloque.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sql-as bruno "SELECT * FROM rh.employes LIMIT 1"                        # l'analyste : refusé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sql-as alice "SELECT nir FROM rh.employes LIMIT 1"                      # colonne NIR : refusé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sql-as alice "SELECT matricule, departement FROM rh.employes LIMIT 2"   # colonnes autorisées : OK</w:t>
      </w:r>
    </w:p>
    <w:p>
      <w:pPr>
        <w:pBdr>
          <w:left w:val="single" w:color="5B5B79" w:sz="12" w:space="6"/>
        </w:pBdr>
        <w:shd w:fill="F5F5F5" w:val="clear"/>
        <w:spacing w:after="16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sql-as david "SELECT count(*) FROM finance.transactions"                # l'admin système : refusé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color w:val="202122"/>
          <w:sz w:val="21"/>
          <w:szCs w:val="21"/>
        </w:rPr>
        <w:t xml:space="preserve">✅ </w:t>
      </w:r>
      <w:r>
        <w:rPr>
          <w:b/>
          <w:bCs/>
          <w:color w:val="202122"/>
          <w:sz w:val="21"/>
          <w:szCs w:val="21"/>
        </w:rPr>
        <w:t xml:space="preserve">Vérifier :</w:t>
      </w:r>
      <w:r>
        <w:rPr>
          <w:color w:val="202122"/>
          <w:sz w:val="21"/>
          <w:szCs w:val="21"/>
        </w:rPr>
        <w:t xml:space="preserve"> 3 refus (permission denied) et 1 succès. Notez-les dans un tableau « test / attendu / obtenu ».</w:t>
      </w:r>
    </w:p>
    <w:p>
      <w:pPr>
        <w:pStyle w:val="Heading2"/>
        <w:keepNext/>
        <w:spacing w:after="100" w:before="220"/>
      </w:pPr>
      <w:r>
        <w:rPr>
          <w:rFonts w:ascii="Georgia" w:cs="Georgia" w:eastAsia="Georgia" w:hAnsi="Georgia"/>
          <w:b/>
          <w:bCs/>
          <w:color w:val="44445A"/>
          <w:sz w:val="24"/>
          <w:szCs w:val="24"/>
        </w:rPr>
        <w:t xml:space="preserve">Étape 4 — Filtrer les lignes (Row Level Security)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i/>
          <w:iCs/>
          <w:color w:val="202122"/>
          <w:sz w:val="21"/>
          <w:szCs w:val="21"/>
        </w:rPr>
        <w:t xml:space="preserve">Nadia (Manager RH)</w:t>
      </w:r>
    </w:p>
    <w:p>
      <w:pPr>
        <w:pBdr>
          <w:left w:val="single" w:color="5B5B79" w:sz="18" w:space="8"/>
        </w:pBdr>
        <w:shd w:fill="F5F5F5" w:val="clear"/>
        <w:spacing w:after="160" w:before="80" w:line="276"/>
        <w:ind w:left="160" w:right="160"/>
      </w:pPr>
      <w:r>
        <w:rPr>
          <w:i/>
          <w:iCs/>
          <w:color w:val="44445A"/>
        </w:rPr>
        <w:t xml:space="preserve">🎯 Nadia a besoin des fiches de son département, pas de toute l'entreprise.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cat /lab/scripts/sql/tp2/02-rls.sql                # lisez la règle : chacun voit son département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sql -f /lab/scripts/sql/tp2/02-rls.sql             # on l'active</w:t>
      </w:r>
    </w:p>
    <w:p>
      <w:pPr>
        <w:pBdr>
          <w:left w:val="single" w:color="5B5B79" w:sz="12" w:space="6"/>
        </w:pBdr>
        <w:shd w:fill="F5F5F5" w:val="clear"/>
        <w:spacing w:after="16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sql-as nadia "SELECT departement, count(*) FROM rh.employes GROUP BY 1"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color w:val="202122"/>
          <w:sz w:val="21"/>
          <w:szCs w:val="21"/>
        </w:rPr>
        <w:t xml:space="preserve">✅ </w:t>
      </w:r>
      <w:r>
        <w:rPr>
          <w:b/>
          <w:bCs/>
          <w:color w:val="202122"/>
          <w:sz w:val="21"/>
          <w:szCs w:val="21"/>
        </w:rPr>
        <w:t xml:space="preserve">Vérifier :</w:t>
      </w:r>
      <w:r>
        <w:rPr>
          <w:color w:val="202122"/>
          <w:sz w:val="21"/>
          <w:szCs w:val="21"/>
        </w:rPr>
        <w:t xml:space="preserve"> Nadia ne voit qu'une ligne : Finance | 32.</w:t>
      </w:r>
    </w:p>
    <w:p>
      <w:pPr>
        <w:pStyle w:val="Heading2"/>
        <w:keepNext/>
        <w:spacing w:after="100" w:before="220"/>
      </w:pPr>
      <w:r>
        <w:rPr>
          <w:rFonts w:ascii="Georgia" w:cs="Georgia" w:eastAsia="Georgia" w:hAnsi="Georgia"/>
          <w:b/>
          <w:bCs/>
          <w:color w:val="44445A"/>
          <w:sz w:val="24"/>
          <w:szCs w:val="24"/>
        </w:rPr>
        <w:t xml:space="preserve">Étape 5 — Masquer les données pour les analystes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i/>
          <w:iCs/>
          <w:color w:val="202122"/>
          <w:sz w:val="21"/>
          <w:szCs w:val="21"/>
        </w:rPr>
        <w:t xml:space="preserve">Alice → Claire</w:t>
      </w:r>
    </w:p>
    <w:p>
      <w:pPr>
        <w:pBdr>
          <w:left w:val="single" w:color="5B5B79" w:sz="18" w:space="8"/>
        </w:pBdr>
        <w:shd w:fill="F5F5F5" w:val="clear"/>
        <w:spacing w:after="160" w:before="80" w:line="276"/>
        <w:ind w:left="160" w:right="160"/>
      </w:pPr>
      <w:r>
        <w:rPr>
          <w:i/>
          <w:iCs/>
          <w:color w:val="44445A"/>
        </w:rPr>
        <w:t xml:space="preserve">🎯 Bruno doit pouvoir compter, comparer, faire des moyennes… sans jamais savoir qui est qui.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2200275"/>
            <wp:effectExtent t="0" r="0" b="0" l="0"/>
            <wp:docPr id="2" name="fig_tp2_masquage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6B80"/>
          <w:sz w:val="17"/>
          <w:szCs w:val="17"/>
        </w:rPr>
        <w:t xml:space="preserve"/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cat /lab/scripts/sql/tp2/03-vues-masquees.sql      # repérez : hmac, masquer_email, tranche_age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sql -f /lab/scripts/sql/tp2/03-vues-masquees.sql   # crée la vue masquée analytics.v_employes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sql-as claire "SELECT * FROM analytics.v_employes LIMIT 3"   # la DPO regarde le résultat</w:t>
      </w:r>
    </w:p>
    <w:p>
      <w:pPr>
        <w:pBdr>
          <w:left w:val="single" w:color="5B5B79" w:sz="12" w:space="6"/>
        </w:pBdr>
        <w:shd w:fill="F5F5F5" w:val="clear"/>
        <w:spacing w:after="16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sql-as claire "SELECT count(*) AS personnes_uniques FROM (SELECT 1 FROM analytics.v_employes GROUP BY departement, poste, tranche_age, annee_embauche HAVING count(*) = 1) x"   # combien restent reconnaissables ?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color w:val="202122"/>
          <w:sz w:val="21"/>
          <w:szCs w:val="21"/>
        </w:rPr>
        <w:t xml:space="preserve">✅ </w:t>
      </w:r>
      <w:r>
        <w:rPr>
          <w:b/>
          <w:bCs/>
          <w:color w:val="202122"/>
          <w:sz w:val="21"/>
          <w:szCs w:val="21"/>
        </w:rPr>
        <w:t xml:space="preserve">Vérifier :</w:t>
      </w:r>
      <w:r>
        <w:rPr>
          <w:color w:val="202122"/>
          <w:sz w:val="21"/>
          <w:szCs w:val="21"/>
        </w:rPr>
        <w:t xml:space="preserve"> Aucun nom, NIR ou IBAN dans la vue. Notez le nombre de « personnes uniques » (question 3).</w:t>
      </w:r>
    </w:p>
    <w:p>
      <w:pPr>
        <w:pStyle w:val="Heading2"/>
        <w:keepNext/>
        <w:spacing w:after="100" w:before="220"/>
      </w:pPr>
      <w:r>
        <w:rPr>
          <w:rFonts w:ascii="Georgia" w:cs="Georgia" w:eastAsia="Georgia" w:hAnsi="Georgia"/>
          <w:b/>
          <w:bCs/>
          <w:color w:val="44445A"/>
          <w:sz w:val="24"/>
          <w:szCs w:val="24"/>
        </w:rPr>
        <w:t xml:space="preserve">Étape 6 — Faire valider par la DPO avant d'ouvrir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i/>
          <w:iCs/>
          <w:color w:val="202122"/>
          <w:sz w:val="21"/>
          <w:szCs w:val="21"/>
        </w:rPr>
        <w:t xml:space="preserve">Alice + Claire → Bruno</w:t>
      </w:r>
    </w:p>
    <w:p>
      <w:pPr>
        <w:pBdr>
          <w:left w:val="single" w:color="5B5B79" w:sz="18" w:space="8"/>
        </w:pBdr>
        <w:shd w:fill="F5F5F5" w:val="clear"/>
        <w:spacing w:after="160" w:before="80" w:line="276"/>
        <w:ind w:left="160" w:right="160"/>
      </w:pPr>
      <w:r>
        <w:rPr>
          <w:i/>
          <w:iCs/>
          <w:color w:val="44445A"/>
        </w:rPr>
        <w:t xml:space="preserve">🎯 Séparation des tâches : Alice prépare, Claire valide, et seulement après la vue est ouverte aux analystes.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1905000"/>
            <wp:effectExtent t="0" r="0" b="0" l="0"/>
            <wp:docPr id="3" name="fig_tp2_cycle_habilitations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6B80"/>
          <w:sz w:val="17"/>
          <w:szCs w:val="17"/>
        </w:rPr>
        <w:t xml:space="preserve"/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sql -f /lab/scripts/sql/tp2/04-publication.sql                            # crée la fonction publier_vue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sql-as alice  "SELECT analytics.publier_vue('analytics.v_employes')"      # refusé : pas encore validée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sql-as claire "INSERT INTO gouvernance.validations_dpo (objet, decision, commentaire) VALUES ('analytics.v_employes', 'APPROUVE', 'OK DPO')"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sql-as alice  "SELECT analytics.publier_vue('analytics.v_employes')"      # accepté</w:t>
      </w:r>
    </w:p>
    <w:p>
      <w:pPr>
        <w:pBdr>
          <w:left w:val="single" w:color="5B5B79" w:sz="12" w:space="6"/>
        </w:pBdr>
        <w:shd w:fill="F5F5F5" w:val="clear"/>
        <w:spacing w:after="16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sql-as bruno  "SELECT departement, tranche_salaire, count(*) FROM analytics.v_employes GROUP BY 1,2 LIMIT 5"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color w:val="202122"/>
          <w:sz w:val="21"/>
          <w:szCs w:val="21"/>
        </w:rPr>
        <w:t xml:space="preserve">✅ </w:t>
      </w:r>
      <w:r>
        <w:rPr>
          <w:b/>
          <w:bCs/>
          <w:color w:val="202122"/>
          <w:sz w:val="21"/>
          <w:szCs w:val="21"/>
        </w:rPr>
        <w:t xml:space="preserve">Vérifier :</w:t>
      </w:r>
      <w:r>
        <w:rPr>
          <w:color w:val="202122"/>
          <w:sz w:val="21"/>
          <w:szCs w:val="21"/>
        </w:rPr>
        <w:t xml:space="preserve"> La publication est refusée avant la validation, acceptée après, et Bruno lit enfin la vue.</w:t>
      </w:r>
    </w:p>
    <w:p>
      <w:pPr>
        <w:pStyle w:val="Heading2"/>
        <w:keepNext/>
        <w:spacing w:after="100" w:before="220"/>
      </w:pPr>
      <w:r>
        <w:rPr>
          <w:rFonts w:ascii="Georgia" w:cs="Georgia" w:eastAsia="Georgia" w:hAnsi="Georgia"/>
          <w:b/>
          <w:bCs/>
          <w:color w:val="44445A"/>
          <w:sz w:val="24"/>
          <w:szCs w:val="24"/>
        </w:rPr>
        <w:t xml:space="preserve">Étape 7 — Les mêmes règles sur le stockage objet (MinIO)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i/>
          <w:iCs/>
          <w:color w:val="202122"/>
          <w:sz w:val="21"/>
          <w:szCs w:val="21"/>
        </w:rPr>
        <w:t xml:space="preserve">Alice / Bruno</w:t>
      </w:r>
    </w:p>
    <w:p>
      <w:pPr>
        <w:pBdr>
          <w:left w:val="single" w:color="5B5B79" w:sz="18" w:space="8"/>
        </w:pBdr>
        <w:shd w:fill="F5F5F5" w:val="clear"/>
        <w:spacing w:after="160" w:before="80" w:line="276"/>
        <w:ind w:left="160" w:right="160"/>
      </w:pPr>
      <w:r>
        <w:rPr>
          <w:i/>
          <w:iCs/>
          <w:color w:val="44445A"/>
        </w:rPr>
        <w:t xml:space="preserve">🎯 Les fichiers suivent les mêmes règles que la base : Bruno lit la zone curated (masquée), jamais raw-data (brute).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cat /lab/minio-policies/data-analyst.json         # une seule règle : lire « curated »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/lab/scripts/setup/tp2-minio.sh                   # crée alice et bruno dans MinIO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mc ls bruno/raw-data/                             # Bruno : refusé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mc cp /etc/hostname bruno/curated/test.txt        # Bruno ne peut pas écrire : refusé</w:t>
      </w:r>
    </w:p>
    <w:p>
      <w:pPr>
        <w:pBdr>
          <w:left w:val="single" w:color="5B5B79" w:sz="12" w:space="6"/>
        </w:pBdr>
        <w:shd w:fill="F5F5F5" w:val="clear"/>
        <w:spacing w:after="16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mc ls alice/raw-data/transactions/                # Alice (Data Engineer) : OK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color w:val="202122"/>
          <w:sz w:val="21"/>
          <w:szCs w:val="21"/>
        </w:rPr>
        <w:t xml:space="preserve">✅ </w:t>
      </w:r>
      <w:r>
        <w:rPr>
          <w:b/>
          <w:bCs/>
          <w:color w:val="202122"/>
          <w:sz w:val="21"/>
          <w:szCs w:val="21"/>
        </w:rPr>
        <w:t xml:space="preserve">Vérifier :</w:t>
      </w:r>
      <w:r>
        <w:rPr>
          <w:color w:val="202122"/>
          <w:sz w:val="21"/>
          <w:szCs w:val="21"/>
        </w:rPr>
        <w:t xml:space="preserve"> 2 refus pour Bruno, 1 succès pour Alice.</w:t>
      </w:r>
    </w:p>
    <w:p>
      <w:pPr>
        <w:pStyle w:val="Heading1"/>
        <w:keepNext/>
        <w:spacing w:after="140" w:before="320"/>
      </w:pPr>
      <w:r>
        <w:rPr>
          <w:rFonts w:ascii="Georgia" w:cs="Georgia" w:eastAsia="Georgia" w:hAnsi="Georgia"/>
          <w:b/>
          <w:bCs/>
          <w:color w:val="5B5B79"/>
          <w:sz w:val="30"/>
          <w:szCs w:val="30"/>
        </w:rPr>
        <w:t xml:space="preserve">5. Questions de compréhension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202122"/>
          <w:sz w:val="21"/>
          <w:szCs w:val="21"/>
        </w:rPr>
        <w:t xml:space="preserve">Pourquoi donne-t-on les droits à </w:t>
      </w:r>
      <w:r>
        <w:rPr>
          <w:rFonts w:ascii="Consolas" w:cs="Consolas" w:eastAsia="Consolas" w:hAnsi="Consolas"/>
          <w:color w:val="44445A"/>
          <w:sz w:val="19"/>
          <w:szCs w:val="19"/>
          <w:shd w:fill="EEEEEE" w:val="clear"/>
        </w:rPr>
        <w:t xml:space="preserve">r_data_analyst</w:t>
      </w:r>
      <w:r>
        <w:rPr>
          <w:color w:val="202122"/>
          <w:sz w:val="21"/>
          <w:szCs w:val="21"/>
        </w:rPr>
        <w:t xml:space="preserve"> et pas directement à </w:t>
      </w:r>
      <w:r>
        <w:rPr>
          <w:rFonts w:ascii="Consolas" w:cs="Consolas" w:eastAsia="Consolas" w:hAnsi="Consolas"/>
          <w:color w:val="44445A"/>
          <w:sz w:val="19"/>
          <w:szCs w:val="19"/>
          <w:shd w:fill="EEEEEE" w:val="clear"/>
        </w:rPr>
        <w:t xml:space="preserve">bruno</w:t>
      </w:r>
      <w:r>
        <w:rPr>
          <w:color w:val="202122"/>
          <w:sz w:val="21"/>
          <w:szCs w:val="21"/>
        </w:rPr>
        <w:t xml:space="preserve"> ? Que faites-vous le jour où Bruno quitte l'entreprise 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202122"/>
          <w:sz w:val="21"/>
          <w:szCs w:val="21"/>
        </w:rPr>
        <w:t xml:space="preserve">À l'étape 4, Nadia voit les salariés de Finance. Peut-elle lire leur NIR ? Pourquoi ? (indice : lignes ≠ colonnes)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202122"/>
          <w:sz w:val="21"/>
          <w:szCs w:val="21"/>
        </w:rPr>
        <w:t xml:space="preserve">À l'étape 5, combien de personnes sont « uniques » sur 200 ? La vue est-elle </w:t>
      </w:r>
      <w:r>
        <w:rPr>
          <w:b/>
          <w:bCs/>
          <w:color w:val="202122"/>
          <w:sz w:val="21"/>
          <w:szCs w:val="21"/>
        </w:rPr>
        <w:t xml:space="preserve">anonyme</w:t>
      </w:r>
      <w:r>
        <w:rPr>
          <w:color w:val="202122"/>
          <w:sz w:val="21"/>
          <w:szCs w:val="21"/>
        </w:rPr>
        <w:t xml:space="preserve"> ou seulement </w:t>
      </w:r>
      <w:r>
        <w:rPr>
          <w:b/>
          <w:bCs/>
          <w:color w:val="202122"/>
          <w:sz w:val="21"/>
          <w:szCs w:val="21"/>
        </w:rPr>
        <w:t xml:space="preserve">pseudonymisée</w:t>
      </w:r>
      <w:r>
        <w:rPr>
          <w:color w:val="202122"/>
          <w:sz w:val="21"/>
          <w:szCs w:val="21"/>
        </w:rPr>
        <w:t xml:space="preserve"> ? Proposez une colonne à retirer pour réduire ce nombre.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202122"/>
          <w:sz w:val="21"/>
          <w:szCs w:val="21"/>
        </w:rPr>
        <w:t xml:space="preserve">À l'étape 6, qu'est-ce qui empêche Alice de valider elle-même sa vue ?</w:t>
      </w:r>
    </w:p>
    <w:p>
      <w:pPr>
        <w:pStyle w:val="Heading1"/>
        <w:keepNext/>
        <w:spacing w:after="140" w:before="320"/>
      </w:pPr>
      <w:r>
        <w:rPr>
          <w:rFonts w:ascii="Georgia" w:cs="Georgia" w:eastAsia="Georgia" w:hAnsi="Georgia"/>
          <w:b/>
          <w:bCs/>
          <w:color w:val="5B5B79"/>
          <w:sz w:val="30"/>
          <w:szCs w:val="30"/>
        </w:rPr>
        <w:t xml:space="preserve">6. Volet GRC : gouverner les habilitations</w:t>
      </w:r>
    </w:p>
    <w:p>
      <w:pPr>
        <w:pStyle w:val="Heading2"/>
        <w:keepNext/>
        <w:spacing w:after="100" w:before="220"/>
      </w:pPr>
      <w:r>
        <w:rPr>
          <w:rFonts w:ascii="Georgia" w:cs="Georgia" w:eastAsia="Georgia" w:hAnsi="Georgia"/>
          <w:b/>
          <w:bCs/>
          <w:color w:val="44445A"/>
          <w:sz w:val="24"/>
          <w:szCs w:val="24"/>
        </w:rPr>
        <w:t xml:space="preserve">6.1 Le framework : la méthode en 4 étapes, appliquée aux droits d'accès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color w:val="202122"/>
          <w:sz w:val="21"/>
          <w:szCs w:val="21"/>
        </w:rPr>
        <w:t xml:space="preserve">On reprend la même méthode qu'au TP1. Ici, l'objet analysé est une </w:t>
      </w:r>
      <w:r>
        <w:rPr>
          <w:b/>
          <w:bCs/>
          <w:color w:val="202122"/>
          <w:sz w:val="21"/>
          <w:szCs w:val="21"/>
        </w:rPr>
        <w:t xml:space="preserve">demande d'accès</w:t>
      </w:r>
      <w:r>
        <w:rPr>
          <w:color w:val="202122"/>
          <w:sz w:val="21"/>
          <w:szCs w:val="21"/>
        </w:rPr>
        <w:t xml:space="preserve"> : qui veut voir quelle donnée, et pourquoi ?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2019300"/>
            <wp:effectExtent t="0" r="0" b="0" l="0"/>
            <wp:docPr id="4" name="fig_grc_methode.png" descr="La méthode GRC en 4 étapes" title="La méthode GRC en 4 étap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6B80"/>
          <w:sz w:val="17"/>
          <w:szCs w:val="17"/>
        </w:rPr>
        <w:t xml:space="preserve">La méthode GRC en 4 étapes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87"/>
        <w:gridCol w:w="5150"/>
        <w:gridCol w:w="3201"/>
      </w:tblGrid>
      <w:tr>
        <w:trPr>
          <w:tblHeader/>
        </w:trPr>
        <w:tc>
          <w:tcPr>
            <w:tcW w:type="dxa" w:w="1287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Étape</w:t>
            </w:r>
          </w:p>
        </w:tc>
        <w:tc>
          <w:tcPr>
            <w:tcW w:type="dxa" w:w="515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 question pour une demande d'accès</w:t>
            </w:r>
          </w:p>
        </w:tc>
        <w:tc>
          <w:tcPr>
            <w:tcW w:type="dxa" w:w="3201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L'outil de ce TP</w:t>
            </w:r>
          </w:p>
        </w:tc>
      </w:tr>
      <w:tr>
        <w:trPr>
          <w:tblHeader w:val="off"/>
        </w:trPr>
        <w:tc>
          <w:tcPr>
            <w:tcW w:type="dxa" w:w="1287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1. Identifier</w:t>
            </w:r>
          </w:p>
        </w:tc>
        <w:tc>
          <w:tcPr>
            <w:tcW w:type="dxa" w:w="515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Quelle donnée est demandée ? Quel niveau de classification ?</w:t>
            </w:r>
          </w:p>
        </w:tc>
        <w:tc>
          <w:tcPr>
            <w:tcW w:type="dxa" w:w="3201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gouvernance.classification_donnees</w:t>
            </w:r>
          </w:p>
        </w:tc>
      </w:tr>
      <w:tr>
        <w:trPr>
          <w:tblHeader w:val="off"/>
        </w:trPr>
        <w:tc>
          <w:tcPr>
            <w:tcW w:type="dxa" w:w="1287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2. Évaluer</w:t>
            </w:r>
          </w:p>
        </w:tc>
        <w:tc>
          <w:tcPr>
            <w:tcW w:type="dxa" w:w="515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Le besoin est-il </w:t>
            </w:r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justifié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 par la mission ? Que se passe-t-il si l'accès est détourné ?</w:t>
            </w:r>
          </w:p>
        </w:tc>
        <w:tc>
          <w:tcPr>
            <w:tcW w:type="dxa" w:w="3201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Le principe du </w:t>
            </w:r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besoin d'en connaître</w:t>
            </w:r>
          </w:p>
        </w:tc>
      </w:tr>
      <w:tr>
        <w:trPr>
          <w:tblHeader w:val="off"/>
        </w:trPr>
        <w:tc>
          <w:tcPr>
            <w:tcW w:type="dxa" w:w="1287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3. Traiter</w:t>
            </w:r>
          </w:p>
        </w:tc>
        <w:tc>
          <w:tcPr>
            <w:tcW w:type="dxa" w:w="515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Donner le </w:t>
            </w:r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minimum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 : rôle, colonnes, lignes, ou vue masquée</w:t>
            </w:r>
          </w:p>
        </w:tc>
        <w:tc>
          <w:tcPr>
            <w:tcW w:type="dxa" w:w="3201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La </w:t>
            </w:r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matrice d'habilitations</w:t>
            </w:r>
          </w:p>
        </w:tc>
      </w:tr>
      <w:tr>
        <w:trPr>
          <w:tblHeader w:val="off"/>
        </w:trPr>
        <w:tc>
          <w:tcPr>
            <w:tcW w:type="dxa" w:w="1287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4. Prouver</w:t>
            </w:r>
          </w:p>
        </w:tc>
        <w:tc>
          <w:tcPr>
            <w:tcW w:type="dxa" w:w="515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Qui a validé ? Les droits sont-ils revus régulièrement ?</w:t>
            </w:r>
          </w:p>
        </w:tc>
        <w:tc>
          <w:tcPr>
            <w:tcW w:type="dxa" w:w="3201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Table </w:t>
            </w:r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validations_dpo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, revue annuelle</w:t>
            </w:r>
          </w:p>
        </w:tc>
      </w:tr>
    </w:tbl>
    <w:p>
      <w:pPr>
        <w:spacing w:after="120"/>
      </w:pPr>
    </w:p>
    <w:p>
      <w:pPr>
        <w:spacing w:after="120" w:line="276"/>
        <w:rPr>
          <w:color w:val="202122"/>
          <w:sz w:val="21"/>
          <w:szCs w:val="21"/>
        </w:rPr>
      </w:pPr>
      <w:r>
        <w:rPr>
          <w:color w:val="202122"/>
          <w:sz w:val="21"/>
          <w:szCs w:val="21"/>
        </w:rPr>
        <w:t xml:space="preserve">Une habilitation a une </w:t>
      </w:r>
      <w:r>
        <w:rPr>
          <w:b/>
          <w:bCs/>
          <w:color w:val="202122"/>
          <w:sz w:val="21"/>
          <w:szCs w:val="21"/>
        </w:rPr>
        <w:t xml:space="preserve">vie</w:t>
      </w:r>
      <w:r>
        <w:rPr>
          <w:color w:val="202122"/>
          <w:sz w:val="21"/>
          <w:szCs w:val="21"/>
        </w:rPr>
        <w:t xml:space="preserve"> : elle se demande, se valide, s'attribue, se revoit… et se retire.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1905000"/>
            <wp:effectExtent t="0" r="0" b="0" l="0"/>
            <wp:docPr id="5" name="fig_tp2_cycle_habilitations.png" descr="Cycle de vie d'une habilitation" title="Cycle de vie d'une habili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6B80"/>
          <w:sz w:val="17"/>
          <w:szCs w:val="17"/>
        </w:rPr>
        <w:t xml:space="preserve">Cycle de vie d'une habilitation</w:t>
      </w:r>
    </w:p>
    <w:p>
      <w:pPr>
        <w:pStyle w:val="Heading2"/>
        <w:keepNext/>
        <w:spacing w:after="100" w:before="220"/>
      </w:pPr>
      <w:r>
        <w:rPr>
          <w:rFonts w:ascii="Georgia" w:cs="Georgia" w:eastAsia="Georgia" w:hAnsi="Georgia"/>
          <w:b/>
          <w:bCs/>
          <w:color w:val="44445A"/>
          <w:sz w:val="24"/>
          <w:szCs w:val="24"/>
        </w:rPr>
        <w:t xml:space="preserve">6.2 Exemple corrigé : « Nadia demande l'accès aux fiches RH 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16"/>
        <w:gridCol w:w="7922"/>
      </w:tblGrid>
      <w:tr>
        <w:trPr>
          <w:tblHeader/>
        </w:trPr>
        <w:tc>
          <w:tcPr>
            <w:tcW w:type="dxa" w:w="1716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Étape</w:t>
            </w:r>
          </w:p>
        </w:tc>
        <w:tc>
          <w:tcPr>
            <w:tcW w:type="dxa" w:w="7922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Réponse</w:t>
            </w:r>
          </w:p>
        </w:tc>
      </w:tr>
      <w:tr>
        <w:trPr>
          <w:tblHeader w:val="off"/>
        </w:trPr>
        <w:tc>
          <w:tcPr>
            <w:tcW w:type="dxa" w:w="1716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1. Identifier</w:t>
            </w:r>
          </w:p>
        </w:tc>
        <w:tc>
          <w:tcPr>
            <w:tcW w:type="dxa" w:w="7922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Donnée : </w:t>
            </w:r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rh.employes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. Colonnes demandées : nom, poste, salaire, NIR, IBAN. Niveau : </w:t>
            </w:r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RESTREINT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 (NIR, IBAN, salaire).</w:t>
            </w:r>
          </w:p>
        </w:tc>
      </w:tr>
      <w:tr>
        <w:trPr>
          <w:tblHeader w:val="off"/>
        </w:trPr>
        <w:tc>
          <w:tcPr>
            <w:tcW w:type="dxa" w:w="1716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2. Évaluer</w:t>
            </w:r>
          </w:p>
        </w:tc>
        <w:tc>
          <w:tcPr>
            <w:tcW w:type="dxa" w:w="7922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Besoin réel : gérer son équipe (entretiens annuels, salaires). Elle n'a besoin </w:t>
            </w:r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ni du NIR ni de l'IBAN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 (c'est le travail de la paie), ni des autres départements. Risque si accès complet : fuite de 200 dossiers → impact 4.</w:t>
            </w:r>
          </w:p>
        </w:tc>
      </w:tr>
      <w:tr>
        <w:trPr>
          <w:tblHeader w:val="off"/>
        </w:trPr>
        <w:tc>
          <w:tcPr>
            <w:tcW w:type="dxa" w:w="1716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3. Traiter</w:t>
            </w:r>
          </w:p>
        </w:tc>
        <w:tc>
          <w:tcPr>
            <w:tcW w:type="dxa" w:w="7922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Rôle </w:t>
            </w:r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r_rh_manager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 : colonnes sans NIR ni IBAN + RLS sur le département Finance. Base légale : exécution du contrat de travail. Texte : </w:t>
            </w:r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RGPD art. 5.1.c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 (minimisation) et </w:t>
            </w:r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ISO 27001 A.5.15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 (contrôle d'accès).</w:t>
            </w:r>
          </w:p>
        </w:tc>
      </w:tr>
      <w:tr>
        <w:trPr>
          <w:tblHeader w:val="off"/>
        </w:trPr>
        <w:tc>
          <w:tcPr>
            <w:tcW w:type="dxa" w:w="1716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4. Prouver</w:t>
            </w:r>
          </w:p>
        </w:tc>
        <w:tc>
          <w:tcPr>
            <w:tcW w:type="dxa" w:w="7922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Capture de l'étape 4 (une seule ligne, Finance) + refus de lire le NIR + ligne dans la matrice d'habilitations, avec une date de revue (dans 12 mois).</w:t>
            </w:r>
          </w:p>
        </w:tc>
      </w:tr>
    </w:tbl>
    <w:p>
      <w:pPr>
        <w:spacing w:after="120"/>
      </w:pPr>
    </w:p>
    <w:p>
      <w:pPr>
        <w:spacing w:after="120" w:line="276"/>
        <w:rPr>
          <w:color w:val="202122"/>
          <w:sz w:val="21"/>
          <w:szCs w:val="21"/>
        </w:rPr>
      </w:pPr>
      <w:r>
        <w:rPr>
          <w:b/>
          <w:bCs/>
          <w:color w:val="202122"/>
          <w:sz w:val="21"/>
          <w:szCs w:val="21"/>
        </w:rPr>
        <w:t xml:space="preserve">La matrice d'habilitations</w:t>
      </w:r>
      <w:r>
        <w:rPr>
          <w:color w:val="202122"/>
          <w:sz w:val="21"/>
          <w:szCs w:val="21"/>
        </w:rPr>
        <w:t xml:space="preserve"> qui en résulte (extrait)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26"/>
        <w:gridCol w:w="3513"/>
        <w:gridCol w:w="1350"/>
        <w:gridCol w:w="1350"/>
        <w:gridCol w:w="989"/>
        <w:gridCol w:w="910"/>
      </w:tblGrid>
      <w:tr>
        <w:trPr>
          <w:tblHeader/>
        </w:trPr>
        <w:tc>
          <w:tcPr>
            <w:tcW w:type="dxa" w:w="1526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Rôle</w:t>
            </w:r>
          </w:p>
        </w:tc>
        <w:tc>
          <w:tcPr>
            <w:tcW w:type="dxa" w:w="3513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rh.employes</w:t>
            </w:r>
          </w:p>
        </w:tc>
        <w:tc>
          <w:tcPr>
            <w:tcW w:type="dxa" w:w="135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analytics.v_*</w:t>
            </w:r>
          </w:p>
        </w:tc>
        <w:tc>
          <w:tcPr>
            <w:tcW w:type="dxa" w:w="135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gouvernance.*</w:t>
            </w:r>
          </w:p>
        </w:tc>
        <w:tc>
          <w:tcPr>
            <w:tcW w:type="dxa" w:w="989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Validé par</w:t>
            </w:r>
          </w:p>
        </w:tc>
        <w:tc>
          <w:tcPr>
            <w:tcW w:type="dxa" w:w="91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Revue</w:t>
            </w:r>
          </w:p>
        </w:tc>
      </w:tr>
      <w:tr>
        <w:trPr>
          <w:tblHeader w:val="off"/>
        </w:trPr>
        <w:tc>
          <w:tcPr>
            <w:tcW w:type="dxa" w:w="1526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7"/>
                <w:szCs w:val="17"/>
              </w:rPr>
              <w:t xml:space="preserve">r_rh_manager</w:t>
            </w:r>
          </w:p>
        </w:tc>
        <w:tc>
          <w:tcPr>
            <w:tcW w:type="dxa" w:w="3513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7"/>
                <w:szCs w:val="17"/>
              </w:rPr>
              <w:t xml:space="preserve">Lecture, sans NIR/IBAN, son département</w:t>
            </w:r>
          </w:p>
        </w:tc>
        <w:tc>
          <w:tcPr>
            <w:tcW w:type="dxa" w:w="135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7"/>
                <w:szCs w:val="17"/>
              </w:rPr>
              <w:t xml:space="preserve">—</w:t>
            </w:r>
          </w:p>
        </w:tc>
        <w:tc>
          <w:tcPr>
            <w:tcW w:type="dxa" w:w="135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7"/>
                <w:szCs w:val="17"/>
              </w:rPr>
              <w:t xml:space="preserve">—</w:t>
            </w:r>
          </w:p>
        </w:tc>
        <w:tc>
          <w:tcPr>
            <w:tcW w:type="dxa" w:w="989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7"/>
                <w:szCs w:val="17"/>
              </w:rPr>
              <w:t xml:space="preserve">DPO + DRH</w:t>
            </w:r>
          </w:p>
        </w:tc>
        <w:tc>
          <w:tcPr>
            <w:tcW w:type="dxa" w:w="91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7"/>
                <w:szCs w:val="17"/>
              </w:rPr>
              <w:t xml:space="preserve">09/2027</w:t>
            </w:r>
          </w:p>
        </w:tc>
      </w:tr>
      <w:tr>
        <w:trPr>
          <w:tblHeader w:val="off"/>
        </w:trPr>
        <w:tc>
          <w:tcPr>
            <w:tcW w:type="dxa" w:w="1526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7"/>
                <w:szCs w:val="17"/>
              </w:rPr>
              <w:t xml:space="preserve">r_data_analyst</w:t>
            </w:r>
          </w:p>
        </w:tc>
        <w:tc>
          <w:tcPr>
            <w:tcW w:type="dxa" w:w="3513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7"/>
                <w:szCs w:val="17"/>
              </w:rPr>
              <w:t xml:space="preserve">—</w:t>
            </w:r>
          </w:p>
        </w:tc>
        <w:tc>
          <w:tcPr>
            <w:tcW w:type="dxa" w:w="135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7"/>
                <w:szCs w:val="17"/>
              </w:rPr>
              <w:t xml:space="preserve">Lecture</w:t>
            </w:r>
          </w:p>
        </w:tc>
        <w:tc>
          <w:tcPr>
            <w:tcW w:type="dxa" w:w="135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7"/>
                <w:szCs w:val="17"/>
              </w:rPr>
              <w:t xml:space="preserve">—</w:t>
            </w:r>
          </w:p>
        </w:tc>
        <w:tc>
          <w:tcPr>
            <w:tcW w:type="dxa" w:w="989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7"/>
                <w:szCs w:val="17"/>
              </w:rPr>
              <w:t xml:space="preserve">DPO</w:t>
            </w:r>
          </w:p>
        </w:tc>
        <w:tc>
          <w:tcPr>
            <w:tcW w:type="dxa" w:w="91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7"/>
                <w:szCs w:val="17"/>
              </w:rPr>
              <w:t xml:space="preserve">09/2027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20"/>
      </w:pPr>
      <w:r>
        <w:rPr>
          <w:rFonts w:ascii="Georgia" w:cs="Georgia" w:eastAsia="Georgia" w:hAnsi="Georgia"/>
          <w:b/>
          <w:bCs/>
          <w:color w:val="44445A"/>
          <w:sz w:val="24"/>
          <w:szCs w:val="24"/>
        </w:rPr>
        <w:t xml:space="preserve">6.3 À vous : « Bruno demande les salaires nominatifs »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color w:val="202122"/>
          <w:sz w:val="21"/>
          <w:szCs w:val="21"/>
        </w:rPr>
        <w:t xml:space="preserve">Bruno veut « le salaire exact de chaque personne, avec son nom, pour mieux prédire les départs ». Remplissez la même fiche :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  <w:color w:val="202122"/>
          <w:sz w:val="21"/>
          <w:szCs w:val="21"/>
        </w:rPr>
        <w:t xml:space="preserve">Identifier</w:t>
      </w:r>
      <w:r>
        <w:rPr>
          <w:color w:val="202122"/>
          <w:sz w:val="21"/>
          <w:szCs w:val="21"/>
        </w:rPr>
        <w:t xml:space="preserve"> — Quelles colonnes demande-t-il ? Quel est leur niveau de classification ?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  <w:color w:val="202122"/>
          <w:sz w:val="21"/>
          <w:szCs w:val="21"/>
        </w:rPr>
        <w:t xml:space="preserve">Évaluer</w:t>
      </w:r>
      <w:r>
        <w:rPr>
          <w:color w:val="202122"/>
          <w:sz w:val="21"/>
          <w:szCs w:val="21"/>
        </w:rPr>
        <w:t xml:space="preserve"> — Le nom est-il vraiment nécessaire pour prédire des départs ? Que risque-t-on si son accès est détourné ?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  <w:color w:val="202122"/>
          <w:sz w:val="21"/>
          <w:szCs w:val="21"/>
        </w:rPr>
        <w:t xml:space="preserve">Traiter</w:t>
      </w:r>
      <w:r>
        <w:rPr>
          <w:color w:val="202122"/>
          <w:sz w:val="21"/>
          <w:szCs w:val="21"/>
        </w:rPr>
        <w:t xml:space="preserve"> — Que lui accordez-vous à la place ? (indice : ce qui existe déjà dans </w:t>
      </w:r>
      <w:r>
        <w:rPr>
          <w:rFonts w:ascii="Consolas" w:cs="Consolas" w:eastAsia="Consolas" w:hAnsi="Consolas"/>
          <w:color w:val="44445A"/>
          <w:sz w:val="19"/>
          <w:szCs w:val="19"/>
          <w:shd w:fill="EEEEEE" w:val="clear"/>
        </w:rPr>
        <w:t xml:space="preserve">analytics</w:t>
      </w:r>
      <w:r>
        <w:rPr>
          <w:color w:val="202122"/>
          <w:sz w:val="21"/>
          <w:szCs w:val="21"/>
        </w:rPr>
        <w:t xml:space="preserve">)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  <w:color w:val="202122"/>
          <w:sz w:val="21"/>
          <w:szCs w:val="21"/>
        </w:rPr>
        <w:t xml:space="preserve">Prouver</w:t>
      </w:r>
      <w:r>
        <w:rPr>
          <w:color w:val="202122"/>
          <w:sz w:val="21"/>
          <w:szCs w:val="21"/>
        </w:rPr>
        <w:t xml:space="preserve"> — Complétez la ligne </w:t>
      </w:r>
      <w:r>
        <w:rPr>
          <w:rFonts w:ascii="Consolas" w:cs="Consolas" w:eastAsia="Consolas" w:hAnsi="Consolas"/>
          <w:color w:val="44445A"/>
          <w:sz w:val="19"/>
          <w:szCs w:val="19"/>
          <w:shd w:fill="EEEEEE" w:val="clear"/>
        </w:rPr>
        <w:t xml:space="preserve">r_data_analyst</w:t>
      </w:r>
      <w:r>
        <w:rPr>
          <w:color w:val="202122"/>
          <w:sz w:val="21"/>
          <w:szCs w:val="21"/>
        </w:rPr>
        <w:t xml:space="preserve"> de la matrice et indiquez qui valide, et quand revoir cet accès.</w:t>
      </w:r>
    </w:p>
    <w:p>
      <w:pPr>
        <w:pStyle w:val="Heading1"/>
        <w:keepNext/>
        <w:spacing w:after="140" w:before="320"/>
      </w:pPr>
      <w:r>
        <w:rPr>
          <w:rFonts w:ascii="Georgia" w:cs="Georgia" w:eastAsia="Georgia" w:hAnsi="Georgia"/>
          <w:b/>
          <w:bCs/>
          <w:color w:val="5B5B79"/>
          <w:sz w:val="30"/>
          <w:szCs w:val="30"/>
        </w:rPr>
        <w:t xml:space="preserve">7. Barème (sur 20)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25"/>
        <w:gridCol w:w="1113"/>
      </w:tblGrid>
      <w:tr>
        <w:trPr>
          <w:tblHeader/>
        </w:trPr>
        <w:tc>
          <w:tcPr>
            <w:tcW w:type="dxa" w:w="8525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Critère</w:t>
            </w:r>
          </w:p>
        </w:tc>
        <w:tc>
          <w:tcPr>
            <w:tcW w:type="dxa" w:w="1113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Points</w:t>
            </w:r>
          </w:p>
        </w:tc>
      </w:tr>
      <w:tr>
        <w:trPr>
          <w:tblHeader w:val="off"/>
        </w:trPr>
        <w:tc>
          <w:tcPr>
            <w:tcW w:type="dxa" w:w="8525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Étapes 1 à 7 réalisées, avec une capture par ✅</w:t>
            </w:r>
          </w:p>
        </w:tc>
        <w:tc>
          <w:tcPr>
            <w:tcW w:type="dxa" w:w="1113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8</w:t>
            </w:r>
          </w:p>
        </w:tc>
      </w:tr>
      <w:tr>
        <w:trPr>
          <w:tblHeader w:val="off"/>
        </w:trPr>
        <w:tc>
          <w:tcPr>
            <w:tcW w:type="dxa" w:w="8525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Questions de compréhension (§5)</w:t>
            </w:r>
          </w:p>
        </w:tc>
        <w:tc>
          <w:tcPr>
            <w:tcW w:type="dxa" w:w="1113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4</w:t>
            </w:r>
          </w:p>
        </w:tc>
      </w:tr>
      <w:tr>
        <w:trPr>
          <w:tblHeader w:val="off"/>
        </w:trPr>
        <w:tc>
          <w:tcPr>
            <w:tcW w:type="dxa" w:w="8525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Fiche GRC complète et cohérente (§6.3)</w:t>
            </w:r>
          </w:p>
        </w:tc>
        <w:tc>
          <w:tcPr>
            <w:tcW w:type="dxa" w:w="1113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6</w:t>
            </w:r>
          </w:p>
        </w:tc>
      </w:tr>
      <w:tr>
        <w:trPr>
          <w:tblHeader w:val="off"/>
        </w:trPr>
        <w:tc>
          <w:tcPr>
            <w:tcW w:type="dxa" w:w="8525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Clarté du compte rendu</w:t>
            </w:r>
          </w:p>
        </w:tc>
        <w:tc>
          <w:tcPr>
            <w:tcW w:type="dxa" w:w="1113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2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80"/>
        <w:sz w:val="16"/>
        <w:szCs w:val="16"/>
      </w:rPr>
      <w:t xml:space="preserve">TP2 — Qui a le droit de voir quoi ? (RBAC &amp; anonymisation) · Page </w:t>
    </w:r>
    <w:r>
      <w:rPr>
        <w:color w:val="6B6B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6B80"/>
        <w:sz w:val="16"/>
        <w:szCs w:val="16"/>
      </w:rPr>
      <w:t xml:space="preserve"> / </w:t>
    </w:r>
    <w:r>
      <w:rPr>
        <w:color w:val="6B6B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9D6" w:sz="4" w:space="4"/>
      </w:pBdr>
      <w:jc w:val="right"/>
    </w:pPr>
    <w:r>
      <w:rPr>
        <w:color w:val="6B6B80"/>
        <w:sz w:val="16"/>
        <w:szCs w:val="16"/>
      </w:rPr>
      <w:t xml:space="preserve">Sécurité des Données &amp; DevSecOps — Projet fil rouge DataCorp Secure · TP2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02122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Georgia" w:cs="Georgia" w:eastAsia="Georgia" w:hAnsi="Georgia"/>
      <w:b/>
      <w:bCs/>
      <w:color w:val="5B5B79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Georgia" w:cs="Georgia" w:eastAsia="Georgia" w:hAnsi="Georgia"/>
      <w:b/>
      <w:bCs/>
      <w:color w:val="44445A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ba77212c3f31227c75532558e52468e1dbd6d2c4.png"/><Relationship Id="rId10" Type="http://schemas.openxmlformats.org/officeDocument/2006/relationships/image" Target="media/94d9b93b8dff3c464db2cc0d6388ce7115db8800.png"/><Relationship Id="rId11" Type="http://schemas.openxmlformats.org/officeDocument/2006/relationships/image" Target="media/a72fdd2471b9b22fecd7e125b1df19d035859b4d.png"/><Relationship Id="rId12" Type="http://schemas.openxmlformats.org/officeDocument/2006/relationships/image" Target="media/ac6a18e4381f3f3a8f0a86c948dddde792acf4b5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TP2 — Qui a le droit de voir quoi ? (RBAC &amp; anonymisation)</dc:title>
  <dc:creator>DataCorp Secure — Module Sécurité des Données</dc:creator>
  <cp:lastModifiedBy>Un-named</cp:lastModifiedBy>
  <cp:revision>1</cp:revision>
  <dcterms:created xsi:type="dcterms:W3CDTF">2026-09-28T13:47:54.271Z</dcterms:created>
  <dcterms:modified xsi:type="dcterms:W3CDTF">2026-09-28T13:47:54.273Z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