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rPr>
          <w:rFonts w:ascii="Georgia" w:cs="Georgia" w:eastAsia="Georgia" w:hAnsi="Georgia"/>
          <w:b/>
          <w:bCs/>
          <w:color w:val="5B5B79"/>
          <w:sz w:val="40"/>
          <w:szCs w:val="40"/>
        </w:rPr>
        <w:t xml:space="preserve">TP3 — Tracer, détecter, prouver (audit &amp; conformité)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4445A"/>
          <w:sz w:val="22"/>
          <w:szCs w:val="22"/>
        </w:rPr>
        <w:t xml:space="preserve">Module Sécurité des Données &amp; DevSecOps — Projet fil rouge « DataCorp Secure »</w:t>
      </w:r>
    </w:p>
    <w:p>
      <w:pPr>
        <w:spacing w:after="200"/>
      </w:pPr>
      <w:r>
        <w:rPr>
          <w:rFonts w:ascii="Georgia" w:cs="Georgia" w:eastAsia="Georgia" w:hAnsi="Georgia"/>
          <w:i/>
          <w:iCs/>
          <w:color w:val="44445A"/>
          <w:sz w:val="24"/>
          <w:szCs w:val="24"/>
        </w:rPr>
        <w:t xml:space="preserve">Séance 3 sur 3 · Journalisation, SIEM &amp; conformité RGPD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24"/>
        <w:gridCol w:w="7414"/>
      </w:tblGrid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Durée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3 h 30</w:t>
            </w:r>
          </w:p>
        </w:tc>
      </w:tr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Modalité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Binôme, sur la stack des TP1 et TP2 (sinon, le formateur lance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./solutions/run.sh tp2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Rendu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Compte rendu de 2 pages : une capture par étape ✅, la chronologie de l'incident et la fiche GRC du §6.3</w:t>
            </w:r>
          </w:p>
        </w:tc>
      </w:tr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Outils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pgAudit, journal d'audit Vault, webhook d'audit MinIO,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detect.py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Contexte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Mercredi matin, la supervision signale une nuit agitée : connexions ratées en série, exports volumineux, accès refusés sur le stockage. Samira doit comprendre </w:t>
      </w:r>
      <w:r>
        <w:rPr>
          <w:b/>
          <w:bCs/>
          <w:color w:val="202122"/>
          <w:sz w:val="21"/>
          <w:szCs w:val="21"/>
        </w:rPr>
        <w:t xml:space="preserve">ce qui s'est passé</w:t>
      </w:r>
      <w:r>
        <w:rPr>
          <w:color w:val="202122"/>
          <w:sz w:val="21"/>
          <w:szCs w:val="21"/>
        </w:rPr>
        <w:t xml:space="preserve">. Claire, la DPO, a </w:t>
      </w:r>
      <w:r>
        <w:rPr>
          <w:b/>
          <w:bCs/>
          <w:color w:val="202122"/>
          <w:sz w:val="21"/>
          <w:szCs w:val="21"/>
        </w:rPr>
        <w:t xml:space="preserve">72 heures</w:t>
      </w:r>
      <w:r>
        <w:rPr>
          <w:color w:val="202122"/>
          <w:sz w:val="21"/>
          <w:szCs w:val="21"/>
        </w:rPr>
        <w:t xml:space="preserve"> pour décider s'il faut prévenir la CNIL. Problème : aujourd'hui, presque rien n'est journalisé.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1. Le cours en bref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02122"/>
          <w:sz w:val="21"/>
          <w:szCs w:val="21"/>
        </w:rPr>
        <w:t xml:space="preserve">Un bon journal d'audit répond à </w:t>
      </w:r>
      <w:r>
        <w:rPr>
          <w:b/>
          <w:bCs/>
          <w:color w:val="202122"/>
          <w:sz w:val="21"/>
          <w:szCs w:val="21"/>
        </w:rPr>
        <w:t xml:space="preserve">5 questions</w:t>
      </w:r>
      <w:r>
        <w:rPr>
          <w:color w:val="202122"/>
          <w:sz w:val="21"/>
          <w:szCs w:val="21"/>
        </w:rPr>
        <w:t xml:space="preserve"> : </w:t>
      </w:r>
      <w:r>
        <w:rPr>
          <w:b/>
          <w:bCs/>
          <w:color w:val="202122"/>
          <w:sz w:val="21"/>
          <w:szCs w:val="21"/>
        </w:rPr>
        <w:t xml:space="preserve">qui</w:t>
      </w:r>
      <w:r>
        <w:rPr>
          <w:color w:val="202122"/>
          <w:sz w:val="21"/>
          <w:szCs w:val="21"/>
        </w:rPr>
        <w:t xml:space="preserve"> ? </w:t>
      </w:r>
      <w:r>
        <w:rPr>
          <w:b/>
          <w:bCs/>
          <w:color w:val="202122"/>
          <w:sz w:val="21"/>
          <w:szCs w:val="21"/>
        </w:rPr>
        <w:t xml:space="preserve">quoi</w:t>
      </w:r>
      <w:r>
        <w:rPr>
          <w:color w:val="202122"/>
          <w:sz w:val="21"/>
          <w:szCs w:val="21"/>
        </w:rPr>
        <w:t xml:space="preserve"> ? </w:t>
      </w:r>
      <w:r>
        <w:rPr>
          <w:b/>
          <w:bCs/>
          <w:color w:val="202122"/>
          <w:sz w:val="21"/>
          <w:szCs w:val="21"/>
        </w:rPr>
        <w:t xml:space="preserve">sur quelle donnée</w:t>
      </w:r>
      <w:r>
        <w:rPr>
          <w:color w:val="202122"/>
          <w:sz w:val="21"/>
          <w:szCs w:val="21"/>
        </w:rPr>
        <w:t xml:space="preserve"> ? </w:t>
      </w:r>
      <w:r>
        <w:rPr>
          <w:b/>
          <w:bCs/>
          <w:color w:val="202122"/>
          <w:sz w:val="21"/>
          <w:szCs w:val="21"/>
        </w:rPr>
        <w:t xml:space="preserve">quand</w:t>
      </w:r>
      <w:r>
        <w:rPr>
          <w:color w:val="202122"/>
          <w:sz w:val="21"/>
          <w:szCs w:val="21"/>
        </w:rPr>
        <w:t xml:space="preserve"> ? </w:t>
      </w:r>
      <w:r>
        <w:rPr>
          <w:b/>
          <w:bCs/>
          <w:color w:val="202122"/>
          <w:sz w:val="21"/>
          <w:szCs w:val="21"/>
        </w:rPr>
        <w:t xml:space="preserve">d'où</w:t>
      </w:r>
      <w:r>
        <w:rPr>
          <w:color w:val="202122"/>
          <w:sz w:val="21"/>
          <w:szCs w:val="21"/>
        </w:rPr>
        <w:t xml:space="preserve"> ? Et il donne le </w:t>
      </w:r>
      <w:r>
        <w:rPr>
          <w:b/>
          <w:bCs/>
          <w:color w:val="202122"/>
          <w:sz w:val="21"/>
          <w:szCs w:val="21"/>
        </w:rPr>
        <w:t xml:space="preserve">résultat</w:t>
      </w:r>
      <w:r>
        <w:rPr>
          <w:color w:val="202122"/>
          <w:sz w:val="21"/>
          <w:szCs w:val="21"/>
        </w:rPr>
        <w:t xml:space="preserve"> (succès ou refus).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On ne journalise pas les données elles-mêmes</w:t>
      </w:r>
      <w:r>
        <w:rPr>
          <w:color w:val="202122"/>
          <w:sz w:val="21"/>
          <w:szCs w:val="21"/>
        </w:rPr>
        <w:t xml:space="preserve"> : un journal plein d'IBAN devient une nouvelle base sensible.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02122"/>
          <w:sz w:val="21"/>
          <w:szCs w:val="21"/>
        </w:rPr>
        <w:t xml:space="preserve">Un journal n'a de valeur que s'il est </w:t>
      </w:r>
      <w:r>
        <w:rPr>
          <w:b/>
          <w:bCs/>
          <w:color w:val="202122"/>
          <w:sz w:val="21"/>
          <w:szCs w:val="21"/>
        </w:rPr>
        <w:t xml:space="preserve">intègre</w:t>
      </w:r>
      <w:r>
        <w:rPr>
          <w:color w:val="202122"/>
          <w:sz w:val="21"/>
          <w:szCs w:val="21"/>
        </w:rPr>
        <w:t xml:space="preserve"> : un pirate efface ses traces. On calcule donc une empreinte (SHA-256) et on le range dans un stockage </w:t>
      </w:r>
      <w:r>
        <w:rPr>
          <w:b/>
          <w:bCs/>
          <w:color w:val="202122"/>
          <w:sz w:val="21"/>
          <w:szCs w:val="21"/>
        </w:rPr>
        <w:t xml:space="preserve">WORM</w:t>
      </w:r>
      <w:r>
        <w:rPr>
          <w:color w:val="202122"/>
          <w:sz w:val="21"/>
          <w:szCs w:val="21"/>
        </w:rPr>
        <w:t xml:space="preserve"> (</w:t>
      </w:r>
      <w:r>
        <w:rPr>
          <w:i/>
          <w:iCs/>
          <w:color w:val="202122"/>
          <w:sz w:val="21"/>
          <w:szCs w:val="21"/>
        </w:rPr>
        <w:t xml:space="preserve">Write Once, Read Many</w:t>
      </w:r>
      <w:r>
        <w:rPr>
          <w:color w:val="202122"/>
          <w:sz w:val="21"/>
          <w:szCs w:val="21"/>
        </w:rPr>
        <w:t xml:space="preserve"> : impossible à effacer).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Même horloge pour tous</w:t>
      </w:r>
      <w:r>
        <w:rPr>
          <w:color w:val="202122"/>
          <w:sz w:val="21"/>
          <w:szCs w:val="21"/>
        </w:rPr>
        <w:t xml:space="preserve"> : sans heure commune (UTC), impossible de reconstituer l'ordre des événements.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428875"/>
            <wp:effectExtent t="0" r="0" b="0" l="0"/>
            <wp:docPr id="1" name="fig_tp3_chaine_logs.png" descr="De l'événement à la preuve" title="De l'événement à la preu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>De l'événement à la preuve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2. Les outils en 5 minutes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6"/>
        <w:gridCol w:w="4193"/>
        <w:gridCol w:w="3459"/>
      </w:tblGrid>
      <w:tr>
        <w:trPr>
          <w:tblHeader/>
        </w:trPr>
        <w:tc>
          <w:tcPr>
            <w:tcW w:type="dxa" w:w="198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Outil</w:t>
            </w:r>
          </w:p>
        </w:tc>
        <w:tc>
          <w:tcPr>
            <w:tcW w:type="dxa" w:w="419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qu'il trace</w:t>
            </w:r>
          </w:p>
        </w:tc>
        <w:tc>
          <w:tcPr>
            <w:tcW w:type="dxa" w:w="345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Où lire</w:t>
            </w:r>
          </w:p>
        </w:tc>
      </w:tr>
      <w:tr>
        <w:trPr>
          <w:tblHeader w:val="off"/>
        </w:trPr>
        <w:tc>
          <w:tcPr>
            <w:tcW w:type="dxa" w:w="198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pgAudit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(PostgreSQL)</w:t>
            </w:r>
          </w:p>
        </w:tc>
        <w:tc>
          <w:tcPr>
            <w:tcW w:type="dxa" w:w="419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Qui a lu ou modifié une table sensible, combien de lignes</w:t>
            </w:r>
          </w:p>
        </w:tc>
        <w:tc>
          <w:tcPr>
            <w:tcW w:type="dxa" w:w="345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/logs/postgres/postgresql.json</w:t>
            </w:r>
          </w:p>
        </w:tc>
      </w:tr>
      <w:tr>
        <w:trPr>
          <w:tblHeader w:val="off"/>
        </w:trPr>
        <w:tc>
          <w:tcPr>
            <w:tcW w:type="dxa" w:w="198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Audit Vault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(activé au TP1)</w:t>
            </w:r>
          </w:p>
        </w:tc>
        <w:tc>
          <w:tcPr>
            <w:tcW w:type="dxa" w:w="419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Qui a demandé quel secret</w:t>
            </w:r>
          </w:p>
        </w:tc>
        <w:tc>
          <w:tcPr>
            <w:tcW w:type="dxa" w:w="345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/logs/vault/audit.log</w:t>
            </w:r>
          </w:p>
        </w:tc>
      </w:tr>
      <w:tr>
        <w:trPr>
          <w:tblHeader w:val="off"/>
        </w:trPr>
        <w:tc>
          <w:tcPr>
            <w:tcW w:type="dxa" w:w="198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Webhook MinIO</w:t>
            </w:r>
          </w:p>
        </w:tc>
        <w:tc>
          <w:tcPr>
            <w:tcW w:type="dxa" w:w="419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Qui a lu ou écrit quel fichier</w:t>
            </w:r>
          </w:p>
        </w:tc>
        <w:tc>
          <w:tcPr>
            <w:tcW w:type="dxa" w:w="345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/logs/minio/audit.jsonl</w:t>
            </w:r>
          </w:p>
        </w:tc>
      </w:tr>
      <w:tr>
        <w:trPr>
          <w:tblHeader w:val="off"/>
        </w:trPr>
        <w:tc>
          <w:tcPr>
            <w:tcW w:type="dxa" w:w="198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logs</w:t>
            </w:r>
          </w:p>
        </w:tc>
        <w:tc>
          <w:tcPr>
            <w:tcW w:type="dxa" w:w="419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Lire ces journaux sans écrire de filtre</w:t>
            </w:r>
          </w:p>
        </w:tc>
        <w:tc>
          <w:tcPr>
            <w:tcW w:type="dxa" w:w="345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audit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echecs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minio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vault</w:t>
            </w:r>
          </w:p>
        </w:tc>
      </w:tr>
      <w:tr>
        <w:trPr>
          <w:tblHeader w:val="off"/>
        </w:trPr>
        <w:tc>
          <w:tcPr>
            <w:tcW w:type="dxa" w:w="198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detect.py</w:t>
            </w:r>
          </w:p>
        </w:tc>
        <w:tc>
          <w:tcPr>
            <w:tcW w:type="dxa" w:w="419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Règles de détection → alertes classées</w:t>
            </w:r>
          </w:p>
        </w:tc>
        <w:tc>
          <w:tcPr>
            <w:tcW w:type="dxa" w:w="345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python3 /lab/scripts/detect.py</w:t>
            </w:r>
          </w:p>
        </w:tc>
      </w:tr>
    </w:tbl>
    <w:p>
      <w:pPr>
        <w:spacing w:after="120"/>
      </w:pP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Une ligne pgAudit se lit ainsi :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AUDIT: OBJECT,1,1,READ,SELECT,TABLE,rh.employes,"SELECT …",&lt;not logged&gt;,200</w:t>
      </w:r>
      <w:r>
        <w:rPr>
          <w:color w:val="202122"/>
          <w:sz w:val="21"/>
          <w:szCs w:val="21"/>
        </w:rPr>
        <w:t xml:space="preserve">, soit un accès </w:t>
      </w:r>
      <w:r>
        <w:rPr>
          <w:b/>
          <w:bCs/>
          <w:color w:val="202122"/>
          <w:sz w:val="21"/>
          <w:szCs w:val="21"/>
        </w:rPr>
        <w:t xml:space="preserve">objet</w:t>
      </w:r>
      <w:r>
        <w:rPr>
          <w:color w:val="202122"/>
          <w:sz w:val="21"/>
          <w:szCs w:val="21"/>
        </w:rPr>
        <w:t xml:space="preserve">, en </w:t>
      </w:r>
      <w:r>
        <w:rPr>
          <w:b/>
          <w:bCs/>
          <w:color w:val="202122"/>
          <w:sz w:val="21"/>
          <w:szCs w:val="21"/>
        </w:rPr>
        <w:t xml:space="preserve">lecture</w:t>
      </w:r>
      <w:r>
        <w:rPr>
          <w:color w:val="202122"/>
          <w:sz w:val="21"/>
          <w:szCs w:val="21"/>
        </w:rPr>
        <w:t xml:space="preserve">, sur </w:t>
      </w:r>
      <w:r>
        <w:rPr>
          <w:b/>
          <w:bCs/>
          <w:color w:val="202122"/>
          <w:sz w:val="21"/>
          <w:szCs w:val="21"/>
        </w:rPr>
        <w:t xml:space="preserve">rh.employes</w:t>
      </w:r>
      <w:r>
        <w:rPr>
          <w:color w:val="202122"/>
          <w:sz w:val="21"/>
          <w:szCs w:val="21"/>
        </w:rPr>
        <w:t xml:space="preserve">, avec la requête, </w:t>
      </w:r>
      <w:r>
        <w:rPr>
          <w:b/>
          <w:bCs/>
          <w:color w:val="202122"/>
          <w:sz w:val="21"/>
          <w:szCs w:val="21"/>
        </w:rPr>
        <w:t xml:space="preserve">sans</w:t>
      </w:r>
      <w:r>
        <w:rPr>
          <w:color w:val="202122"/>
          <w:sz w:val="21"/>
          <w:szCs w:val="21"/>
        </w:rPr>
        <w:t xml:space="preserve"> les valeurs, et </w:t>
      </w:r>
      <w:r>
        <w:rPr>
          <w:b/>
          <w:bCs/>
          <w:color w:val="202122"/>
          <w:sz w:val="21"/>
          <w:szCs w:val="21"/>
        </w:rPr>
        <w:t xml:space="preserve">200 lignes</w:t>
      </w:r>
      <w:r>
        <w:rPr>
          <w:color w:val="202122"/>
          <w:sz w:val="21"/>
          <w:szCs w:val="21"/>
        </w:rPr>
        <w:t xml:space="preserve"> lues.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3. Mission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1"/>
        <w:gridCol w:w="1090"/>
        <w:gridCol w:w="6237"/>
      </w:tblGrid>
      <w:tr>
        <w:trPr>
          <w:tblHeader/>
        </w:trPr>
        <w:tc>
          <w:tcPr>
            <w:tcW w:type="dxa" w:w="2311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Personne</w:t>
            </w:r>
          </w:p>
        </w:tc>
        <w:tc>
          <w:tcPr>
            <w:tcW w:type="dxa" w:w="623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qu'elle fait aujourd'hui</w:t>
            </w:r>
          </w:p>
        </w:tc>
      </w:tr>
      <w:tr>
        <w:trPr>
          <w:tblHeader w:val="off"/>
        </w:trPr>
        <w:tc>
          <w:tcPr>
            <w:tcW w:type="dxa" w:w="2311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Data Security Engineer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Samira</w:t>
            </w:r>
          </w:p>
        </w:tc>
        <w:tc>
          <w:tcPr>
            <w:tcW w:type="dxa" w:w="623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Active l'audit, enquête, protège les preuves</w:t>
            </w:r>
          </w:p>
        </w:tc>
      </w:tr>
      <w:tr>
        <w:trPr>
          <w:tblHeader w:val="off"/>
        </w:trPr>
        <w:tc>
          <w:tcPr>
            <w:tcW w:type="dxa" w:w="2311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DPO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Claire</w:t>
            </w:r>
          </w:p>
        </w:tc>
        <w:tc>
          <w:tcPr>
            <w:tcW w:type="dxa" w:w="623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Qualifie l'incident et décide de la notification à la CNIL</w:t>
            </w:r>
          </w:p>
        </w:tc>
      </w:tr>
      <w:tr>
        <w:trPr>
          <w:tblHeader w:val="off"/>
        </w:trPr>
        <w:tc>
          <w:tcPr>
            <w:tcW w:type="dxa" w:w="2311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Formateur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—</w:t>
            </w:r>
          </w:p>
        </w:tc>
        <w:tc>
          <w:tcPr>
            <w:tcW w:type="dxa" w:w="623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Joue l'attaquant (lance la simulation) et l'auditeur (lit le rapport)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4. Manipulations guidées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b/>
          <w:bCs/>
          <w:color w:val="202122"/>
          <w:sz w:val="21"/>
          <w:szCs w:val="21"/>
        </w:rPr>
        <w:t xml:space="preserve">Où taper les commandes ?</w:t>
      </w:r>
      <w:r>
        <w:rPr>
          <w:color w:val="202122"/>
          <w:sz w:val="21"/>
          <w:szCs w:val="21"/>
        </w:rPr>
        <w:t xml:space="preserve"> Dans l'onglet </w:t>
      </w:r>
      <w:r>
        <w:rPr>
          <w:b/>
          <w:bCs/>
          <w:color w:val="202122"/>
          <w:sz w:val="21"/>
          <w:szCs w:val="21"/>
        </w:rPr>
        <w:t xml:space="preserve">Terminal</w:t>
      </w:r>
      <w:r>
        <w:rPr>
          <w:color w:val="202122"/>
          <w:sz w:val="21"/>
          <w:szCs w:val="21"/>
        </w:rPr>
        <w:t xml:space="preserve"> de votre console web (adresse et mot de passe donnés par le formateur). Une commande par ligne, Ctrl+Entrée pour lancer. Remplacez chaque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&lt;valeur&gt;</w:t>
      </w:r>
      <w:r>
        <w:rPr>
          <w:color w:val="202122"/>
          <w:sz w:val="21"/>
          <w:szCs w:val="21"/>
        </w:rPr>
        <w:t xml:space="preserve"> par ce que la commande précédente a affiché. Le bouton </w:t>
      </w:r>
      <w:r>
        <w:rPr>
          <w:b/>
          <w:bCs/>
          <w:color w:val="202122"/>
          <w:sz w:val="21"/>
          <w:szCs w:val="21"/>
        </w:rPr>
        <w:t xml:space="preserve">🔑 Voir les identifiants</w:t>
      </w:r>
      <w:r>
        <w:rPr>
          <w:color w:val="202122"/>
          <w:sz w:val="21"/>
          <w:szCs w:val="21"/>
        </w:rPr>
        <w:t xml:space="preserve"> donne tous les mots de passe du lab.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Chaque étape suit la même démarche : </w:t>
      </w:r>
      <w:r>
        <w:rPr>
          <w:b/>
          <w:bCs/>
          <w:color w:val="202122"/>
          <w:sz w:val="21"/>
          <w:szCs w:val="21"/>
        </w:rPr>
        <w:t xml:space="preserve">🎯 Pourquoi → ▶ Faire → ✅ Vérifier</w:t>
      </w:r>
      <w:r>
        <w:rPr>
          <w:color w:val="202122"/>
          <w:sz w:val="21"/>
          <w:szCs w:val="21"/>
        </w:rPr>
        <w:t xml:space="preserve">. Faites une capture de chaque ✅.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b/>
          <w:bCs/>
          <w:color w:val="202122"/>
          <w:sz w:val="21"/>
          <w:szCs w:val="21"/>
        </w:rPr>
        <w:t xml:space="preserve">Aide-mémoire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0"/>
        <w:gridCol w:w="6968"/>
      </w:tblGrid>
      <w:tr>
        <w:trPr>
          <w:tblHeader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Commande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quoi elle sert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sql "SELECT …"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une requête SQL en administrateur (le mot de passe est lu dans Vault)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sql -f fichier.sql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exécuter un fichier SQL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sql-as bruno "SELECT …"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une requête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en tant que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alice, bruno, claire, david, samira ou nadia (à partir du TP2)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vault status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état du coffre (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Sealed true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= fermé)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vault-cles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les 5 clés d'ouverture et le jeton root de Vault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cat fichier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lire un script avant de le lancer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tout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les journaux d'audit, lisibles (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audit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echecs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minio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vault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$POSTGRES_PASSWORD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…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les mots de passe du fichier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sont déjà dans des variables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1 — Allumer l'audit PostgreSQL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Samira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On veut tracer les accès aux tables RESTREINT et les changements de droits, pas tout le reste (trop de bruit).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cat /lab/scripts/sql/tp3/01-audit.sql              # repérez le rôle « auditeur »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-f /lab/scripts/sql/tp3/01-audit.sql           # active l'audit sur les tables sensibles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nadia "SELECT nom, poste FROM rh.employes LIMIT 3"   # Nadia lit 3 fiches…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logs audit                                         # …et le journal l'a noté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Une ligne « nadia  AUDIT: OBJECT,…,rh.employes,…,3 » apparaît.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2 — Collecter MinIO et créer le coffre à preuves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Samira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Les journaux doivent quitter la machine surveillée et être rangés là où personne ne peut les effacer.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cat /lab/scripts/setup/tp3-coffre.sh               # lisez : collecte MinIO, coffre WORM, compte de dépôt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/lab/scripts/setup/tp3-coffre.sh                   # met tout en place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/lab/scripts/seal-logs.sh                          # range une 1re archive des journaux dans le coffre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effacer-preuve                                     # on essaie de l'effacer…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L'effacement est refusé (objet protégé par la rétention WORM).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3 — Rejouer l'incident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Formateur (attaquant)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On reproduit la « nuit agitée » pour disposer de vraies traces. Ne lisez pas le script avant d'avoir enquêté !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/lab/scripts/simulate-incidents.sh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Le script affiche 8 étapes et se termine par « Simulation terminée ».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4 — Enquêter à la main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Samira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Un bon analyste sait lire les journaux avant de faire confiance à un outil automatique.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362325"/>
            <wp:effectExtent t="0" r="0" b="0" l="0"/>
            <wp:docPr id="2" name="fig_tp3_arbre_violation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/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logs echecs      # a) mots de passe ratés, par compte (PostgreSQL)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logs audit       # b) lectures de tables sensibles (PostgreSQL, heure de Paris)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logs minio       # c) accès refusés sur le stockage (MinIO, heure UTC)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logs vault       # d) demandes refusées par le coffre (Vault, heure UTC)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Au moins 6 événements dans la chronologie, dans le bon ordre (tout converti en UTC : PostgreSQL écrit l'heure de Paris).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5 — Détecter automatiquement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Samira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On ne peut pas lire des millions de lignes à la main : on écrit des règles qui lèvent des alertes.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python3 /lab/scripts/detect.py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Des alertes CRITIQUE, HAUTE et MOYENNE s'affichent. Comparez-les à votre chronologie.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6 — Sceller les preuves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Samira → Claire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Si l'affaire va plus loin (licenciement, plainte, CNIL), il faudra prouver que les journaux n'ont pas été modifiés.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/lab/scripts/seal-logs.sh                          # 2e archive, reliée à la 1re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cd /lab/work/scelles &amp;&amp; sha256sum -c *.sha256      # chaque archive est intacte ? (OK)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cat /lab/work/scelles/chaine.txt                   # la chaîne des empreintes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Chaque archive affiche OK, et chaine.txt contient 2 lignes.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5. Questions de compréhension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Pourquoi ne journalise-t-on </w:t>
      </w:r>
      <w:r>
        <w:rPr>
          <w:b/>
          <w:bCs/>
          <w:color w:val="202122"/>
          <w:sz w:val="21"/>
          <w:szCs w:val="21"/>
        </w:rPr>
        <w:t xml:space="preserve">pas</w:t>
      </w:r>
      <w:r>
        <w:rPr>
          <w:color w:val="202122"/>
          <w:sz w:val="21"/>
          <w:szCs w:val="21"/>
        </w:rPr>
        <w:t xml:space="preserve"> toutes les requêtes (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pgaudit.log = 'all'</w:t>
      </w:r>
      <w:r>
        <w:rPr>
          <w:color w:val="202122"/>
          <w:sz w:val="21"/>
          <w:szCs w:val="21"/>
        </w:rPr>
        <w:t xml:space="preserve">) ? Donnez deux raisons.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Dans votre chronologie, pourquoi l'heure de Paris et l'heure UTC posent-elles problème ? Quelle est la solution 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À l'étape 2, le compte </w:t>
      </w:r>
      <w:r>
        <w:rPr>
          <w:b/>
          <w:bCs/>
          <w:color w:val="202122"/>
          <w:sz w:val="21"/>
          <w:szCs w:val="21"/>
        </w:rPr>
        <w:t xml:space="preserve">root</w:t>
      </w:r>
      <w:r>
        <w:rPr>
          <w:color w:val="202122"/>
          <w:sz w:val="21"/>
          <w:szCs w:val="21"/>
        </w:rPr>
        <w:t xml:space="preserve"> de MinIO pourrait-il quand même effacer la preuve ? (indice : mode GOVERNANCE ou COMPLIANCE)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Parmi les alertes de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detect.py</w:t>
      </w:r>
      <w:r>
        <w:rPr>
          <w:color w:val="202122"/>
          <w:sz w:val="21"/>
          <w:szCs w:val="21"/>
        </w:rPr>
        <w:t xml:space="preserve">, laquelle est </w:t>
      </w:r>
      <w:r>
        <w:rPr>
          <w:b/>
          <w:bCs/>
          <w:color w:val="202122"/>
          <w:sz w:val="21"/>
          <w:szCs w:val="21"/>
        </w:rPr>
        <w:t xml:space="preserve">la plus grave</w:t>
      </w:r>
      <w:r>
        <w:rPr>
          <w:color w:val="202122"/>
          <w:sz w:val="21"/>
          <w:szCs w:val="21"/>
        </w:rPr>
        <w:t xml:space="preserve"> selon vous, et pourquoi ?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6. Volet GRC : qualifier un incident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6.1 Le framework : la méthode en 4 étapes, appliquée à un incident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On reprend la même méthode que dans les TP1 et TP2. Ici, l'objet analysé est un </w:t>
      </w:r>
      <w:r>
        <w:rPr>
          <w:b/>
          <w:bCs/>
          <w:color w:val="202122"/>
          <w:sz w:val="21"/>
          <w:szCs w:val="21"/>
        </w:rPr>
        <w:t xml:space="preserve">événement de sécurité</w:t>
      </w:r>
      <w:r>
        <w:rPr>
          <w:color w:val="202122"/>
          <w:sz w:val="21"/>
          <w:szCs w:val="21"/>
        </w:rPr>
        <w:t xml:space="preserve"> : est-ce une violation de données au sens du RGPD, et que doit-on faire ?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019300"/>
            <wp:effectExtent t="0" r="0" b="0" l="0"/>
            <wp:docPr id="3" name="fig_grc_methode.png" descr="La méthode GRC en 4 étapes" title="La méthode GRC en 4 éta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>La méthode GRC en 4 étapes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87"/>
        <w:gridCol w:w="4858"/>
        <w:gridCol w:w="3493"/>
      </w:tblGrid>
      <w:tr>
        <w:trPr>
          <w:tblHeader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485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 question pour un incident</w:t>
            </w:r>
          </w:p>
        </w:tc>
        <w:tc>
          <w:tcPr>
            <w:tcW w:type="dxa" w:w="349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L'outil de ce TP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1. Identifier</w:t>
            </w:r>
          </w:p>
        </w:tc>
        <w:tc>
          <w:tcPr>
            <w:tcW w:type="dxa" w:w="485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Que s'est-il passé ? Quelles données, combien de personnes ?</w:t>
            </w:r>
          </w:p>
        </w:tc>
        <w:tc>
          <w:tcPr>
            <w:tcW w:type="dxa" w:w="349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La chronologie (étape 4)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2. Évaluer</w:t>
            </w:r>
          </w:p>
        </w:tc>
        <w:tc>
          <w:tcPr>
            <w:tcW w:type="dxa" w:w="485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Est-ce une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violation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de données personnelles ? Quel risque pour les personnes ?</w:t>
            </w:r>
          </w:p>
        </w:tc>
        <w:tc>
          <w:tcPr>
            <w:tcW w:type="dxa" w:w="349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L'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arbre de décision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ci-dessous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3. Traiter</w:t>
            </w:r>
          </w:p>
        </w:tc>
        <w:tc>
          <w:tcPr>
            <w:tcW w:type="dxa" w:w="485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Notifier la CNIL (72 h) ? Informer les personnes ? Quelles mesures correctives ?</w:t>
            </w:r>
          </w:p>
        </w:tc>
        <w:tc>
          <w:tcPr>
            <w:tcW w:type="dxa" w:w="349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RGPD art. 33 et 34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4. Prouver</w:t>
            </w:r>
          </w:p>
        </w:tc>
        <w:tc>
          <w:tcPr>
            <w:tcW w:type="dxa" w:w="485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Quelles traces ? Sont-elles intègres ? Qui a décidé, quand ?</w:t>
            </w:r>
          </w:p>
        </w:tc>
        <w:tc>
          <w:tcPr>
            <w:tcW w:type="dxa" w:w="349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Archives scellées + registre des violations</w:t>
            </w:r>
          </w:p>
        </w:tc>
      </w:tr>
    </w:tbl>
    <w:p>
      <w:pPr>
        <w:spacing w:after="12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362325"/>
            <wp:effectExtent t="0" r="0" b="0" l="0"/>
            <wp:docPr id="4" name="fig_tp3_arbre_violation.png" descr="Arbre de décision : faut-il notifier la CNIL et informer les personnes ?" title="Arbre de décision : faut-il notifier la CNIL et informer les personnes 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>Arbre de décision : faut-il notifier la CNIL et informer les personnes ?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À retenir : </w:t>
      </w:r>
      <w:r>
        <w:rPr>
          <w:b/>
          <w:bCs/>
          <w:color w:val="202122"/>
          <w:sz w:val="21"/>
          <w:szCs w:val="21"/>
        </w:rPr>
        <w:t xml:space="preserve">toute</w:t>
      </w:r>
      <w:r>
        <w:rPr>
          <w:color w:val="202122"/>
          <w:sz w:val="21"/>
          <w:szCs w:val="21"/>
        </w:rPr>
        <w:t xml:space="preserve"> violation est inscrite au registre interne (art. 33.5), même quand on ne notifie pas. La notification à la CNIL se fait </w:t>
      </w:r>
      <w:r>
        <w:rPr>
          <w:b/>
          <w:bCs/>
          <w:color w:val="202122"/>
          <w:sz w:val="21"/>
          <w:szCs w:val="21"/>
        </w:rPr>
        <w:t xml:space="preserve">sous 72 h</w:t>
      </w:r>
      <w:r>
        <w:rPr>
          <w:color w:val="202122"/>
          <w:sz w:val="21"/>
          <w:szCs w:val="21"/>
        </w:rPr>
        <w:t xml:space="preserve">. L'information des personnes n'est obligatoire que si le risque est </w:t>
      </w:r>
      <w:r>
        <w:rPr>
          <w:b/>
          <w:bCs/>
          <w:color w:val="202122"/>
          <w:sz w:val="21"/>
          <w:szCs w:val="21"/>
        </w:rPr>
        <w:t xml:space="preserve">élevé</w:t>
      </w:r>
      <w:r>
        <w:rPr>
          <w:color w:val="202122"/>
          <w:sz w:val="21"/>
          <w:szCs w:val="21"/>
        </w:rPr>
        <w:t xml:space="preserve">, sauf si les données étaient chiffrées (art. 34.3.a).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6.2 Exemple corrigé : « Bruno tente de lire la zone raw-data 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16"/>
        <w:gridCol w:w="7922"/>
      </w:tblGrid>
      <w:tr>
        <w:trPr>
          <w:tblHeader/>
        </w:trPr>
        <w:tc>
          <w:tcPr>
            <w:tcW w:type="dxa" w:w="171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792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Réponse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1. Identifier</w:t>
            </w:r>
          </w:p>
        </w:tc>
        <w:tc>
          <w:tcPr>
            <w:tcW w:type="dxa" w:w="792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Journal MinIO : 3 requêtes de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bruno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sur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raw-data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→ code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403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(refusé). Données visées : lots de transactions (IBAN chiffrés). Aucune donnée obtenue.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2. Évaluer</w:t>
            </w:r>
          </w:p>
        </w:tc>
        <w:tc>
          <w:tcPr>
            <w:tcW w:type="dxa" w:w="792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Arbre : « des données ont-elles été lues sans droit ? » →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non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tout a été refusé. Ce n'est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pas une violation RGPD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mais un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incident de sécurité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(tentative hors périmètre).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3. Traiter</w:t>
            </w:r>
          </w:p>
        </w:tc>
        <w:tc>
          <w:tcPr>
            <w:tcW w:type="dxa" w:w="792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Pas de notification CNIL. Entretien avec Bruno et son manager (erreur ou curiosité ?). On garde la règle de détection R4. Texte :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ISO 27001 A.5.25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(évaluation des événements de sécurité).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4. Prouver</w:t>
            </w:r>
          </w:p>
        </w:tc>
        <w:tc>
          <w:tcPr>
            <w:tcW w:type="dxa" w:w="792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Extrait du journal MinIO (3 lignes 403) dans l'archive scellée n°2 + empreinte SHA-256 + décision datée et signée par Samira.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6.3 À vous : « Alice exporte tout l'annuaire RH »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Votre chronologie montre qu'Alice a lu </w:t>
      </w:r>
      <w:r>
        <w:rPr>
          <w:b/>
          <w:bCs/>
          <w:color w:val="202122"/>
          <w:sz w:val="21"/>
          <w:szCs w:val="21"/>
        </w:rPr>
        <w:t xml:space="preserve">200 lignes</w:t>
      </w:r>
      <w:r>
        <w:rPr>
          <w:color w:val="202122"/>
          <w:sz w:val="21"/>
          <w:szCs w:val="21"/>
        </w:rPr>
        <w:t xml:space="preserve"> de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rh.employes</w:t>
      </w:r>
      <w:r>
        <w:rPr>
          <w:color w:val="202122"/>
          <w:sz w:val="21"/>
          <w:szCs w:val="21"/>
        </w:rPr>
        <w:t xml:space="preserve"> (matricule, département, poste, date d'embauche) et les a écrites dans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/tmp/annuaire.csv</w:t>
      </w:r>
      <w:r>
        <w:rPr>
          <w:color w:val="202122"/>
          <w:sz w:val="21"/>
          <w:szCs w:val="21"/>
        </w:rPr>
        <w:t xml:space="preserve">, « pour tester ». Elle a aussi lu les IBAN des 60 clients, qui sont chiffrés (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vault:v2:…</w:t>
      </w:r>
      <w:r>
        <w:rPr>
          <w:color w:val="2021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Identifier</w:t>
      </w:r>
      <w:r>
        <w:rPr>
          <w:color w:val="202122"/>
          <w:sz w:val="21"/>
          <w:szCs w:val="21"/>
        </w:rPr>
        <w:t xml:space="preserve"> — Quelles données ont été lues ? Combien de personnes sont concernées 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Évaluer</w:t>
      </w:r>
      <w:r>
        <w:rPr>
          <w:color w:val="202122"/>
          <w:sz w:val="21"/>
          <w:szCs w:val="21"/>
        </w:rPr>
        <w:t xml:space="preserve"> — Suivez l'arbre : est-ce une violation ? Alice avait le </w:t>
      </w:r>
      <w:r>
        <w:rPr>
          <w:b/>
          <w:bCs/>
          <w:color w:val="202122"/>
          <w:sz w:val="21"/>
          <w:szCs w:val="21"/>
        </w:rPr>
        <w:t xml:space="preserve">droit technique</w:t>
      </w:r>
      <w:r>
        <w:rPr>
          <w:color w:val="202122"/>
          <w:sz w:val="21"/>
          <w:szCs w:val="21"/>
        </w:rPr>
        <w:t xml:space="preserve"> de lire ces colonnes : cela change-t-il la réponse ? (indice : RGPD art. 5.1.b, finalité)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Traiter</w:t>
      </w:r>
      <w:r>
        <w:rPr>
          <w:color w:val="202122"/>
          <w:sz w:val="21"/>
          <w:szCs w:val="21"/>
        </w:rPr>
        <w:t xml:space="preserve"> — Faut-il notifier la CNIL ? Informer les 200 salariés ? Informer les clients dont l'IBAN a été lu ? Justifiez chaque réponse avec l'arbre.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Prouver</w:t>
      </w:r>
      <w:r>
        <w:rPr>
          <w:color w:val="202122"/>
          <w:sz w:val="21"/>
          <w:szCs w:val="21"/>
        </w:rPr>
        <w:t xml:space="preserve"> — Quelles lignes de journal et quelle archive scellée joignez-vous au registre des violations ?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7. Barème (sur 20)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25"/>
        <w:gridCol w:w="1113"/>
      </w:tblGrid>
      <w:tr>
        <w:trPr>
          <w:tblHeader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Étapes 1 à 6 réalisées, avec une capture par ✅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7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Chronologie de l'incident en UTC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Questions de compréhension (§5)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Fiche GRC complète et justifiée (§6.3)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6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80"/>
        <w:sz w:val="16"/>
        <w:szCs w:val="16"/>
      </w:rPr>
      <w:t xml:space="preserve">TP3 — Tracer, détecter, prouver (audit &amp; conformité) · Page </w:t>
    </w:r>
    <w:r>
      <w:rPr>
        <w:color w:val="6B6B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80"/>
        <w:sz w:val="16"/>
        <w:szCs w:val="16"/>
      </w:rPr>
      <w:t xml:space="preserve"> / </w:t>
    </w:r>
    <w:r>
      <w:rPr>
        <w:color w:val="6B6B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9D6" w:sz="4" w:space="4"/>
      </w:pBdr>
      <w:jc w:val="right"/>
    </w:pPr>
    <w:r>
      <w:rPr>
        <w:color w:val="6B6B80"/>
        <w:sz w:val="16"/>
        <w:szCs w:val="16"/>
      </w:rPr>
      <w:t xml:space="preserve">Sécurité des Données &amp; DevSecOps — Projet fil rouge DataCorp Secure · TP3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12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b/>
      <w:bCs/>
      <w:color w:val="5B5B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Georgia" w:cs="Georgia" w:eastAsia="Georgia" w:hAnsi="Georgia"/>
      <w:b/>
      <w:bCs/>
      <w:color w:val="44445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769f2e49a0f1ac0aa33dcba5becaccd4dd32332.png"/><Relationship Id="rId10" Type="http://schemas.openxmlformats.org/officeDocument/2006/relationships/image" Target="media/2879ed739dca7a2ad16363988b78945f99d4f3d1.png"/><Relationship Id="rId11" Type="http://schemas.openxmlformats.org/officeDocument/2006/relationships/image" Target="media/ac6a18e4381f3f3a8f0a86c948dddde792acf4b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TP3 — Tracer, détecter, prouver (audit &amp; conformité)</dc:title>
  <dc:creator>DataCorp Secure — Module Sécurité des Données</dc:creator>
  <cp:lastModifiedBy>Un-named</cp:lastModifiedBy>
  <cp:revision>1</cp:revision>
  <dcterms:created xsi:type="dcterms:W3CDTF">2026-09-28T13:47:55.292Z</dcterms:created>
  <dcterms:modified xsi:type="dcterms:W3CDTF">2026-09-28T13:47:55.293Z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