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TP3 — Tracer, détecter, prouver (audit &amp; conformité)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3 sur 3 · Journalisation, SIEM &amp; conformité RGPD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Binôme, sur la stack des TP1 et TP2 (sinon, le formateur lance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./solutions/run.sh tp2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✅, la chronologie de l'incident et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pgAudit, journal d'audit Vault, webhook d'audit MinIO,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detect.py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Mercredi matin, la supervision signale une nuit agitée : connexions ratées en série, exports volumineux, accès refusés sur le stockage. Samira doit comprendre </w:t>
      </w:r>
      <w:r>
        <w:rPr>
          <w:b/>
          <w:bCs/>
          <w:color w:val="202122"/>
          <w:sz w:val="21"/>
          <w:szCs w:val="21"/>
        </w:rPr>
        <w:t xml:space="preserve">ce qui s'est passé</w:t>
      </w:r>
      <w:r>
        <w:rPr>
          <w:color w:val="202122"/>
          <w:sz w:val="21"/>
          <w:szCs w:val="21"/>
        </w:rPr>
        <w:t xml:space="preserve">. Claire, la DPO, a </w:t>
      </w:r>
      <w:r>
        <w:rPr>
          <w:b/>
          <w:bCs/>
          <w:color w:val="202122"/>
          <w:sz w:val="21"/>
          <w:szCs w:val="21"/>
        </w:rPr>
        <w:t xml:space="preserve">72 heures</w:t>
      </w:r>
      <w:r>
        <w:rPr>
          <w:color w:val="202122"/>
          <w:sz w:val="21"/>
          <w:szCs w:val="21"/>
        </w:rPr>
        <w:t xml:space="preserve"> pour décider s'il faut prévenir la CNIL. Problème : aujourd'hui, presque rien n'est journalisé.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02122"/>
          <w:sz w:val="21"/>
          <w:szCs w:val="21"/>
        </w:rPr>
        <w:t xml:space="preserve">Un bon journal d'audit répond à </w:t>
      </w:r>
      <w:r>
        <w:rPr>
          <w:b/>
          <w:bCs/>
          <w:color w:val="202122"/>
          <w:sz w:val="21"/>
          <w:szCs w:val="21"/>
        </w:rPr>
        <w:t xml:space="preserve">5 questions</w:t>
      </w:r>
      <w:r>
        <w:rPr>
          <w:color w:val="202122"/>
          <w:sz w:val="21"/>
          <w:szCs w:val="21"/>
        </w:rPr>
        <w:t xml:space="preserve"> : </w:t>
      </w:r>
      <w:r>
        <w:rPr>
          <w:b/>
          <w:b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quoi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sur quelle donnée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quand</w:t>
      </w:r>
      <w:r>
        <w:rPr>
          <w:color w:val="202122"/>
          <w:sz w:val="21"/>
          <w:szCs w:val="21"/>
        </w:rPr>
        <w:t xml:space="preserve"> ? </w:t>
      </w:r>
      <w:r>
        <w:rPr>
          <w:b/>
          <w:bCs/>
          <w:color w:val="202122"/>
          <w:sz w:val="21"/>
          <w:szCs w:val="21"/>
        </w:rPr>
        <w:t xml:space="preserve">d'où</w:t>
      </w:r>
      <w:r>
        <w:rPr>
          <w:color w:val="202122"/>
          <w:sz w:val="21"/>
          <w:szCs w:val="21"/>
        </w:rPr>
        <w:t xml:space="preserve"> ? Et il donne le </w:t>
      </w:r>
      <w:r>
        <w:rPr>
          <w:b/>
          <w:bCs/>
          <w:color w:val="202122"/>
          <w:sz w:val="21"/>
          <w:szCs w:val="21"/>
        </w:rPr>
        <w:t xml:space="preserve">résultat</w:t>
      </w:r>
      <w:r>
        <w:rPr>
          <w:color w:val="202122"/>
          <w:sz w:val="21"/>
          <w:szCs w:val="21"/>
        </w:rPr>
        <w:t xml:space="preserve"> (succès ou refus).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On ne journalise pas les données elles-mêmes</w:t>
      </w:r>
      <w:r>
        <w:rPr>
          <w:color w:val="202122"/>
          <w:sz w:val="21"/>
          <w:szCs w:val="21"/>
        </w:rPr>
        <w:t xml:space="preserve"> : un journal plein d'IBAN devient une nouvelle base sensible.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02122"/>
          <w:sz w:val="21"/>
          <w:szCs w:val="21"/>
        </w:rPr>
        <w:t xml:space="preserve">Un journal n'a de valeur que s'il est </w:t>
      </w:r>
      <w:r>
        <w:rPr>
          <w:b/>
          <w:bCs/>
          <w:color w:val="202122"/>
          <w:sz w:val="21"/>
          <w:szCs w:val="21"/>
        </w:rPr>
        <w:t xml:space="preserve">intègre</w:t>
      </w:r>
      <w:r>
        <w:rPr>
          <w:color w:val="202122"/>
          <w:sz w:val="21"/>
          <w:szCs w:val="21"/>
        </w:rPr>
        <w:t xml:space="preserve"> : un pirate efface ses traces. On calcule donc une empreinte (SHA-256) et on le range dans un stockage </w:t>
      </w:r>
      <w:r>
        <w:rPr>
          <w:b/>
          <w:bCs/>
          <w:color w:val="202122"/>
          <w:sz w:val="21"/>
          <w:szCs w:val="21"/>
        </w:rPr>
        <w:t xml:space="preserve">WORM</w:t>
      </w:r>
      <w:r>
        <w:rPr>
          <w:color w:val="202122"/>
          <w:sz w:val="21"/>
          <w:szCs w:val="21"/>
        </w:rPr>
        <w:t xml:space="preserve"> (</w:t>
      </w:r>
      <w:r>
        <w:rPr>
          <w:i/>
          <w:iCs/>
          <w:color w:val="202122"/>
          <w:sz w:val="21"/>
          <w:szCs w:val="21"/>
        </w:rPr>
        <w:t xml:space="preserve">Write Once, Read Many</w:t>
      </w:r>
      <w:r>
        <w:rPr>
          <w:color w:val="202122"/>
          <w:sz w:val="21"/>
          <w:szCs w:val="21"/>
        </w:rPr>
        <w:t xml:space="preserve"> : impossible à effacer).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Même horloge pour tous</w:t>
      </w:r>
      <w:r>
        <w:rPr>
          <w:color w:val="202122"/>
          <w:sz w:val="21"/>
          <w:szCs w:val="21"/>
        </w:rPr>
        <w:t xml:space="preserve"> : sans heure commune (UTC), impossible de reconstituer l'ordre des événements.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428875"/>
            <wp:effectExtent t="0" r="0" b="0" l="0"/>
            <wp:docPr id="1" name="fig_tp3_chaine_logs.png" descr="De l'événement à la preuve" title="De l'événement à la preu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De l'événement à la preuve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Les outils en 5 minutes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4193"/>
        <w:gridCol w:w="3459"/>
      </w:tblGrid>
      <w:tr>
        <w:trPr>
          <w:tblHeader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qu'il trace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lire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pgAudit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(PostgreSQL)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lu ou modifié une table sensible, combien de lignes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/logs/postgres/postgresql.json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Audit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(activé au TP1)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demandé quel secret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/logs/vault/audit.log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Webhook MinIO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lu ou écrit quel fichier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/logs/minio/audit.jsonl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logs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ces journaux sans écrire de filtre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</w:p>
        </w:tc>
      </w:tr>
      <w:tr>
        <w:trPr>
          <w:tblHeader w:val="off"/>
        </w:trPr>
        <w:tc>
          <w:tcPr>
            <w:tcW w:type="dxa" w:w="198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detect.py</w:t>
            </w:r>
          </w:p>
        </w:tc>
        <w:tc>
          <w:tcPr>
            <w:tcW w:type="dxa" w:w="41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Règles de détection → alertes classées</w:t>
            </w:r>
          </w:p>
        </w:tc>
        <w:tc>
          <w:tcPr>
            <w:tcW w:type="dxa" w:w="3459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python3 /lab/scripts/detect.py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Une ligne pgAudit se lit ainsi :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AUDIT: OBJECT,1,1,READ,SELECT,TABLE,rh.employes,"SELECT …",&lt;not logged&gt;,200</w:t>
      </w:r>
      <w:r>
        <w:rPr>
          <w:color w:val="202122"/>
          <w:sz w:val="21"/>
          <w:szCs w:val="21"/>
        </w:rPr>
        <w:t xml:space="preserve">, soit un accès </w:t>
      </w:r>
      <w:r>
        <w:rPr>
          <w:b/>
          <w:bCs/>
          <w:color w:val="202122"/>
          <w:sz w:val="21"/>
          <w:szCs w:val="21"/>
        </w:rPr>
        <w:t xml:space="preserve">objet</w:t>
      </w:r>
      <w:r>
        <w:rPr>
          <w:color w:val="202122"/>
          <w:sz w:val="21"/>
          <w:szCs w:val="21"/>
        </w:rPr>
        <w:t xml:space="preserve">, en </w:t>
      </w:r>
      <w:r>
        <w:rPr>
          <w:b/>
          <w:bCs/>
          <w:color w:val="202122"/>
          <w:sz w:val="21"/>
          <w:szCs w:val="21"/>
        </w:rPr>
        <w:t xml:space="preserve">lecture</w:t>
      </w:r>
      <w:r>
        <w:rPr>
          <w:color w:val="202122"/>
          <w:sz w:val="21"/>
          <w:szCs w:val="21"/>
        </w:rPr>
        <w:t xml:space="preserve">, sur </w:t>
      </w:r>
      <w:r>
        <w:rPr>
          <w:b/>
          <w:bCs/>
          <w:color w:val="202122"/>
          <w:sz w:val="21"/>
          <w:szCs w:val="21"/>
        </w:rPr>
        <w:t xml:space="preserve">rh.employes</w:t>
      </w:r>
      <w:r>
        <w:rPr>
          <w:color w:val="202122"/>
          <w:sz w:val="21"/>
          <w:szCs w:val="21"/>
        </w:rPr>
        <w:t xml:space="preserve">, avec la requête, </w:t>
      </w:r>
      <w:r>
        <w:rPr>
          <w:b/>
          <w:bCs/>
          <w:color w:val="202122"/>
          <w:sz w:val="21"/>
          <w:szCs w:val="21"/>
        </w:rPr>
        <w:t xml:space="preserve">sans</w:t>
      </w:r>
      <w:r>
        <w:rPr>
          <w:color w:val="202122"/>
          <w:sz w:val="21"/>
          <w:szCs w:val="21"/>
        </w:rPr>
        <w:t xml:space="preserve"> les valeurs, et </w:t>
      </w:r>
      <w:r>
        <w:rPr>
          <w:b/>
          <w:bCs/>
          <w:color w:val="202122"/>
          <w:sz w:val="21"/>
          <w:szCs w:val="21"/>
        </w:rPr>
        <w:t xml:space="preserve">200 lignes</w:t>
      </w:r>
      <w:r>
        <w:rPr>
          <w:color w:val="202122"/>
          <w:sz w:val="21"/>
          <w:szCs w:val="21"/>
        </w:rPr>
        <w:t xml:space="preserve"> lues.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1"/>
        <w:gridCol w:w="1090"/>
        <w:gridCol w:w="6237"/>
      </w:tblGrid>
      <w:tr>
        <w:trPr>
          <w:tblHeader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Security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Samira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Active l'audit, enquête, protège les preuves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Qualifie l'incident et décide de la notification à la CNIL</w:t>
            </w:r>
          </w:p>
        </w:tc>
      </w:tr>
      <w:tr>
        <w:trPr>
          <w:tblHeader w:val="off"/>
        </w:trPr>
        <w:tc>
          <w:tcPr>
            <w:tcW w:type="dxa" w:w="2311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Formateur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—</w:t>
            </w:r>
          </w:p>
        </w:tc>
        <w:tc>
          <w:tcPr>
            <w:tcW w:type="dxa" w:w="623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Joue l'attaquant (lance la simulation) et l'auditeur (lit le rapport)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Allumer l'audit PostgreSQL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veut tracer les accès aux tables RESTREINT et les changements de droits, pas tout le reste (trop de bruit).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/lab/scripts/sql/tp3/01-audit.sql              # repérez le rôle « auditeur »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-f /lab/scripts/sql/tp3/01-audit.sql           # active l'audit sur les tables sensibles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sql-as nadia "SELECT nom, poste FROM rh.employes LIMIT 3"   # Nadia lit 3 fiches…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audit                                         # …et le journal l'a noté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Une ligne « nadia  AUDIT: OBJECT,…,rh.employes,…,3 » apparaît.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Collecter MinIO et créer le coffre à preuves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journaux doivent quitter la machine surveillée et être rangés là où personne ne peut les effacer.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/lab/scripts/setup/tp3-coffre.sh               # lisez : collecte MinIO, coffre WORM, compte de dépôt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/lab/scripts/setup/tp3-coffre.sh                   # met tout en place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/lab/scripts/seal-logs.sh                          # range une 1re archive des journaux dans le coffre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effacer-preuve                                     # on essaie de l'effacer…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L'effacement est refusé (objet protégé par la rétention WORM).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Rejouer l'incident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Formateur (attaquant)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reproduit la « nuit agitée » pour disposer de vraies traces. Ne lisez pas le script avant d'avoir enquêté !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/lab/scripts/simulate-incidents.sh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 script affiche 8 étapes et se termine par « Simulation terminée ».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Enquêter à la main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Un bon analyste sait lire les journaux avant de faire confiance à un outil automatique.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2" name="fig_tp3_arbre_violation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echecs      # a) mots de passe ratés, par compte (PostgreSQL)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audit       # b) lectures de tables sensibles (PostgreSQL, heure de Paris)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minio       # c) accès refusés sur le stockage (MinIO, heure UTC)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logs vault       # d) demandes refusées par le coffre (Vault, heure UTC)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Au moins 6 événements dans la chronologie, dans le bon ordre (tout converti en UTC : PostgreSQL écrit l'heure de Paris).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Détecter automatiquement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peut pas lire des millions de lignes à la main : on écrit des règles qui lèvent des alertes.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python3 /lab/scripts/detect.py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Des alertes CRITIQUE, HAUTE et MOYENNE s'affichent. Comparez-les à votre chronologie.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Sceller les preuves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 → Claire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Si l'affaire va plus loin (licenciement, plainte, CNIL), il faudra prouver que les journaux n'ont pas été modifiés.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/lab/scripts/seal-logs.sh                          # 2e archive, reliée à la 1re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cd /lab/work/scelles &amp;&amp; sha256sum -c *.sha256      # chaque archive est intacte ? (OK)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/lab/work/scelles/chaine.txt                   # la chaîne des empreintes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Chaque archive affiche OK, et chaine.txt contient 2 lignes.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Pourquoi ne journalise-t-on </w:t>
      </w:r>
      <w:r>
        <w:rPr>
          <w:b/>
          <w:bCs/>
          <w:color w:val="202122"/>
          <w:sz w:val="21"/>
          <w:szCs w:val="21"/>
        </w:rPr>
        <w:t xml:space="preserve">pas</w:t>
      </w:r>
      <w:r>
        <w:rPr>
          <w:color w:val="202122"/>
          <w:sz w:val="21"/>
          <w:szCs w:val="21"/>
        </w:rPr>
        <w:t xml:space="preserve"> toutes les requêtes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pgaudit.log = 'all'</w:t>
      </w:r>
      <w:r>
        <w:rPr>
          <w:color w:val="202122"/>
          <w:sz w:val="21"/>
          <w:szCs w:val="21"/>
        </w:rPr>
        <w:t xml:space="preserve">) ? Donnez deux raisons.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Dans votre chronologie, pourquoi l'heure de Paris et l'heure UTC posent-elles problème ? Quelle est la solution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2, le compte </w:t>
      </w:r>
      <w:r>
        <w:rPr>
          <w:b/>
          <w:bCs/>
          <w:color w:val="202122"/>
          <w:sz w:val="21"/>
          <w:szCs w:val="21"/>
        </w:rPr>
        <w:t xml:space="preserve">root</w:t>
      </w:r>
      <w:r>
        <w:rPr>
          <w:color w:val="202122"/>
          <w:sz w:val="21"/>
          <w:szCs w:val="21"/>
        </w:rPr>
        <w:t xml:space="preserve"> de MinIO pourrait-il quand même effacer la preuve ? (indice : mode GOVERNANCE ou COMPLIANCE)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Parmi les alertes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detect.py</w:t>
      </w:r>
      <w:r>
        <w:rPr>
          <w:color w:val="202122"/>
          <w:sz w:val="21"/>
          <w:szCs w:val="21"/>
        </w:rPr>
        <w:t xml:space="preserve">, laquelle est </w:t>
      </w:r>
      <w:r>
        <w:rPr>
          <w:b/>
          <w:bCs/>
          <w:color w:val="202122"/>
          <w:sz w:val="21"/>
          <w:szCs w:val="21"/>
        </w:rPr>
        <w:t xml:space="preserve">la plus grave</w:t>
      </w:r>
      <w:r>
        <w:rPr>
          <w:color w:val="202122"/>
          <w:sz w:val="21"/>
          <w:szCs w:val="21"/>
        </w:rPr>
        <w:t xml:space="preserve"> selon vous, et pourquoi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qualifier un incident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étapes, appliquée à un incident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On reprend la même méthode que dans les TP1 et TP2. Ici, l'objet analysé est un </w:t>
      </w:r>
      <w:r>
        <w:rPr>
          <w:b/>
          <w:bCs/>
          <w:color w:val="202122"/>
          <w:sz w:val="21"/>
          <w:szCs w:val="21"/>
        </w:rPr>
        <w:t xml:space="preserve">événement de sécurité</w:t>
      </w:r>
      <w:r>
        <w:rPr>
          <w:color w:val="202122"/>
          <w:sz w:val="21"/>
          <w:szCs w:val="21"/>
        </w:rPr>
        <w:t xml:space="preserve"> : est-ce une violation de données au sens du RGPD, et que doit-on faire ?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3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4858"/>
        <w:gridCol w:w="3493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pour un incident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 s'est-il passé ? Quelles données, combien de personnes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chronologie (étape 4)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Est-ce une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violation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de données personnelles ? Quel risque pour les personnes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L'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arbre de décision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ci-dessous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Notifier la CNIL (72 h) ? Informer les personnes ? Quelles mesures correctives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RGPD art. 33 et 34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485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Quelles traces ? Sont-elles intègres ? Qui a décidé, quand ?</w:t>
            </w:r>
          </w:p>
        </w:tc>
        <w:tc>
          <w:tcPr>
            <w:tcW w:type="dxa" w:w="349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Archives scellées + registre des violations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4" name="fig_tp3_arbre_violation.png" descr="Arbre de décision : faut-il notifier la CNIL et informer les personnes ?" title="Arbre de décision : faut-il notifier la CNIL et informer les personnes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Arbre de décision : faut-il notifier la CNIL et informer les personnes ?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À retenir : </w:t>
      </w:r>
      <w:r>
        <w:rPr>
          <w:b/>
          <w:bCs/>
          <w:color w:val="202122"/>
          <w:sz w:val="21"/>
          <w:szCs w:val="21"/>
        </w:rPr>
        <w:t xml:space="preserve">toute</w:t>
      </w:r>
      <w:r>
        <w:rPr>
          <w:color w:val="202122"/>
          <w:sz w:val="21"/>
          <w:szCs w:val="21"/>
        </w:rPr>
        <w:t xml:space="preserve"> violation est inscrite au registre interne (art. 33.5), même quand on ne notifie pas. La notification à la CNIL se fait </w:t>
      </w:r>
      <w:r>
        <w:rPr>
          <w:b/>
          <w:bCs/>
          <w:color w:val="202122"/>
          <w:sz w:val="21"/>
          <w:szCs w:val="21"/>
        </w:rPr>
        <w:t xml:space="preserve">sous 72 h</w:t>
      </w:r>
      <w:r>
        <w:rPr>
          <w:color w:val="202122"/>
          <w:sz w:val="21"/>
          <w:szCs w:val="21"/>
        </w:rPr>
        <w:t xml:space="preserve">. L'information des personnes n'est obligatoire que si le risque est </w:t>
      </w:r>
      <w:r>
        <w:rPr>
          <w:b/>
          <w:bCs/>
          <w:color w:val="202122"/>
          <w:sz w:val="21"/>
          <w:szCs w:val="21"/>
        </w:rPr>
        <w:t xml:space="preserve">élevé</w:t>
      </w:r>
      <w:r>
        <w:rPr>
          <w:color w:val="202122"/>
          <w:sz w:val="21"/>
          <w:szCs w:val="21"/>
        </w:rPr>
        <w:t xml:space="preserve">, sauf si les données étaient chiffrées (art. 34.3.a).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Bruno tente de lire la zone raw-data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Journal MinIO : 3 requêtes de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bruno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sur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raw-data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→ code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403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(refusé). Données visées : lots de transactions (IBAN chiffrés). Aucune donnée obtenue.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Arbre : « des données ont-elles été lues sans droit ? » →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non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tout a été refusé. Ce n'est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pas une violation RGPD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mais un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incident de sécurité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(tentative hors périmètre).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Pas de notification CNIL. Entretien avec Bruno et son manager (erreur ou curiosité ?). On garde la règle de détection R4.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A.5.25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(évaluation des événements de sécurité).</w:t>
            </w:r>
          </w:p>
        </w:tc>
      </w:tr>
      <w:tr>
        <w:trPr>
          <w:tblHeader w:val="off"/>
        </w:trPr>
        <w:tc>
          <w:tcPr>
            <w:tcW w:type="dxa" w:w="171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7922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Extrait du journal MinIO (3 lignes 403) dans l'archive scellée n°2 + empreinte SHA-256 + décision datée et signée par Samira.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Alice exporte tout l'annuaire RH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Votre chronologie montre qu'Alice a lu </w:t>
      </w:r>
      <w:r>
        <w:rPr>
          <w:b/>
          <w:bCs/>
          <w:color w:val="202122"/>
          <w:sz w:val="21"/>
          <w:szCs w:val="21"/>
        </w:rPr>
        <w:t xml:space="preserve">200 lignes</w:t>
      </w:r>
      <w:r>
        <w:rPr>
          <w:color w:val="202122"/>
          <w:sz w:val="21"/>
          <w:szCs w:val="21"/>
        </w:rPr>
        <w:t xml:space="preserve">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rh.employes</w:t>
      </w:r>
      <w:r>
        <w:rPr>
          <w:color w:val="202122"/>
          <w:sz w:val="21"/>
          <w:szCs w:val="21"/>
        </w:rPr>
        <w:t xml:space="preserve"> (matricule, département, poste, date d'embauche) et les a écrites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/tmp/annuaire.csv</w:t>
      </w:r>
      <w:r>
        <w:rPr>
          <w:color w:val="202122"/>
          <w:sz w:val="21"/>
          <w:szCs w:val="21"/>
        </w:rPr>
        <w:t xml:space="preserve">, « pour tester ». Elle a aussi lu les IBAN des 60 clients, qui sont chiffrés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vault:v2:…</w:t>
      </w:r>
      <w:r>
        <w:rPr>
          <w:color w:val="2021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données ont été lues ? Combien de personnes sont concernées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Suivez l'arbre : est-ce une violation ? Alice avait le </w:t>
      </w:r>
      <w:r>
        <w:rPr>
          <w:b/>
          <w:bCs/>
          <w:color w:val="202122"/>
          <w:sz w:val="21"/>
          <w:szCs w:val="21"/>
        </w:rPr>
        <w:t xml:space="preserve">droit technique</w:t>
      </w:r>
      <w:r>
        <w:rPr>
          <w:color w:val="202122"/>
          <w:sz w:val="21"/>
          <w:szCs w:val="21"/>
        </w:rPr>
        <w:t xml:space="preserve"> de lire ces colonnes : cela change-t-il la réponse ? (indice : RGPD art. 5.1.b, finalité)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Faut-il notifier la CNIL ? Informer les 200 salariés ? Informer les clients dont l'IBAN a été lu ? Justifiez chaque réponse avec l'arbre.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Quelles lignes de journal et quelle archive scellée joignez-vous au registre des violations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6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Chronologie de l'incident en UTC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justifiée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8. Pistes de correction (usage formateur)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Ne pas distribuer avant le rendu.</w:t>
      </w:r>
      <w:r>
        <w:rPr>
          <w:color w:val="202122"/>
          <w:sz w:val="21"/>
          <w:szCs w:val="21"/>
        </w:rPr>
        <w:t xml:space="preserve"> Le script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./solutions/run.sh tp3</w:t>
      </w:r>
      <w:r>
        <w:rPr>
          <w:color w:val="202122"/>
          <w:sz w:val="21"/>
          <w:szCs w:val="21"/>
        </w:rPr>
        <w:t xml:space="preserve"> amène une stack à l'état « fin de TP3 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Q1</w:t>
      </w:r>
      <w:r>
        <w:rPr>
          <w:color w:val="202122"/>
          <w:sz w:val="21"/>
          <w:szCs w:val="21"/>
        </w:rPr>
        <w:t xml:space="preserve"> — Volume et performance ; et surtout, les requêtes contiennent des valeurs (IBAN, NIR) qui se retrouveraient dans les journaux. On cible les tables RESTREINT grâce au rôle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auditeur</w:t>
      </w:r>
      <w:r>
        <w:rPr>
          <w:color w:val="2021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Q2</w:t>
      </w:r>
      <w:r>
        <w:rPr>
          <w:color w:val="202122"/>
          <w:sz w:val="21"/>
          <w:szCs w:val="21"/>
        </w:rPr>
        <w:t xml:space="preserve"> — Décalage de 2 h : un tri mélange les événements. Solution : tout convertir en UTC (ou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log_timezone = 'UTC'</w:t>
      </w:r>
      <w:r>
        <w:rPr>
          <w:color w:val="202122"/>
          <w:sz w:val="21"/>
          <w:szCs w:val="21"/>
        </w:rPr>
        <w:t xml:space="preserve">), avec des horloges synchronisées par NTP (ISO 27001 A.8.17).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Q3</w:t>
      </w:r>
      <w:r>
        <w:rPr>
          <w:color w:val="202122"/>
          <w:sz w:val="21"/>
          <w:szCs w:val="21"/>
        </w:rPr>
        <w:t xml:space="preserve"> — Oui : en mode GOVERNANCE, le root peut forcer avec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mc rm --bypass</w:t>
      </w:r>
      <w:r>
        <w:rPr>
          <w:color w:val="202122"/>
          <w:sz w:val="21"/>
          <w:szCs w:val="21"/>
        </w:rPr>
        <w:t xml:space="preserve">. En mode COMPLIANCE, personne ne le peut, root compris, jusqu'à l'échéance (inconvénient : aucune correction possible en cas d'erreur).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Q4</w:t>
      </w:r>
      <w:r>
        <w:rPr>
          <w:color w:val="202122"/>
          <w:sz w:val="21"/>
          <w:szCs w:val="21"/>
        </w:rPr>
        <w:t xml:space="preserve"> — R3 (lecture massive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rh.employes</w:t>
      </w:r>
      <w:r>
        <w:rPr>
          <w:color w:val="202122"/>
          <w:sz w:val="21"/>
          <w:szCs w:val="21"/>
        </w:rPr>
        <w:t xml:space="preserve"> par Alice) ou R7 (tentative d'effacement des preuves) : toute réponse argumentée est acceptée. Faux positif attendu : R5 sur Alice pour un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GRANT</w:t>
      </w:r>
      <w:r>
        <w:rPr>
          <w:color w:val="202122"/>
          <w:sz w:val="21"/>
          <w:szCs w:val="21"/>
        </w:rPr>
        <w:t xml:space="preserve"> lié à la publication d'une vue (étape 6 du TP2), qui est légitime.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§6.3</w:t>
      </w:r>
      <w:r>
        <w:rPr>
          <w:color w:val="202122"/>
          <w:sz w:val="21"/>
          <w:szCs w:val="21"/>
        </w:rPr>
        <w:t xml:space="preserve"> — 200 salariés ; données d'identification professionnelle, pas de NIR, d'IBAN ni de salaire. C'est une </w:t>
      </w:r>
      <w:r>
        <w:rPr>
          <w:b/>
          <w:bCs/>
          <w:color w:val="202122"/>
          <w:sz w:val="21"/>
          <w:szCs w:val="21"/>
        </w:rPr>
        <w:t xml:space="preserve">violation de confidentialité</w:t>
      </w:r>
      <w:r>
        <w:rPr>
          <w:color w:val="202122"/>
          <w:sz w:val="21"/>
          <w:szCs w:val="21"/>
        </w:rPr>
        <w:t xml:space="preserve"> : l'accès est techniquement autorisé mais sans finalité (art. 5.1.b), donc un détournement. Risque faible si le fichier est supprimé et confiné (à prouver) → inscription au registre (art. 33.5) ; notification CNIL à argumenter (acceptable des deux côtés si c'est justifié) ; pas d'information des salariés (risque non élevé). IBAN clients : chiffrés, clé non compromise → exemption art. 34.3.a. Preuves : lignes pgAudit (200 et 60 lignes), archive scellée n°2, sortie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sha256sum -c</w:t>
      </w:r>
      <w:r>
        <w:rPr>
          <w:color w:val="202122"/>
          <w:sz w:val="21"/>
          <w:szCs w:val="21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TP3 — Tracer, détecter, prouver (audit &amp; conformité)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TP3 · Version formateur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769f2e49a0f1ac0aa33dcba5becaccd4dd32332.png"/><Relationship Id="rId10" Type="http://schemas.openxmlformats.org/officeDocument/2006/relationships/image" Target="media/2879ed739dca7a2ad16363988b78945f99d4f3d1.png"/><Relationship Id="rId11" Type="http://schemas.openxmlformats.org/officeDocument/2006/relationships/image" Target="media/ac6a18e4381f3f3a8f0a86c948dddde792acf4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TP3 — Tracer, détecter, prouver (audit &amp; conformité)</dc:title>
  <dc:creator>DataCorp Secure — Module Sécurité des Données</dc:creator>
  <cp:lastModifiedBy>Un-named</cp:lastModifiedBy>
  <cp:revision>1</cp:revision>
  <dcterms:created xsi:type="dcterms:W3CDTF">2026-09-28T13:47:55.825Z</dcterms:created>
  <dcterms:modified xsi:type="dcterms:W3CDTF">2026-09-28T13:47:55.827Z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