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</w:pPr>
      <w:r>
        <w:rPr>
          <w:rFonts w:ascii="Georgia" w:cs="Georgia" w:eastAsia="Georgia" w:hAnsi="Georgia"/>
          <w:b/>
          <w:bCs/>
          <w:color w:val="5B5B79"/>
          <w:sz w:val="40"/>
          <w:szCs w:val="40"/>
        </w:rPr>
        <w:t xml:space="preserve">TP3 — Tracer, détecter, prouver (audit &amp; conformité)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4445A"/>
          <w:sz w:val="22"/>
          <w:szCs w:val="22"/>
        </w:rPr>
        <w:t xml:space="preserve">Module Sécurité des Données &amp; DevSecOps — Projet fil rouge « DataCorp Secure »</w:t>
      </w:r>
    </w:p>
    <w:p>
      <w:pPr>
        <w:spacing w:after="200"/>
      </w:pPr>
      <w:r>
        <w:rPr>
          <w:rFonts w:ascii="Georgia" w:cs="Georgia" w:eastAsia="Georgia" w:hAnsi="Georgia"/>
          <w:i/>
          <w:iCs/>
          <w:color w:val="44445A"/>
          <w:sz w:val="24"/>
          <w:szCs w:val="24"/>
        </w:rPr>
        <w:t xml:space="preserve">Séance 3 sur 3 · Journalisation, SIEM &amp; conformité RGPD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24"/>
        <w:gridCol w:w="7414"/>
      </w:tblGrid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Durée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 h 30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Modalité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Binôme, sur la stack des TP1 et TP2 (sinon, le formateur lance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./solutions/run.sh tp2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Rendu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Compte rendu de 2 pages : une capture par étape ✅, la chronologie de l'incident et la fiche GRC du §6.3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Outils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pgAudit, journal d'audit Vault, webhook d'audit MinIO,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jq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detect.py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Contexte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Mercredi matin, la supervision signale une nuit agitée : connexions ratées en série, exports volumineux, accès refusés sur le stockage. Samira doit comprendre </w:t>
      </w:r>
      <w:r>
        <w:rPr>
          <w:b/>
          <w:bCs/>
          <w:color w:val="202122"/>
          <w:sz w:val="21"/>
          <w:szCs w:val="21"/>
        </w:rPr>
        <w:t xml:space="preserve">ce qui s'est passé</w:t>
      </w:r>
      <w:r>
        <w:rPr>
          <w:color w:val="202122"/>
          <w:sz w:val="21"/>
          <w:szCs w:val="21"/>
        </w:rPr>
        <w:t xml:space="preserve">. Claire, la DPO, a </w:t>
      </w:r>
      <w:r>
        <w:rPr>
          <w:b/>
          <w:bCs/>
          <w:color w:val="202122"/>
          <w:sz w:val="21"/>
          <w:szCs w:val="21"/>
        </w:rPr>
        <w:t xml:space="preserve">72 heures</w:t>
      </w:r>
      <w:r>
        <w:rPr>
          <w:color w:val="202122"/>
          <w:sz w:val="21"/>
          <w:szCs w:val="21"/>
        </w:rPr>
        <w:t xml:space="preserve"> pour décider s'il faut prévenir la CNIL. Problème : aujourd'hui, presque rien n'est journalisé.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1. Le cours en bref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02122"/>
          <w:sz w:val="21"/>
          <w:szCs w:val="21"/>
        </w:rPr>
        <w:t xml:space="preserve">Un bon journal d'audit répond à </w:t>
      </w:r>
      <w:r>
        <w:rPr>
          <w:b/>
          <w:bCs/>
          <w:color w:val="202122"/>
          <w:sz w:val="21"/>
          <w:szCs w:val="21"/>
        </w:rPr>
        <w:t xml:space="preserve">5 questions</w:t>
      </w:r>
      <w:r>
        <w:rPr>
          <w:color w:val="202122"/>
          <w:sz w:val="21"/>
          <w:szCs w:val="21"/>
        </w:rPr>
        <w:t xml:space="preserve"> : </w:t>
      </w:r>
      <w:r>
        <w:rPr>
          <w:b/>
          <w:bCs/>
          <w:color w:val="202122"/>
          <w:sz w:val="21"/>
          <w:szCs w:val="21"/>
        </w:rPr>
        <w:t xml:space="preserve">qui</w:t>
      </w:r>
      <w:r>
        <w:rPr>
          <w:color w:val="202122"/>
          <w:sz w:val="21"/>
          <w:szCs w:val="21"/>
        </w:rPr>
        <w:t xml:space="preserve"> ? </w:t>
      </w:r>
      <w:r>
        <w:rPr>
          <w:b/>
          <w:bCs/>
          <w:color w:val="202122"/>
          <w:sz w:val="21"/>
          <w:szCs w:val="21"/>
        </w:rPr>
        <w:t xml:space="preserve">quoi</w:t>
      </w:r>
      <w:r>
        <w:rPr>
          <w:color w:val="202122"/>
          <w:sz w:val="21"/>
          <w:szCs w:val="21"/>
        </w:rPr>
        <w:t xml:space="preserve"> ? </w:t>
      </w:r>
      <w:r>
        <w:rPr>
          <w:b/>
          <w:bCs/>
          <w:color w:val="202122"/>
          <w:sz w:val="21"/>
          <w:szCs w:val="21"/>
        </w:rPr>
        <w:t xml:space="preserve">sur quelle donnée</w:t>
      </w:r>
      <w:r>
        <w:rPr>
          <w:color w:val="202122"/>
          <w:sz w:val="21"/>
          <w:szCs w:val="21"/>
        </w:rPr>
        <w:t xml:space="preserve"> ? </w:t>
      </w:r>
      <w:r>
        <w:rPr>
          <w:b/>
          <w:bCs/>
          <w:color w:val="202122"/>
          <w:sz w:val="21"/>
          <w:szCs w:val="21"/>
        </w:rPr>
        <w:t xml:space="preserve">quand</w:t>
      </w:r>
      <w:r>
        <w:rPr>
          <w:color w:val="202122"/>
          <w:sz w:val="21"/>
          <w:szCs w:val="21"/>
        </w:rPr>
        <w:t xml:space="preserve"> ? </w:t>
      </w:r>
      <w:r>
        <w:rPr>
          <w:b/>
          <w:bCs/>
          <w:color w:val="202122"/>
          <w:sz w:val="21"/>
          <w:szCs w:val="21"/>
        </w:rPr>
        <w:t xml:space="preserve">d'où</w:t>
      </w:r>
      <w:r>
        <w:rPr>
          <w:color w:val="202122"/>
          <w:sz w:val="21"/>
          <w:szCs w:val="21"/>
        </w:rPr>
        <w:t xml:space="preserve"> ? Et il donne le </w:t>
      </w:r>
      <w:r>
        <w:rPr>
          <w:b/>
          <w:bCs/>
          <w:color w:val="202122"/>
          <w:sz w:val="21"/>
          <w:szCs w:val="21"/>
        </w:rPr>
        <w:t xml:space="preserve">résultat</w:t>
      </w:r>
      <w:r>
        <w:rPr>
          <w:color w:val="202122"/>
          <w:sz w:val="21"/>
          <w:szCs w:val="21"/>
        </w:rPr>
        <w:t xml:space="preserve"> (succès ou refus).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On ne journalise pas les données elles-mêmes</w:t>
      </w:r>
      <w:r>
        <w:rPr>
          <w:color w:val="202122"/>
          <w:sz w:val="21"/>
          <w:szCs w:val="21"/>
        </w:rPr>
        <w:t xml:space="preserve"> : un journal plein d'IBAN devient une nouvelle base sensible.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02122"/>
          <w:sz w:val="21"/>
          <w:szCs w:val="21"/>
        </w:rPr>
        <w:t xml:space="preserve">Un journal n'a de valeur que s'il est </w:t>
      </w:r>
      <w:r>
        <w:rPr>
          <w:b/>
          <w:bCs/>
          <w:color w:val="202122"/>
          <w:sz w:val="21"/>
          <w:szCs w:val="21"/>
        </w:rPr>
        <w:t xml:space="preserve">intègre</w:t>
      </w:r>
      <w:r>
        <w:rPr>
          <w:color w:val="202122"/>
          <w:sz w:val="21"/>
          <w:szCs w:val="21"/>
        </w:rPr>
        <w:t xml:space="preserve"> : un pirate efface ses traces. On calcule donc une empreinte (SHA-256) et on le range dans un stockage </w:t>
      </w:r>
      <w:r>
        <w:rPr>
          <w:b/>
          <w:bCs/>
          <w:color w:val="202122"/>
          <w:sz w:val="21"/>
          <w:szCs w:val="21"/>
        </w:rPr>
        <w:t xml:space="preserve">WORM</w:t>
      </w:r>
      <w:r>
        <w:rPr>
          <w:color w:val="202122"/>
          <w:sz w:val="21"/>
          <w:szCs w:val="21"/>
        </w:rPr>
        <w:t xml:space="preserve"> (</w:t>
      </w:r>
      <w:r>
        <w:rPr>
          <w:i/>
          <w:iCs/>
          <w:color w:val="202122"/>
          <w:sz w:val="21"/>
          <w:szCs w:val="21"/>
        </w:rPr>
        <w:t xml:space="preserve">Write Once, Read Many</w:t>
      </w:r>
      <w:r>
        <w:rPr>
          <w:color w:val="202122"/>
          <w:sz w:val="21"/>
          <w:szCs w:val="21"/>
        </w:rPr>
        <w:t xml:space="preserve"> : impossible à effacer).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Même horloge pour tous</w:t>
      </w:r>
      <w:r>
        <w:rPr>
          <w:color w:val="202122"/>
          <w:sz w:val="21"/>
          <w:szCs w:val="21"/>
        </w:rPr>
        <w:t xml:space="preserve"> : sans heure commune (UTC), impossible de reconstituer l'ordre des événements.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428875"/>
            <wp:effectExtent t="0" r="0" b="0" l="0"/>
            <wp:docPr id="1" name="fig_tp3_chaine_logs.png" descr="De l'événement à la preuve" title="De l'événement à la preu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De l'événement à la preuve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2. Les outils en 5 minutes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86"/>
        <w:gridCol w:w="4616"/>
        <w:gridCol w:w="2836"/>
      </w:tblGrid>
      <w:tr>
        <w:trPr>
          <w:tblHeader/>
        </w:trPr>
        <w:tc>
          <w:tcPr>
            <w:tcW w:type="dxa" w:w="21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46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qu'il trace</w:t>
            </w:r>
          </w:p>
        </w:tc>
        <w:tc>
          <w:tcPr>
            <w:tcW w:type="dxa" w:w="28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lire</w:t>
            </w:r>
          </w:p>
        </w:tc>
      </w:tr>
      <w:tr>
        <w:trPr>
          <w:tblHeader w:val="false"/>
        </w:trPr>
        <w:tc>
          <w:tcPr>
            <w:tcW w:type="dxa" w:w="21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pgAudit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(PostgreSQL)</w:t>
            </w:r>
          </w:p>
        </w:tc>
        <w:tc>
          <w:tcPr>
            <w:tcW w:type="dxa" w:w="46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Qui a lu ou modifié une table sensible, combien de lignes</w:t>
            </w:r>
          </w:p>
        </w:tc>
        <w:tc>
          <w:tcPr>
            <w:tcW w:type="dxa" w:w="28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/logs/postgres/postgresql.json</w:t>
            </w:r>
          </w:p>
        </w:tc>
      </w:tr>
      <w:tr>
        <w:trPr>
          <w:tblHeader w:val="false"/>
        </w:trPr>
        <w:tc>
          <w:tcPr>
            <w:tcW w:type="dxa" w:w="21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Audit Vault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(activé au TP1)</w:t>
            </w:r>
          </w:p>
        </w:tc>
        <w:tc>
          <w:tcPr>
            <w:tcW w:type="dxa" w:w="46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Qui a demandé quel secret</w:t>
            </w:r>
          </w:p>
        </w:tc>
        <w:tc>
          <w:tcPr>
            <w:tcW w:type="dxa" w:w="28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/logs/vault/audit.log</w:t>
            </w:r>
          </w:p>
        </w:tc>
      </w:tr>
      <w:tr>
        <w:trPr>
          <w:tblHeader w:val="false"/>
        </w:trPr>
        <w:tc>
          <w:tcPr>
            <w:tcW w:type="dxa" w:w="21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Webhook MinIO</w:t>
            </w:r>
          </w:p>
        </w:tc>
        <w:tc>
          <w:tcPr>
            <w:tcW w:type="dxa" w:w="46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Qui a lu ou écrit quel fichier</w:t>
            </w:r>
          </w:p>
        </w:tc>
        <w:tc>
          <w:tcPr>
            <w:tcW w:type="dxa" w:w="28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/logs/minio/audit.jsonl</w:t>
            </w:r>
          </w:p>
        </w:tc>
      </w:tr>
      <w:tr>
        <w:trPr>
          <w:tblHeader w:val="false"/>
        </w:trPr>
        <w:tc>
          <w:tcPr>
            <w:tcW w:type="dxa" w:w="21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jq</w:t>
            </w:r>
          </w:p>
        </w:tc>
        <w:tc>
          <w:tcPr>
            <w:tcW w:type="dxa" w:w="46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Filtrer du JSON en ligne de commande</w:t>
            </w:r>
          </w:p>
        </w:tc>
        <w:tc>
          <w:tcPr>
            <w:tcW w:type="dxa" w:w="28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jq 'select(.user=="bruno")' fichier</w:t>
            </w:r>
          </w:p>
        </w:tc>
      </w:tr>
      <w:tr>
        <w:trPr>
          <w:tblHeader w:val="false"/>
        </w:trPr>
        <w:tc>
          <w:tcPr>
            <w:tcW w:type="dxa" w:w="21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detect.py</w:t>
            </w:r>
          </w:p>
        </w:tc>
        <w:tc>
          <w:tcPr>
            <w:tcW w:type="dxa" w:w="46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Règles de détection → alertes classées</w:t>
            </w:r>
          </w:p>
        </w:tc>
        <w:tc>
          <w:tcPr>
            <w:tcW w:type="dxa" w:w="28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python3 /lab/scripts/detect.py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Une ligne pgAudit se lit ainsi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AUDIT: OBJECT,1,1,READ,SELECT,TABLE,rh.employes,"SELECT …",&lt;not logged&gt;,200</w:t>
      </w:r>
      <w:r>
        <w:rPr>
          <w:color w:val="202122"/>
          <w:sz w:val="21"/>
          <w:szCs w:val="21"/>
        </w:rPr>
        <w:t xml:space="preserve">, soit un accès </w:t>
      </w:r>
      <w:r>
        <w:rPr>
          <w:b/>
          <w:bCs/>
          <w:color w:val="202122"/>
          <w:sz w:val="21"/>
          <w:szCs w:val="21"/>
        </w:rPr>
        <w:t xml:space="preserve">objet</w:t>
      </w:r>
      <w:r>
        <w:rPr>
          <w:color w:val="202122"/>
          <w:sz w:val="21"/>
          <w:szCs w:val="21"/>
        </w:rPr>
        <w:t xml:space="preserve">, en </w:t>
      </w:r>
      <w:r>
        <w:rPr>
          <w:b/>
          <w:bCs/>
          <w:color w:val="202122"/>
          <w:sz w:val="21"/>
          <w:szCs w:val="21"/>
        </w:rPr>
        <w:t xml:space="preserve">lecture</w:t>
      </w:r>
      <w:r>
        <w:rPr>
          <w:color w:val="202122"/>
          <w:sz w:val="21"/>
          <w:szCs w:val="21"/>
        </w:rPr>
        <w:t xml:space="preserve">, sur </w:t>
      </w:r>
      <w:r>
        <w:rPr>
          <w:b/>
          <w:bCs/>
          <w:color w:val="202122"/>
          <w:sz w:val="21"/>
          <w:szCs w:val="21"/>
        </w:rPr>
        <w:t xml:space="preserve">rh.employes</w:t>
      </w:r>
      <w:r>
        <w:rPr>
          <w:color w:val="202122"/>
          <w:sz w:val="21"/>
          <w:szCs w:val="21"/>
        </w:rPr>
        <w:t xml:space="preserve">, avec la requête, </w:t>
      </w:r>
      <w:r>
        <w:rPr>
          <w:b/>
          <w:bCs/>
          <w:color w:val="202122"/>
          <w:sz w:val="21"/>
          <w:szCs w:val="21"/>
        </w:rPr>
        <w:t xml:space="preserve">sans</w:t>
      </w:r>
      <w:r>
        <w:rPr>
          <w:color w:val="202122"/>
          <w:sz w:val="21"/>
          <w:szCs w:val="21"/>
        </w:rPr>
        <w:t xml:space="preserve"> les valeurs, et </w:t>
      </w:r>
      <w:r>
        <w:rPr>
          <w:b/>
          <w:bCs/>
          <w:color w:val="202122"/>
          <w:sz w:val="21"/>
          <w:szCs w:val="21"/>
        </w:rPr>
        <w:t xml:space="preserve">200 lignes</w:t>
      </w:r>
      <w:r>
        <w:rPr>
          <w:color w:val="202122"/>
          <w:sz w:val="21"/>
          <w:szCs w:val="21"/>
        </w:rPr>
        <w:t xml:space="preserve"> lues.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3. Mission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1"/>
        <w:gridCol w:w="1090"/>
        <w:gridCol w:w="6237"/>
      </w:tblGrid>
      <w:tr>
        <w:trPr>
          <w:tblHeader/>
        </w:trPr>
        <w:tc>
          <w:tcPr>
            <w:tcW w:type="dxa" w:w="231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Personne</w:t>
            </w:r>
          </w:p>
        </w:tc>
        <w:tc>
          <w:tcPr>
            <w:tcW w:type="dxa" w:w="623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qu'elle fait aujourd'hui</w:t>
            </w:r>
          </w:p>
        </w:tc>
      </w:tr>
      <w:tr>
        <w:trPr>
          <w:tblHeader w:val="false"/>
        </w:trPr>
        <w:tc>
          <w:tcPr>
            <w:tcW w:type="dxa" w:w="231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Data Security Engineer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Samira</w:t>
            </w:r>
          </w:p>
        </w:tc>
        <w:tc>
          <w:tcPr>
            <w:tcW w:type="dxa" w:w="623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Active l'audit, enquête, protège les preuves</w:t>
            </w:r>
          </w:p>
        </w:tc>
      </w:tr>
      <w:tr>
        <w:trPr>
          <w:tblHeader w:val="false"/>
        </w:trPr>
        <w:tc>
          <w:tcPr>
            <w:tcW w:type="dxa" w:w="231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DPO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Claire</w:t>
            </w:r>
          </w:p>
        </w:tc>
        <w:tc>
          <w:tcPr>
            <w:tcW w:type="dxa" w:w="623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Qualifie l'incident et décide de la notification à la CNIL</w:t>
            </w:r>
          </w:p>
        </w:tc>
      </w:tr>
      <w:tr>
        <w:trPr>
          <w:tblHeader w:val="false"/>
        </w:trPr>
        <w:tc>
          <w:tcPr>
            <w:tcW w:type="dxa" w:w="231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Formateur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—</w:t>
            </w:r>
          </w:p>
        </w:tc>
        <w:tc>
          <w:tcPr>
            <w:tcW w:type="dxa" w:w="623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Joue l'attaquant (lance la simulation) et l'auditeur (lit le rapport)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4. Manipulations guidées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Démarche à chaque étape : </w:t>
      </w:r>
      <w:r>
        <w:rPr>
          <w:b/>
          <w:bCs/>
          <w:color w:val="202122"/>
          <w:sz w:val="21"/>
          <w:szCs w:val="21"/>
        </w:rPr>
        <w:t xml:space="preserve">🎯 Pourquoi → ▶ Faire → ✅ Vérifier</w:t>
      </w:r>
      <w:r>
        <w:rPr>
          <w:color w:val="202122"/>
          <w:sz w:val="21"/>
          <w:szCs w:val="21"/>
        </w:rPr>
        <w:t xml:space="preserve">. Tout se passe dans la toolbox. Si Vault est scellé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/lab/scripts/vault-unseal.sh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1 — Allumer l'audit PostgreSQL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On veut tracer les accès aux tables </w:t>
      </w:r>
      <w:r>
        <w:rPr>
          <w:b/>
          <w:bCs/>
          <w:i/>
          <w:iCs/>
          <w:color w:val="44445A"/>
        </w:rPr>
        <w:t xml:space="preserve">RESTREINT</w:t>
      </w:r>
      <w:r>
        <w:rPr>
          <w:i/>
          <w:iCs/>
          <w:color w:val="44445A"/>
        </w:rPr>
        <w:t xml:space="preserve"> et les changements de droits, pas tout le reste (trop de bruit).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less /lab/scripts/sql/tp3/01-audit.sql                     # repérez le rôle "auditeur"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-f /lab/scripts/sql/tp3/01-audit.sql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as() { u=$1; shift; PGPASSWORD="$(vault kv get -field=password kv/datacorp/users/pg/$u)" psql -U "$u" -c "$*"; }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nadia "SELECT nom, poste FROM rh.employes LIMIT 3"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jq -c 'select((.message // "") | startswith("AUDIT")) | {timestamp, user, message}' /logs/postgres/postgresql.json | tail -2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une ligne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AUDIT: OBJECT,…,rh.employes,…,3</w:t>
      </w:r>
      <w:r>
        <w:rPr>
          <w:color w:val="202122"/>
          <w:sz w:val="21"/>
          <w:szCs w:val="21"/>
        </w:rPr>
        <w:t xml:space="preserve"> au nom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nadia</w:t>
      </w:r>
      <w:r>
        <w:rPr>
          <w:color w:val="202122"/>
          <w:sz w:val="21"/>
          <w:szCs w:val="21"/>
        </w:rPr>
        <w:t xml:space="preserve"> apparaît.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2 — Collecter MinIO et créer le coffre à preuves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Les journaux doivent </w:t>
      </w:r>
      <w:r>
        <w:rPr>
          <w:b/>
          <w:bCs/>
          <w:i/>
          <w:iCs/>
          <w:color w:val="44445A"/>
        </w:rPr>
        <w:t xml:space="preserve">quitter</w:t>
      </w:r>
      <w:r>
        <w:rPr>
          <w:i/>
          <w:iCs/>
          <w:color w:val="44445A"/>
        </w:rPr>
        <w:t xml:space="preserve"> la machine surveillée et être rangés là où personne ne peut les effacer.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cat /lab/scripts/setup/tp3-coffre.sh                       # webhook, bucket WORM, compte de dépôt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/lab/scripts/setup/tp3-coffre.sh                           # AUDIT_TOKEN : voir le fichier .env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/lab/scripts/seal-logs.sh                                  # 1re archive scellée (état de référence)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OBJ=$(mc ls --recursive dc/audit-logs | awk '{print $NF}' | grep tar.gz | head -1)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mc rm "dc/audit-logs/$OBJ"                                 # on essaie d'effacer une preuve…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l'effacement est </w:t>
      </w:r>
      <w:r>
        <w:rPr>
          <w:b/>
          <w:bCs/>
          <w:color w:val="202122"/>
          <w:sz w:val="21"/>
          <w:szCs w:val="21"/>
        </w:rPr>
        <w:t xml:space="preserve">refusé</w:t>
      </w:r>
      <w:r>
        <w:rPr>
          <w:color w:val="202122"/>
          <w:sz w:val="21"/>
          <w:szCs w:val="21"/>
        </w:rPr>
        <w:t xml:space="preserve"> (objet protégé par la rétention).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3 — Rejouer l'incident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On reproduit la « nuit agitée » pour disposer de vraies traces. Ne lisez pas le script avant d'avoir enquêté !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/lab/scripts/simulate-incidents.sh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le script affiche 8 étapes et se termine par « Simulation terminée ».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4 — Enquêter à la main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Un bon analyste sait lire les journaux </w:t>
      </w:r>
      <w:r>
        <w:rPr>
          <w:b/>
          <w:bCs/>
          <w:i/>
          <w:iCs/>
          <w:color w:val="44445A"/>
        </w:rPr>
        <w:t xml:space="preserve">avant</w:t>
      </w:r>
      <w:r>
        <w:rPr>
          <w:i/>
          <w:iCs/>
          <w:color w:val="44445A"/>
        </w:rPr>
        <w:t xml:space="preserve"> de faire confiance à un outil automatique.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P=/logs/postgres/postgresql.json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jq -r 'select(.state_code=="28P01") | .user' $P | sort | uniq -c          # a) mots de passe ratés, par compte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jq -r 'select((.message // "") | startswith("AUDIT: OBJECT"))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     | [.timestamp, .user, .message[0:110]] | @tsv' $P | tail -5         # b) lectures de tables sensibles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jq -c 'select((.api.statusCode // 0) &gt;= 400)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     | {time, qui: .accessKey, api: .api.name, bucket: .api.bucket}' /logs/minio/audit.jsonl   # c) refus MinIO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jq -c 'select(.error != null) | {time, qui: .auth.display_name, path: .request.path}' /logs/vault/audit.log  # d) refus Vault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Remplissez la </w:t>
      </w:r>
      <w:r>
        <w:rPr>
          <w:b/>
          <w:bCs/>
          <w:color w:val="202122"/>
          <w:sz w:val="21"/>
          <w:szCs w:val="21"/>
        </w:rPr>
        <w:t xml:space="preserve">chronologie</w:t>
      </w:r>
      <w:r>
        <w:rPr>
          <w:color w:val="202122"/>
          <w:sz w:val="21"/>
          <w:szCs w:val="21"/>
        </w:rPr>
        <w:t xml:space="preserve"> (livrable)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752"/>
        <w:gridCol w:w="876"/>
        <w:gridCol w:w="3679"/>
        <w:gridCol w:w="1404"/>
      </w:tblGrid>
      <w:tr>
        <w:trPr>
          <w:tblHeader/>
        </w:trPr>
        <w:tc>
          <w:tcPr>
            <w:tcW w:type="dxa" w:w="192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 (UTC)</w:t>
            </w:r>
          </w:p>
        </w:tc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8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Qui</w:t>
            </w:r>
          </w:p>
        </w:tc>
        <w:tc>
          <w:tcPr>
            <w:tcW w:type="dxa" w:w="367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Quoi</w:t>
            </w:r>
          </w:p>
        </w:tc>
        <w:tc>
          <w:tcPr>
            <w:tcW w:type="dxa" w:w="140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…</w:t>
            </w:r>
          </w:p>
        </w:tc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PostgreSQL</w:t>
            </w:r>
          </w:p>
        </w:tc>
        <w:tc>
          <w:tcPr>
            <w:tcW w:type="dxa" w:w="8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bruno</w:t>
            </w:r>
          </w:p>
        </w:tc>
        <w:tc>
          <w:tcPr>
            <w:tcW w:type="dxa" w:w="367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8 mots de passe ratés</w:t>
            </w:r>
          </w:p>
        </w:tc>
        <w:tc>
          <w:tcPr>
            <w:tcW w:type="dxa" w:w="140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refusé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…</w:t>
            </w:r>
          </w:p>
        </w:tc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…</w:t>
            </w:r>
          </w:p>
        </w:tc>
        <w:tc>
          <w:tcPr>
            <w:tcW w:type="dxa" w:w="8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…</w:t>
            </w:r>
          </w:p>
        </w:tc>
        <w:tc>
          <w:tcPr>
            <w:tcW w:type="dxa" w:w="367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…</w:t>
            </w:r>
          </w:p>
        </w:tc>
        <w:tc>
          <w:tcPr>
            <w:tcW w:type="dxa" w:w="140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…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⚠ PostgreSQL écrit l'heure de Paris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CEST</w:t>
      </w:r>
      <w:r>
        <w:rPr>
          <w:color w:val="202122"/>
          <w:sz w:val="21"/>
          <w:szCs w:val="21"/>
        </w:rPr>
        <w:t xml:space="preserve">, UTC+2), MinIO et Vault écrivent l'heure UTC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Z</w:t>
      </w:r>
      <w:r>
        <w:rPr>
          <w:color w:val="202122"/>
          <w:sz w:val="21"/>
          <w:szCs w:val="21"/>
        </w:rPr>
        <w:t xml:space="preserve">). </w:t>
      </w:r>
      <w:r>
        <w:rPr>
          <w:b/>
          <w:bCs/>
          <w:color w:val="202122"/>
          <w:sz w:val="21"/>
          <w:szCs w:val="21"/>
        </w:rPr>
        <w:t xml:space="preserve">Convertissez tout en UTC.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au moins 6 événements, dans le bon ordre.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5 — Détecter automatiquement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On ne peut pas lire des millions de lignes à la main : on écrit des </w:t>
      </w:r>
      <w:r>
        <w:rPr>
          <w:b/>
          <w:bCs/>
          <w:i/>
          <w:iCs/>
          <w:color w:val="44445A"/>
        </w:rPr>
        <w:t xml:space="preserve">règles</w:t>
      </w:r>
      <w:r>
        <w:rPr>
          <w:i/>
          <w:iCs/>
          <w:color w:val="44445A"/>
        </w:rPr>
        <w:t xml:space="preserve"> qui lèvent des alertes.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python3 /lab/scripts/detect.py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des alertes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CRITIQUE</w:t>
      </w:r>
      <w:r>
        <w:rPr>
          <w:color w:val="2021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HAUTE</w:t>
      </w:r>
      <w:r>
        <w:rPr>
          <w:color w:val="202122"/>
          <w:sz w:val="21"/>
          <w:szCs w:val="21"/>
        </w:rPr>
        <w:t xml:space="preserve"> et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MOYENNE</w:t>
      </w:r>
      <w:r>
        <w:rPr>
          <w:color w:val="202122"/>
          <w:sz w:val="21"/>
          <w:szCs w:val="21"/>
        </w:rPr>
        <w:t xml:space="preserve"> s'affichent. Comparez-les à votre chronologie de l'étape 4.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6 — Sceller les preuves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Si l'affaire va plus loin (licenciement, plainte, contrôle CNIL), il faudra prouver que les journaux n'ont </w:t>
      </w:r>
      <w:r>
        <w:rPr>
          <w:b/>
          <w:bCs/>
          <w:i/>
          <w:iCs/>
          <w:color w:val="44445A"/>
        </w:rPr>
        <w:t xml:space="preserve">pas été modifiés</w:t>
      </w:r>
      <w:r>
        <w:rPr>
          <w:i/>
          <w:iCs/>
          <w:color w:val="44445A"/>
        </w:rPr>
        <w:t xml:space="preserve">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/lab/scripts/seal-logs.sh                                  # 2e archive, chaînée à la 1re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cd /lab/work/scelles &amp;&amp; sha256sum -c ./*.sha256 &amp;&amp; cat chaine.txt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chaque archive affiche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OK</w:t>
      </w:r>
      <w:r>
        <w:rPr>
          <w:color w:val="202122"/>
          <w:sz w:val="21"/>
          <w:szCs w:val="21"/>
        </w:rPr>
        <w:t xml:space="preserve">, et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chaine.txt</w:t>
      </w:r>
      <w:r>
        <w:rPr>
          <w:color w:val="202122"/>
          <w:sz w:val="21"/>
          <w:szCs w:val="21"/>
        </w:rPr>
        <w:t xml:space="preserve"> contient 2 maillons.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5. Questions de compréhension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Pourquoi ne journalise-t-on </w:t>
      </w:r>
      <w:r>
        <w:rPr>
          <w:b/>
          <w:bCs/>
          <w:color w:val="202122"/>
          <w:sz w:val="21"/>
          <w:szCs w:val="21"/>
        </w:rPr>
        <w:t xml:space="preserve">pas</w:t>
      </w:r>
      <w:r>
        <w:rPr>
          <w:color w:val="202122"/>
          <w:sz w:val="21"/>
          <w:szCs w:val="21"/>
        </w:rPr>
        <w:t xml:space="preserve"> toutes les requêtes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pgaudit.log = 'all'</w:t>
      </w:r>
      <w:r>
        <w:rPr>
          <w:color w:val="202122"/>
          <w:sz w:val="21"/>
          <w:szCs w:val="21"/>
        </w:rPr>
        <w:t xml:space="preserve">) ? Donnez deux raisons.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Dans votre chronologie, pourquoi l'heure de Paris et l'heure UTC posent-elles problème ? Quelle est la solution 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2, le compte </w:t>
      </w:r>
      <w:r>
        <w:rPr>
          <w:b/>
          <w:bCs/>
          <w:color w:val="202122"/>
          <w:sz w:val="21"/>
          <w:szCs w:val="21"/>
        </w:rPr>
        <w:t xml:space="preserve">root</w:t>
      </w:r>
      <w:r>
        <w:rPr>
          <w:color w:val="202122"/>
          <w:sz w:val="21"/>
          <w:szCs w:val="21"/>
        </w:rPr>
        <w:t xml:space="preserve"> de MinIO pourrait-il quand même effacer la preuve ? (indice : mode GOVERNANCE ou COMPLIANCE)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Parmi les alertes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detect.py</w:t>
      </w:r>
      <w:r>
        <w:rPr>
          <w:color w:val="202122"/>
          <w:sz w:val="21"/>
          <w:szCs w:val="21"/>
        </w:rPr>
        <w:t xml:space="preserve">, laquelle est </w:t>
      </w:r>
      <w:r>
        <w:rPr>
          <w:b/>
          <w:bCs/>
          <w:color w:val="202122"/>
          <w:sz w:val="21"/>
          <w:szCs w:val="21"/>
        </w:rPr>
        <w:t xml:space="preserve">la plus grave</w:t>
      </w:r>
      <w:r>
        <w:rPr>
          <w:color w:val="202122"/>
          <w:sz w:val="21"/>
          <w:szCs w:val="21"/>
        </w:rPr>
        <w:t xml:space="preserve"> selon vous, et pourquoi ?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6. Volet GRC : qualifier un incident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6.1 Le framework : la méthode en 4 étapes, appliquée à un incident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On reprend la même méthode que dans les TP1 et TP2. Ici, l'objet analysé est un </w:t>
      </w:r>
      <w:r>
        <w:rPr>
          <w:b/>
          <w:bCs/>
          <w:color w:val="202122"/>
          <w:sz w:val="21"/>
          <w:szCs w:val="21"/>
        </w:rPr>
        <w:t xml:space="preserve">événement de sécurité</w:t>
      </w:r>
      <w:r>
        <w:rPr>
          <w:color w:val="202122"/>
          <w:sz w:val="21"/>
          <w:szCs w:val="21"/>
        </w:rPr>
        <w:t xml:space="preserve"> : est-ce une violation de données au sens du RGPD, et que doit-on faire ?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019300"/>
            <wp:effectExtent t="0" r="0" b="0" l="0"/>
            <wp:docPr id="1" name="fig_grc_methode.png" descr="La méthode GRC en 4 étapes" title="La méthode GRC en 4 étap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La méthode GRC en 4 étapes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7"/>
        <w:gridCol w:w="4858"/>
        <w:gridCol w:w="3493"/>
      </w:tblGrid>
      <w:tr>
        <w:trPr>
          <w:tblHeader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485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 question pour un incident</w:t>
            </w:r>
          </w:p>
        </w:tc>
        <w:tc>
          <w:tcPr>
            <w:tcW w:type="dxa" w:w="349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L'outil de ce TP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1. Identifier</w:t>
            </w:r>
          </w:p>
        </w:tc>
        <w:tc>
          <w:tcPr>
            <w:tcW w:type="dxa" w:w="485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 s'est-il passé ? Quelles données, combien de personnes ?</w:t>
            </w:r>
          </w:p>
        </w:tc>
        <w:tc>
          <w:tcPr>
            <w:tcW w:type="dxa" w:w="349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La chronologie (étape 4)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2. Évaluer</w:t>
            </w:r>
          </w:p>
        </w:tc>
        <w:tc>
          <w:tcPr>
            <w:tcW w:type="dxa" w:w="485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Est-ce une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violation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de données personnelles ? Quel risque pour les personnes ?</w:t>
            </w:r>
          </w:p>
        </w:tc>
        <w:tc>
          <w:tcPr>
            <w:tcW w:type="dxa" w:w="349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L'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arbre de décision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ci-dessous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3. Traiter</w:t>
            </w:r>
          </w:p>
        </w:tc>
        <w:tc>
          <w:tcPr>
            <w:tcW w:type="dxa" w:w="485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Notifier la CNIL (72 h) ? Informer les personnes ? Quelles mesures correctives ?</w:t>
            </w:r>
          </w:p>
        </w:tc>
        <w:tc>
          <w:tcPr>
            <w:tcW w:type="dxa" w:w="349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RGPD art. 33 et 34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4. Prouver</w:t>
            </w:r>
          </w:p>
        </w:tc>
        <w:tc>
          <w:tcPr>
            <w:tcW w:type="dxa" w:w="485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Quelles traces ? Sont-elles intègres ? Qui a décidé, quand ?</w:t>
            </w:r>
          </w:p>
        </w:tc>
        <w:tc>
          <w:tcPr>
            <w:tcW w:type="dxa" w:w="349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Archives scellées + registre des violations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fig_tp3_arbre_violation.png" descr="Arbre de décision : faut-il notifier la CNIL et informer les personnes ?" title="Arbre de décision : faut-il notifier la CNIL et informer les personnes 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Arbre de décision : faut-il notifier la CNIL et informer les personnes ?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À retenir : </w:t>
      </w:r>
      <w:r>
        <w:rPr>
          <w:b/>
          <w:bCs/>
          <w:color w:val="202122"/>
          <w:sz w:val="21"/>
          <w:szCs w:val="21"/>
        </w:rPr>
        <w:t xml:space="preserve">toute</w:t>
      </w:r>
      <w:r>
        <w:rPr>
          <w:color w:val="202122"/>
          <w:sz w:val="21"/>
          <w:szCs w:val="21"/>
        </w:rPr>
        <w:t xml:space="preserve"> violation est inscrite au registre interne (art. 33.5), même quand on ne notifie pas. La notification à la CNIL se fait </w:t>
      </w:r>
      <w:r>
        <w:rPr>
          <w:b/>
          <w:bCs/>
          <w:color w:val="202122"/>
          <w:sz w:val="21"/>
          <w:szCs w:val="21"/>
        </w:rPr>
        <w:t xml:space="preserve">sous 72 h</w:t>
      </w:r>
      <w:r>
        <w:rPr>
          <w:color w:val="202122"/>
          <w:sz w:val="21"/>
          <w:szCs w:val="21"/>
        </w:rPr>
        <w:t xml:space="preserve">. L'information des personnes n'est obligatoire que si le risque est </w:t>
      </w:r>
      <w:r>
        <w:rPr>
          <w:b/>
          <w:bCs/>
          <w:color w:val="202122"/>
          <w:sz w:val="21"/>
          <w:szCs w:val="21"/>
        </w:rPr>
        <w:t xml:space="preserve">élevé</w:t>
      </w:r>
      <w:r>
        <w:rPr>
          <w:color w:val="202122"/>
          <w:sz w:val="21"/>
          <w:szCs w:val="21"/>
        </w:rPr>
        <w:t xml:space="preserve">, sauf si les données étaient chiffrées (art. 34.3.a).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6.2 Exemple corrigé : « Bruno tente de lire la zone raw-data 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16"/>
        <w:gridCol w:w="7922"/>
      </w:tblGrid>
      <w:tr>
        <w:trPr>
          <w:tblHeader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1. Identifier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Journal MinIO : 3 requêtes de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bruno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sur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raw-data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→ code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403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(refusé). Données visées : lots de transactions (IBAN chiffrés). Aucune donnée obtenue.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2. Évaluer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Arbre : « des données ont-elles été lues sans droit ? » →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non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tout a été refusé. Ce n'est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pas une violation RGPD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mais un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incident de sécurité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(tentative hors périmètre).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3. Traiter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Pas de notification CNIL. Entretien avec Bruno et son manager (erreur ou curiosité ?). On garde la règle de détection R4. Texte :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ISO 27001 A.5.25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(évaluation des événements de sécurité).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4. Prouver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Extrait du journal MinIO (3 lignes 403) dans l'archive scellée n°2 + empreinte SHA-256 + décision datée et signée par Samira.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6.3 À vous : « Alice exporte tout l'annuaire RH »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Votre chronologie montre qu'Alice a lu </w:t>
      </w:r>
      <w:r>
        <w:rPr>
          <w:b/>
          <w:bCs/>
          <w:color w:val="202122"/>
          <w:sz w:val="21"/>
          <w:szCs w:val="21"/>
        </w:rPr>
        <w:t xml:space="preserve">200 lignes</w:t>
      </w:r>
      <w:r>
        <w:rPr>
          <w:color w:val="202122"/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rh.employes</w:t>
      </w:r>
      <w:r>
        <w:rPr>
          <w:color w:val="202122"/>
          <w:sz w:val="21"/>
          <w:szCs w:val="21"/>
        </w:rPr>
        <w:t xml:space="preserve"> (matricule, département, poste, date d'embauche) et les a écrites dans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/tmp/annuaire.csv</w:t>
      </w:r>
      <w:r>
        <w:rPr>
          <w:color w:val="202122"/>
          <w:sz w:val="21"/>
          <w:szCs w:val="21"/>
        </w:rPr>
        <w:t xml:space="preserve">, « pour tester ». Elle a aussi lu les IBAN des 60 clients, qui sont chiffrés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vault:v2:…</w:t>
      </w:r>
      <w:r>
        <w:rPr>
          <w:color w:val="202122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Identifier</w:t>
      </w:r>
      <w:r>
        <w:rPr>
          <w:color w:val="202122"/>
          <w:sz w:val="21"/>
          <w:szCs w:val="21"/>
        </w:rPr>
        <w:t xml:space="preserve"> — Quelles données ont été lues ? Combien de personnes sont concernées ?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Évaluer</w:t>
      </w:r>
      <w:r>
        <w:rPr>
          <w:color w:val="202122"/>
          <w:sz w:val="21"/>
          <w:szCs w:val="21"/>
        </w:rPr>
        <w:t xml:space="preserve"> — Suivez l'arbre : est-ce une violation ? Alice avait le </w:t>
      </w:r>
      <w:r>
        <w:rPr>
          <w:b/>
          <w:bCs/>
          <w:color w:val="202122"/>
          <w:sz w:val="21"/>
          <w:szCs w:val="21"/>
        </w:rPr>
        <w:t xml:space="preserve">droit technique</w:t>
      </w:r>
      <w:r>
        <w:rPr>
          <w:color w:val="202122"/>
          <w:sz w:val="21"/>
          <w:szCs w:val="21"/>
        </w:rPr>
        <w:t xml:space="preserve"> de lire ces colonnes : cela change-t-il la réponse ? (indice : RGPD art. 5.1.b, finalité)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Traiter</w:t>
      </w:r>
      <w:r>
        <w:rPr>
          <w:color w:val="202122"/>
          <w:sz w:val="21"/>
          <w:szCs w:val="21"/>
        </w:rPr>
        <w:t xml:space="preserve"> — Faut-il notifier la CNIL ? Informer les 200 salariés ? Informer les clients dont l'IBAN a été lu ? Justifiez chaque réponse avec l'arbre.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Prouver</w:t>
      </w:r>
      <w:r>
        <w:rPr>
          <w:color w:val="202122"/>
          <w:sz w:val="21"/>
          <w:szCs w:val="21"/>
        </w:rPr>
        <w:t xml:space="preserve"> — Quelles lignes de journal et quelle archive scellée joignez-vous au registre des violations ?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7. Barème (sur 20)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25"/>
        <w:gridCol w:w="1113"/>
      </w:tblGrid>
      <w:tr>
        <w:trPr>
          <w:tblHeader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Critère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Points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Étapes 1 à 6 réalisées, avec une capture par ✅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Chronologie de l'incident en UTC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Questions de compréhension (§5)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Fiche GRC complète et justifiée (§6.3)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6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8. Pistes de correction (usage formateur)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i/>
          <w:iCs/>
          <w:color w:val="202122"/>
          <w:sz w:val="21"/>
          <w:szCs w:val="21"/>
        </w:rPr>
        <w:t xml:space="preserve">Ne pas distribuer avant le rendu.</w:t>
      </w:r>
      <w:r>
        <w:rPr>
          <w:color w:val="202122"/>
          <w:sz w:val="21"/>
          <w:szCs w:val="21"/>
        </w:rPr>
        <w:t xml:space="preserve"> Le script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./solutions/run.sh tp3</w:t>
      </w:r>
      <w:r>
        <w:rPr>
          <w:color w:val="202122"/>
          <w:sz w:val="21"/>
          <w:szCs w:val="21"/>
        </w:rPr>
        <w:t xml:space="preserve"> amène une stack à l'état « fin de TP3 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Q1</w:t>
      </w:r>
      <w:r>
        <w:rPr>
          <w:color w:val="202122"/>
          <w:sz w:val="21"/>
          <w:szCs w:val="21"/>
        </w:rPr>
        <w:t xml:space="preserve"> — Volume et performance ; et surtout, les requêtes contiennent des valeurs (IBAN, NIR) qui se retrouveraient dans les journaux. On cible les tables RESTREINT grâce au rôle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auditeur</w:t>
      </w:r>
      <w:r>
        <w:rPr>
          <w:color w:val="20212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Q2</w:t>
      </w:r>
      <w:r>
        <w:rPr>
          <w:color w:val="202122"/>
          <w:sz w:val="21"/>
          <w:szCs w:val="21"/>
        </w:rPr>
        <w:t xml:space="preserve"> — Décalage de 2 h : un tri mélange les événements. Solution : tout convertir en UTC (ou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log_timezone = 'UTC'</w:t>
      </w:r>
      <w:r>
        <w:rPr>
          <w:color w:val="202122"/>
          <w:sz w:val="21"/>
          <w:szCs w:val="21"/>
        </w:rPr>
        <w:t xml:space="preserve">), avec des horloges synchronisées par NTP (ISO 27001 A.8.17).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Q3</w:t>
      </w:r>
      <w:r>
        <w:rPr>
          <w:color w:val="202122"/>
          <w:sz w:val="21"/>
          <w:szCs w:val="21"/>
        </w:rPr>
        <w:t xml:space="preserve"> — Oui : en mode GOVERNANCE, le root peut forcer avec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mc rm --bypass</w:t>
      </w:r>
      <w:r>
        <w:rPr>
          <w:color w:val="202122"/>
          <w:sz w:val="21"/>
          <w:szCs w:val="21"/>
        </w:rPr>
        <w:t xml:space="preserve">. En mode COMPLIANCE, personne ne le peut, root compris, jusqu'à l'échéance (inconvénient : aucune correction possible en cas d'erreur).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Q4</w:t>
      </w:r>
      <w:r>
        <w:rPr>
          <w:color w:val="202122"/>
          <w:sz w:val="21"/>
          <w:szCs w:val="21"/>
        </w:rPr>
        <w:t xml:space="preserve"> — R3 (lecture massive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rh.employes</w:t>
      </w:r>
      <w:r>
        <w:rPr>
          <w:color w:val="202122"/>
          <w:sz w:val="21"/>
          <w:szCs w:val="21"/>
        </w:rPr>
        <w:t xml:space="preserve"> par Alice) ou R7 (tentative d'effacement des preuves) : toute réponse argumentée est acceptée. Faux positif attendu : R5 sur Alice pour un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GRANT</w:t>
      </w:r>
      <w:r>
        <w:rPr>
          <w:color w:val="202122"/>
          <w:sz w:val="21"/>
          <w:szCs w:val="21"/>
        </w:rPr>
        <w:t xml:space="preserve"> lié à la publication d'une vue (étape 6 du TP2), qui est légitime.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§6.3</w:t>
      </w:r>
      <w:r>
        <w:rPr>
          <w:color w:val="202122"/>
          <w:sz w:val="21"/>
          <w:szCs w:val="21"/>
        </w:rPr>
        <w:t xml:space="preserve"> — 200 salariés ; données d'identification professionnelle, pas de NIR, d'IBAN ni de salaire. C'est une </w:t>
      </w:r>
      <w:r>
        <w:rPr>
          <w:b/>
          <w:bCs/>
          <w:color w:val="202122"/>
          <w:sz w:val="21"/>
          <w:szCs w:val="21"/>
        </w:rPr>
        <w:t xml:space="preserve">violation de confidentialité</w:t>
      </w:r>
      <w:r>
        <w:rPr>
          <w:color w:val="202122"/>
          <w:sz w:val="21"/>
          <w:szCs w:val="21"/>
        </w:rPr>
        <w:t xml:space="preserve"> : l'accès est techniquement autorisé mais sans finalité (art. 5.1.b), donc un détournement. Risque faible si le fichier est supprimé et confiné (à prouver) → inscription au registre (art. 33.5) ; notification CNIL à argumenter (acceptable des deux côtés si c'est justifié) ; pas d'information des salariés (risque non élevé). IBAN clients : chiffrés, clé non compromise → exemption art. 34.3.a. Preuves : lignes pgAudit (200 et 60 lignes), archive scellée n°2, sortie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sha256sum -c</w:t>
      </w:r>
      <w:r>
        <w:rPr>
          <w:color w:val="202122"/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80"/>
        <w:sz w:val="16"/>
        <w:szCs w:val="16"/>
      </w:rPr>
      <w:t xml:space="preserve">TP3 — Tracer, détecter, prouver (audit &amp; conformité) · Page </w:t>
    </w:r>
    <w:r>
      <w:rPr>
        <w:color w:val="6B6B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80"/>
        <w:sz w:val="16"/>
        <w:szCs w:val="16"/>
      </w:rPr>
      <w:t xml:space="preserve"> / </w:t>
    </w:r>
    <w:r>
      <w:rPr>
        <w:color w:val="6B6B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D6" w:sz="4" w:space="4"/>
      </w:pBdr>
      <w:jc w:val="right"/>
    </w:pPr>
    <w:r>
      <w:rPr>
        <w:color w:val="6B6B80"/>
        <w:sz w:val="16"/>
        <w:szCs w:val="16"/>
      </w:rPr>
      <w:t xml:space="preserve">Sécurité des Données &amp; DevSecOps — Projet fil rouge DataCorp Secure · TP3 · Version formateur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1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b/>
      <w:bCs/>
      <w:color w:val="5B5B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Georgia" w:cs="Georgia" w:eastAsia="Georgia" w:hAnsi="Georgia"/>
      <w:b/>
      <w:bCs/>
      <w:color w:val="44445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769f2e49a0f1ac0aa33dcba5becaccd4dd32332.png"/><Relationship Id="rId10" Type="http://schemas.openxmlformats.org/officeDocument/2006/relationships/image" Target="media/ac6a18e4381f3f3a8f0a86c948dddde792acf4b5.png"/><Relationship Id="rId11" Type="http://schemas.openxmlformats.org/officeDocument/2006/relationships/image" Target="media/2879ed739dca7a2ad16363988b78945f99d4f3d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TP3 — Tracer, détecter, prouver (audit &amp; conformité)</dc:title>
  <dc:creator>DataCorp Secure — Module Sécurité des Données</dc:creator>
  <cp:lastModifiedBy>Un-named</cp:lastModifiedBy>
  <cp:revision>1</cp:revision>
  <dcterms:created xsi:type="dcterms:W3CDTF">2026-09-27T17:45:55.625Z</dcterms:created>
  <dcterms:modified xsi:type="dcterms:W3CDTF">2026-09-27T17:45:55.626Z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