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200" w:before="0" w:line="312" w:lineRule="auto"/>
        <w:jc w:val="left"/>
        <w:rPr>
          <w:rFonts w:ascii="Rubik" w:cs="Rubik" w:eastAsia="Rubik" w:hAnsi="Rubik"/>
          <w:b w:val="0"/>
          <w:color w:val="666666"/>
          <w:sz w:val="36"/>
          <w:szCs w:val="36"/>
        </w:rPr>
      </w:pPr>
      <w:bookmarkStart w:colFirst="0" w:colLast="0" w:name="_heading=h.x36oy5demzwb" w:id="0"/>
      <w:bookmarkEnd w:id="0"/>
      <w:r w:rsidDel="00000000" w:rsidR="00000000" w:rsidRPr="00000000">
        <w:rPr>
          <w:rFonts w:ascii="Rubik" w:cs="Rubik" w:eastAsia="Rubik" w:hAnsi="Rubik"/>
          <w:b w:val="0"/>
          <w:color w:val="666666"/>
          <w:sz w:val="36"/>
          <w:szCs w:val="36"/>
          <w:rtl w:val="0"/>
        </w:rPr>
        <w:t xml:space="preserve">Front End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after="200" w:before="0" w:line="312" w:lineRule="auto"/>
        <w:jc w:val="left"/>
        <w:rPr>
          <w:rFonts w:ascii="Rubik" w:cs="Rubik" w:eastAsia="Rubik" w:hAnsi="Rubik"/>
          <w:color w:val="000000"/>
          <w:sz w:val="50"/>
          <w:szCs w:val="50"/>
        </w:rPr>
      </w:pPr>
      <w:bookmarkStart w:colFirst="0" w:colLast="0" w:name="_heading=h.yyxyng9b2fhq" w:id="1"/>
      <w:bookmarkEnd w:id="1"/>
      <w:r w:rsidDel="00000000" w:rsidR="00000000" w:rsidRPr="00000000">
        <w:rPr>
          <w:rFonts w:ascii="Rubik" w:cs="Rubik" w:eastAsia="Rubik" w:hAnsi="Rubik"/>
          <w:color w:val="000000"/>
          <w:sz w:val="50"/>
          <w:szCs w:val="50"/>
          <w:rtl w:val="0"/>
        </w:rPr>
        <w:t xml:space="preserve">O que é um JWT?</w:t>
      </w:r>
    </w:p>
    <w:p w:rsidR="00000000" w:rsidDel="00000000" w:rsidP="00000000" w:rsidRDefault="00000000" w:rsidRPr="00000000" w14:paraId="00000003">
      <w:pPr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Em poucas palavras, é um padrão de criptografia aberto usado para transmitir informações com segurança entre duas partes. A forma como essa informação é transmitida é através de um objeto JSON (com certeza você se lembra que vimos como o formato JSON era usado para compartilhar informações entre cliente e servidor). Sua peculiaridade é que as informações transmitidas podem ser verificadas, pois o JWT é assinado digitalmente.</w:t>
      </w:r>
    </w:p>
    <w:p w:rsidR="00000000" w:rsidDel="00000000" w:rsidP="00000000" w:rsidRDefault="00000000" w:rsidRPr="00000000" w14:paraId="00000004">
      <w:pPr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Agora, como é composto um JWT? Basicamente, a estrutura mais simples de um JWT consiste em três partes: header, payload e signature.</w:t>
      </w:r>
    </w:p>
    <w:p w:rsidR="00000000" w:rsidDel="00000000" w:rsidP="00000000" w:rsidRDefault="00000000" w:rsidRPr="00000000" w14:paraId="00000005">
      <w:pPr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0" w:line="312" w:lineRule="auto"/>
        <w:jc w:val="left"/>
        <w:rPr>
          <w:rFonts w:ascii="Rubik Medium" w:cs="Rubik Medium" w:eastAsia="Rubik Medium" w:hAnsi="Rubik Medium"/>
          <w:color w:val="666666"/>
          <w:sz w:val="34"/>
          <w:szCs w:val="34"/>
        </w:rPr>
      </w:pPr>
      <w:r w:rsidDel="00000000" w:rsidR="00000000" w:rsidRPr="00000000">
        <w:rPr>
          <w:rFonts w:ascii="Rubik Medium" w:cs="Rubik Medium" w:eastAsia="Rubik Medium" w:hAnsi="Rubik Medium"/>
          <w:color w:val="666666"/>
          <w:sz w:val="34"/>
          <w:szCs w:val="34"/>
          <w:rtl w:val="0"/>
        </w:rPr>
        <w:t xml:space="preserve">Exemplo:</w:t>
      </w:r>
    </w:p>
    <w:p w:rsidR="00000000" w:rsidDel="00000000" w:rsidP="00000000" w:rsidRDefault="00000000" w:rsidRPr="00000000" w14:paraId="00000007">
      <w:pPr>
        <w:spacing w:after="200" w:before="0" w:line="312" w:lineRule="auto"/>
        <w:jc w:val="left"/>
        <w:rPr>
          <w:rFonts w:ascii="Consolas" w:cs="Consolas" w:eastAsia="Consolas" w:hAnsi="Consolas"/>
          <w:color w:val="cc0000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color w:val="cc0000"/>
          <w:shd w:fill="efefef" w:val="clear"/>
          <w:rtl w:val="0"/>
        </w:rPr>
        <w:t xml:space="preserve">xxxxx.yyyyy.zzzzz</w:t>
      </w:r>
    </w:p>
    <w:p w:rsidR="00000000" w:rsidDel="00000000" w:rsidP="00000000" w:rsidRDefault="00000000" w:rsidRPr="00000000" w14:paraId="00000008">
      <w:pPr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Vamos dar uma olhada rápida em cada uma dessas partes: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00" w:before="0" w:line="312" w:lineRule="auto"/>
        <w:ind w:left="720" w:hanging="360"/>
        <w:jc w:val="left"/>
        <w:rPr/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Header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: esta parte contém as informações sobre o tipo de token (JWT) e o algoritmo de criptografia usado. Sua estrutura é a seguinte:</w:t>
      </w:r>
      <w:r w:rsidDel="00000000" w:rsidR="00000000" w:rsidRPr="00000000">
        <w:rPr>
          <w:rtl w:val="0"/>
        </w:rPr>
      </w:r>
    </w:p>
    <w:tbl>
      <w:tblPr>
        <w:tblStyle w:val="Table1"/>
        <w:tblW w:w="9644.0" w:type="dxa"/>
        <w:jc w:val="left"/>
        <w:tblInd w:w="100.0" w:type="pct"/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00" w:before="0" w:line="312" w:lineRule="auto"/>
              <w:jc w:val="left"/>
              <w:rPr>
                <w:rFonts w:ascii="Consolas" w:cs="Consolas" w:eastAsia="Consolas" w:hAnsi="Consolas"/>
                <w:color w:val="cc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000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0B">
            <w:pPr>
              <w:spacing w:after="200" w:before="0" w:line="312" w:lineRule="auto"/>
              <w:jc w:val="left"/>
              <w:rPr>
                <w:rFonts w:ascii="Consolas" w:cs="Consolas" w:eastAsia="Consolas" w:hAnsi="Consolas"/>
                <w:color w:val="cc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0000"/>
                <w:rtl w:val="0"/>
              </w:rPr>
              <w:t xml:space="preserve">  "alg": "HS256",</w:t>
            </w:r>
          </w:p>
          <w:p w:rsidR="00000000" w:rsidDel="00000000" w:rsidP="00000000" w:rsidRDefault="00000000" w:rsidRPr="00000000" w14:paraId="0000000C">
            <w:pPr>
              <w:spacing w:after="200" w:before="0" w:line="312" w:lineRule="auto"/>
              <w:jc w:val="left"/>
              <w:rPr>
                <w:rFonts w:ascii="Consolas" w:cs="Consolas" w:eastAsia="Consolas" w:hAnsi="Consolas"/>
                <w:color w:val="cc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0000"/>
                <w:rtl w:val="0"/>
              </w:rPr>
              <w:t xml:space="preserve">  "typ": "JWT"</w:t>
            </w:r>
          </w:p>
          <w:p w:rsidR="00000000" w:rsidDel="00000000" w:rsidP="00000000" w:rsidRDefault="00000000" w:rsidRPr="00000000" w14:paraId="0000000D">
            <w:pPr>
              <w:spacing w:after="200" w:before="0" w:line="312" w:lineRule="auto"/>
              <w:jc w:val="left"/>
              <w:rPr>
                <w:rFonts w:ascii="Consolas" w:cs="Consolas" w:eastAsia="Consolas" w:hAnsi="Consolas"/>
                <w:color w:val="cc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000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0E">
      <w:pPr>
        <w:spacing w:after="200" w:before="0" w:line="312" w:lineRule="auto"/>
        <w:jc w:val="left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0" w:line="312" w:lineRule="auto"/>
        <w:jc w:val="left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00" w:before="0" w:line="312" w:lineRule="auto"/>
        <w:ind w:left="720" w:hanging="360"/>
        <w:jc w:val="left"/>
        <w:rPr/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Payload</w:t>
      </w:r>
      <w:r w:rsidDel="00000000" w:rsidR="00000000" w:rsidRPr="00000000">
        <w:rPr>
          <w:rFonts w:ascii="Rubik" w:cs="Rubik" w:eastAsia="Rubik" w:hAnsi="Rubik"/>
          <w:rtl w:val="0"/>
        </w:rPr>
        <w:t xml:space="preserve">: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é a parte mais relevante do ponto de vista da autorização, pois aqui você encontra as informações do usuário, que podem incluir, por exemplo, a função que esse usuário tem dentro do aplicativo:</w:t>
      </w:r>
      <w:r w:rsidDel="00000000" w:rsidR="00000000" w:rsidRPr="00000000">
        <w:rPr>
          <w:rtl w:val="0"/>
        </w:rPr>
      </w:r>
    </w:p>
    <w:tbl>
      <w:tblPr>
        <w:tblStyle w:val="Table2"/>
        <w:tblW w:w="9644.0" w:type="dxa"/>
        <w:jc w:val="left"/>
        <w:tblInd w:w="100.0" w:type="pct"/>
        <w:tblLayout w:type="fixed"/>
        <w:tblLook w:val="0600"/>
      </w:tblPr>
      <w:tblGrid>
        <w:gridCol w:w="9644"/>
        <w:tblGridChange w:id="0">
          <w:tblGrid>
            <w:gridCol w:w="9644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00" w:before="0" w:line="312" w:lineRule="auto"/>
              <w:jc w:val="left"/>
              <w:rPr>
                <w:rFonts w:ascii="Consolas" w:cs="Consolas" w:eastAsia="Consolas" w:hAnsi="Consolas"/>
                <w:color w:val="cc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0000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2">
            <w:pPr>
              <w:spacing w:after="200" w:before="0" w:line="312" w:lineRule="auto"/>
              <w:jc w:val="left"/>
              <w:rPr>
                <w:rFonts w:ascii="Consolas" w:cs="Consolas" w:eastAsia="Consolas" w:hAnsi="Consolas"/>
                <w:color w:val="cc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0000"/>
                <w:rtl w:val="0"/>
              </w:rPr>
              <w:t xml:space="preserve">  "sub": "1234567890",</w:t>
            </w:r>
          </w:p>
          <w:p w:rsidR="00000000" w:rsidDel="00000000" w:rsidP="00000000" w:rsidRDefault="00000000" w:rsidRPr="00000000" w14:paraId="00000013">
            <w:pPr>
              <w:spacing w:after="200" w:before="0" w:line="312" w:lineRule="auto"/>
              <w:jc w:val="left"/>
              <w:rPr>
                <w:rFonts w:ascii="Consolas" w:cs="Consolas" w:eastAsia="Consolas" w:hAnsi="Consolas"/>
                <w:color w:val="cc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0000"/>
                <w:rtl w:val="0"/>
              </w:rPr>
              <w:t xml:space="preserve">  "name": "John Doe",</w:t>
            </w:r>
          </w:p>
          <w:p w:rsidR="00000000" w:rsidDel="00000000" w:rsidP="00000000" w:rsidRDefault="00000000" w:rsidRPr="00000000" w14:paraId="00000014">
            <w:pPr>
              <w:spacing w:after="200" w:before="0" w:line="312" w:lineRule="auto"/>
              <w:jc w:val="left"/>
              <w:rPr>
                <w:rFonts w:ascii="Consolas" w:cs="Consolas" w:eastAsia="Consolas" w:hAnsi="Consolas"/>
                <w:color w:val="cc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0000"/>
                <w:rtl w:val="0"/>
              </w:rPr>
              <w:t xml:space="preserve">  "admin": true</w:t>
            </w:r>
          </w:p>
          <w:p w:rsidR="00000000" w:rsidDel="00000000" w:rsidP="00000000" w:rsidRDefault="00000000" w:rsidRPr="00000000" w14:paraId="00000015">
            <w:pPr>
              <w:spacing w:after="200" w:before="0" w:line="312" w:lineRule="auto"/>
              <w:jc w:val="left"/>
              <w:rPr>
                <w:rFonts w:ascii="Consolas" w:cs="Consolas" w:eastAsia="Consolas" w:hAnsi="Consolas"/>
                <w:color w:val="cc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c0000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16">
      <w:pPr>
        <w:spacing w:after="200" w:before="0" w:line="312" w:lineRule="auto"/>
        <w:jc w:val="left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00" w:before="0" w:line="312" w:lineRule="auto"/>
        <w:ind w:left="720" w:hanging="360"/>
        <w:jc w:val="left"/>
        <w:rPr/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Signature</w:t>
      </w:r>
      <w:r w:rsidDel="00000000" w:rsidR="00000000" w:rsidRPr="00000000">
        <w:rPr>
          <w:rFonts w:ascii="Rubik" w:cs="Rubik" w:eastAsia="Rubik" w:hAnsi="Rubik"/>
          <w:rtl w:val="0"/>
        </w:rPr>
        <w:t xml:space="preserve">: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é a parte que garante a autenticidade da informação incluída no JWT, permitindo a sua verificação.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Até agora, vimos como um JWT é composto. Agora, é hora de nos perguntarmos como podemos usá-lo no processo de autorização que vimos anteriormente.</w:t>
      </w:r>
    </w:p>
    <w:p w:rsidR="00000000" w:rsidDel="00000000" w:rsidP="00000000" w:rsidRDefault="00000000" w:rsidRPr="00000000" w14:paraId="0000001A">
      <w:pPr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De modo geral, quando uma pessoa faz login em um determinado aplicativo, o servidor verifica as credenciais inseridas (nome de usuário e senha).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Se estiverem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corretos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,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o servidor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autentica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o usuário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dentro do aplicativo e 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envia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um JWT como resposta à solicitação. Isso é armazenado no lado do cliente e enviado ao servidor a cada nova solicitação feita para acessar um determinado serviço dentro do aplicativo. Como vimos acima, o token contém as informações do usuário (por exemplo, sua função), o servidor pode acessar essas informações ao receber a solicitação, e assim, validar se o usuário está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autorizado</w:t>
      </w: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 a realizá-la. Se for assim, o servidor processará a solicitação e enviará a resposta correspondente. Caso contrário, será retornado um erro indicando que a pessoa não está autorizada.</w:t>
      </w:r>
    </w:p>
    <w:p w:rsidR="00000000" w:rsidDel="00000000" w:rsidP="00000000" w:rsidRDefault="00000000" w:rsidRPr="00000000" w14:paraId="0000001B">
      <w:pPr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Em resumo, o JWT é uma ferramenta muito útil para comunicação entre cliente e servidor, pois permite compartilhar informações do usuário de maneira segura e eficiente, além de acessar essas informações para validar as funções e permissões de cada pessoa que acessa o nosso aplicativo.</w:t>
      </w:r>
    </w:p>
    <w:p w:rsidR="00000000" w:rsidDel="00000000" w:rsidP="00000000" w:rsidRDefault="00000000" w:rsidRPr="00000000" w14:paraId="0000001E">
      <w:pPr>
        <w:spacing w:after="200" w:before="0" w:line="312" w:lineRule="auto"/>
        <w:jc w:val="left"/>
        <w:rPr>
          <w:rFonts w:ascii="Rubik Light" w:cs="Rubik Light" w:eastAsia="Rubik Light" w:hAnsi="Rubik Light"/>
          <w:color w:val="1155cc"/>
          <w:u w:val="single"/>
        </w:rPr>
      </w:pPr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Caso pretenda aprofundar-se neste tema, deixamos o link para a documentação oficial do JWT:</w:t>
      </w:r>
      <w:hyperlink r:id="rId7">
        <w:r w:rsidDel="00000000" w:rsidR="00000000" w:rsidRPr="00000000">
          <w:rPr>
            <w:rFonts w:ascii="Rubik Light" w:cs="Rubik Light" w:eastAsia="Rubik Light" w:hAnsi="Rubik Light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Rubik Light" w:cs="Rubik Light" w:eastAsia="Rubik Light" w:hAnsi="Rubik Light"/>
            <w:color w:val="ec183f"/>
            <w:u w:val="single"/>
            <w:rtl w:val="0"/>
          </w:rPr>
          <w:t xml:space="preserve">https://jwt.io/#debugger-io</w:t>
        </w:r>
      </w:hyperlink>
      <w:r w:rsidDel="00000000" w:rsidR="00000000" w:rsidRPr="00000000">
        <w:rPr>
          <w:rFonts w:ascii="Rubik Light" w:cs="Rubik Light" w:eastAsia="Rubik Light" w:hAnsi="Rubik Light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before="0" w:line="312" w:lineRule="auto"/>
        <w:jc w:val="left"/>
        <w:rPr>
          <w:rFonts w:ascii="Rubik Light" w:cs="Rubik Light" w:eastAsia="Rubik Light" w:hAnsi="Rubik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before="0" w:line="312" w:lineRule="auto"/>
        <w:jc w:val="left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jdhani">
    <w:embedRegular w:fontKey="{00000000-0000-0000-0000-000000000000}" r:id="rId13" w:subsetted="0"/>
    <w:embedBold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ind w:left="-1133.8582677165355" w:firstLine="413.8582677165354"/>
      <w:jc w:val="center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  <w:rtl w:val="0"/>
      </w:rPr>
      <w:t xml:space="preserve">  </w:t>
      <w:tab/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spacing w:line="360" w:lineRule="auto"/>
      <w:ind w:left="-1133.8582677165355" w:firstLine="413.8582677165354"/>
      <w:jc w:val="lef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  <w:rtl w:val="0"/>
      </w:rPr>
      <w:t xml:space="preserve">                                        </w:t>
      <w:tab/>
      <w:tab/>
      <w:tab/>
      <w:tab/>
      <w:tab/>
      <w:tab/>
      <w:tab/>
      <w:tab/>
      <w:tab/>
      <w:t xml:space="preserve">       </w:t>
    </w: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2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14400"/>
          <wp:effectExtent b="0" l="0" r="0" t="0"/>
          <wp:wrapSquare wrapText="bothSides" distB="0" distT="0" distL="0" distR="0"/>
          <wp:docPr id="2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30634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14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spacing w:line="312" w:lineRule="auto"/>
      <w:ind w:left="-1133.8582677165355" w:firstLine="0"/>
      <w:jc w:val="left"/>
      <w:rPr/>
    </w:pPr>
    <w:r w:rsidDel="00000000" w:rsidR="00000000" w:rsidRPr="00000000">
      <w:rPr>
        <w:rFonts w:ascii="Rubik Light" w:cs="Rubik Light" w:eastAsia="Rubik Light" w:hAnsi="Rubik Light"/>
      </w:rPr>
      <w:drawing>
        <wp:inline distB="114300" distT="114300" distL="114300" distR="114300">
          <wp:extent cx="7573693" cy="1319213"/>
          <wp:effectExtent b="0" l="0" r="0" t="0"/>
          <wp:docPr id="28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3693" cy="1319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jwt.io/#debugger-io" TargetMode="External"/><Relationship Id="rId8" Type="http://schemas.openxmlformats.org/officeDocument/2006/relationships/hyperlink" Target="https://jwt.io/#debugger-i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ubik-italic.ttf"/><Relationship Id="rId10" Type="http://schemas.openxmlformats.org/officeDocument/2006/relationships/font" Target="fonts/Rubik-bold.ttf"/><Relationship Id="rId13" Type="http://schemas.openxmlformats.org/officeDocument/2006/relationships/font" Target="fonts/Rajdhani-regular.ttf"/><Relationship Id="rId12" Type="http://schemas.openxmlformats.org/officeDocument/2006/relationships/font" Target="fonts/Rubik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-regular.ttf"/><Relationship Id="rId15" Type="http://schemas.openxmlformats.org/officeDocument/2006/relationships/font" Target="fonts/OpenSans-regular.ttf"/><Relationship Id="rId14" Type="http://schemas.openxmlformats.org/officeDocument/2006/relationships/font" Target="fonts/Rajdhani-bold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RubikLight-regular.ttf"/><Relationship Id="rId6" Type="http://schemas.openxmlformats.org/officeDocument/2006/relationships/font" Target="fonts/RubikLight-bold.ttf"/><Relationship Id="rId18" Type="http://schemas.openxmlformats.org/officeDocument/2006/relationships/font" Target="fonts/OpenSans-boldItalic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mxSNRDM3F90XfOXwhZx+zeoLog==">AMUW2mUpv5aI7zjMapoNXwkBEtrtFWYqiycC5t+kGoP1wXTYqf4lsEUbUZmpCyjX4xZrYsRp0s8+zkkn6KCe9HdFH4m7xQSwgO/RYLfU6NFyPS5LGK9/zsbuTf2qnYm/Q32/Us4465DcWSCnroh0oLgw6DNwI4UGdA==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