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after="200" w:before="0" w:line="312" w:lineRule="auto"/>
        <w:ind w:left="0" w:firstLine="0"/>
        <w:jc w:val="left"/>
        <w:rPr/>
      </w:pPr>
      <w:bookmarkStart w:colFirst="0" w:colLast="0" w:name="_dqwa0t8yrq0e" w:id="0"/>
      <w:bookmarkEnd w:id="0"/>
      <w:r w:rsidDel="00000000" w:rsidR="00000000" w:rsidRPr="00000000">
        <w:rPr/>
        <w:drawing>
          <wp:inline distB="114300" distT="114300" distL="114300" distR="114300">
            <wp:extent cx="3552825" cy="108585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spacing w:after="200" w:before="0" w:line="312" w:lineRule="auto"/>
        <w:jc w:val="left"/>
        <w:rPr>
          <w:rFonts w:ascii="Rubik" w:cs="Rubik" w:eastAsia="Rubik" w:hAnsi="Rubik"/>
          <w:b w:val="0"/>
          <w:color w:val="666666"/>
          <w:sz w:val="36"/>
          <w:szCs w:val="36"/>
        </w:rPr>
      </w:pPr>
      <w:bookmarkStart w:colFirst="0" w:colLast="0" w:name="_x36oy5demzwb" w:id="1"/>
      <w:bookmarkEnd w:id="1"/>
      <w:r w:rsidDel="00000000" w:rsidR="00000000" w:rsidRPr="00000000">
        <w:rPr>
          <w:rFonts w:ascii="Rubik" w:cs="Rubik" w:eastAsia="Rubik" w:hAnsi="Rubik"/>
          <w:b w:val="0"/>
          <w:color w:val="666666"/>
          <w:sz w:val="36"/>
          <w:szCs w:val="36"/>
          <w:rtl w:val="0"/>
        </w:rPr>
        <w:t xml:space="preserve">Infraestrutura I</w:t>
      </w:r>
    </w:p>
    <w:p w:rsidR="00000000" w:rsidDel="00000000" w:rsidP="00000000" w:rsidRDefault="00000000" w:rsidRPr="00000000" w14:paraId="00000003">
      <w:pPr>
        <w:pStyle w:val="Heading2"/>
        <w:pageBreakBefore w:val="0"/>
        <w:spacing w:after="200" w:before="0" w:line="312" w:lineRule="auto"/>
        <w:jc w:val="left"/>
        <w:rPr>
          <w:rFonts w:ascii="Rubik" w:cs="Rubik" w:eastAsia="Rubik" w:hAnsi="Rubik"/>
          <w:color w:val="000000"/>
          <w:sz w:val="50"/>
          <w:szCs w:val="50"/>
        </w:rPr>
      </w:pPr>
      <w:bookmarkStart w:colFirst="0" w:colLast="0" w:name="_shbjborf2lls" w:id="2"/>
      <w:bookmarkEnd w:id="2"/>
      <w:r w:rsidDel="00000000" w:rsidR="00000000" w:rsidRPr="00000000">
        <w:rPr>
          <w:rFonts w:ascii="Rubik" w:cs="Rubik" w:eastAsia="Rubik" w:hAnsi="Rubik"/>
          <w:color w:val="000000"/>
          <w:sz w:val="50"/>
          <w:szCs w:val="50"/>
          <w:rtl w:val="0"/>
        </w:rPr>
        <w:t xml:space="preserve">Configuração e manutenção</w:t>
      </w:r>
    </w:p>
    <w:p w:rsidR="00000000" w:rsidDel="00000000" w:rsidP="00000000" w:rsidRDefault="00000000" w:rsidRPr="00000000" w14:paraId="00000004">
      <w:pPr>
        <w:pStyle w:val="Heading2"/>
        <w:pageBreakBefore w:val="0"/>
        <w:spacing w:after="200" w:before="0" w:line="312" w:lineRule="auto"/>
        <w:jc w:val="left"/>
        <w:rPr>
          <w:rFonts w:ascii="Rubik" w:cs="Rubik" w:eastAsia="Rubik" w:hAnsi="Rubik"/>
          <w:color w:val="000000"/>
          <w:sz w:val="50"/>
          <w:szCs w:val="50"/>
        </w:rPr>
      </w:pPr>
      <w:bookmarkStart w:colFirst="0" w:colLast="0" w:name="_ajkfgm97flph" w:id="3"/>
      <w:bookmarkEnd w:id="3"/>
      <w:r w:rsidDel="00000000" w:rsidR="00000000" w:rsidRPr="00000000">
        <w:rPr>
          <w:rFonts w:ascii="Rubik" w:cs="Rubik" w:eastAsia="Rubik" w:hAnsi="Rubik"/>
          <w:color w:val="000000"/>
          <w:sz w:val="50"/>
          <w:szCs w:val="50"/>
          <w:rtl w:val="0"/>
        </w:rPr>
        <w:t xml:space="preserve">do sistema</w:t>
      </w:r>
    </w:p>
    <w:p w:rsidR="00000000" w:rsidDel="00000000" w:rsidP="00000000" w:rsidRDefault="00000000" w:rsidRPr="00000000" w14:paraId="00000005">
      <w:pPr>
        <w:pageBreakBefore w:val="0"/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Voltando ao conceito que vimos: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before="0" w:line="312" w:lineRule="auto"/>
        <w:ind w:left="850.3937007874017" w:firstLine="0"/>
        <w:jc w:val="left"/>
        <w:rPr>
          <w:rFonts w:ascii="Rubik Medium" w:cs="Rubik Medium" w:eastAsia="Rubik Medium" w:hAnsi="Rubik Medium"/>
          <w:i w:val="1"/>
        </w:rPr>
      </w:pPr>
      <w:r w:rsidDel="00000000" w:rsidR="00000000" w:rsidRPr="00000000">
        <w:rPr>
          <w:rFonts w:ascii="Rubik Medium" w:cs="Rubik Medium" w:eastAsia="Rubik Medium" w:hAnsi="Rubik Medium"/>
          <w:i w:val="1"/>
          <w:rtl w:val="0"/>
        </w:rPr>
        <w:t xml:space="preserve">"Automação de infraestrutura é o uso de sistemas de software para criar instruções e processos repetíveis para substituir ou reduzir a interação humana com os sistemas de TI."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before="0" w:line="312" w:lineRule="auto"/>
        <w:ind w:left="850.3937007874017" w:firstLine="0"/>
        <w:rPr>
          <w:rFonts w:ascii="Rubik Light" w:cs="Rubik Light" w:eastAsia="Rubik Light" w:hAnsi="Rubik Ligh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00" w:before="0" w:line="312" w:lineRule="auto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Isso levanta uma visão muito ampla, pois tem de abranger as diversas áreas das empresas que possuem sua área de sistema. Dependendo do tipo de organização em que trabalhamos, é o grau de automação que vamos encontrar na infraestrutura de TI.</w:t>
      </w:r>
    </w:p>
    <w:p w:rsidR="00000000" w:rsidDel="00000000" w:rsidP="00000000" w:rsidRDefault="00000000" w:rsidRPr="00000000" w14:paraId="0000000A">
      <w:pPr>
        <w:pageBreakBefore w:val="0"/>
        <w:spacing w:after="200" w:before="0" w:line="312" w:lineRule="auto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Uma das funções da equipe de trabalho na área de sistemas é a </w:t>
      </w:r>
      <w:r w:rsidDel="00000000" w:rsidR="00000000" w:rsidRPr="00000000">
        <w:rPr>
          <w:rFonts w:ascii="Rubik SemiBold" w:cs="Rubik SemiBold" w:eastAsia="Rubik SemiBold" w:hAnsi="Rubik SemiBold"/>
          <w:rtl w:val="0"/>
        </w:rPr>
        <w:t xml:space="preserve">DevOps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 engenheiro, encarregado de </w:t>
      </w:r>
      <w:r w:rsidDel="00000000" w:rsidR="00000000" w:rsidRPr="00000000">
        <w:rPr>
          <w:rFonts w:ascii="Rubik SemiBold" w:cs="Rubik SemiBold" w:eastAsia="Rubik SemiBold" w:hAnsi="Rubik SemiBold"/>
          <w:rtl w:val="0"/>
        </w:rPr>
        <w:t xml:space="preserve">automatizar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processos na área de </w:t>
      </w:r>
      <w:r w:rsidDel="00000000" w:rsidR="00000000" w:rsidRPr="00000000">
        <w:rPr>
          <w:rFonts w:ascii="Rubik SemiBold" w:cs="Rubik SemiBold" w:eastAsia="Rubik SemiBold" w:hAnsi="Rubik SemiBold"/>
          <w:rtl w:val="0"/>
        </w:rPr>
        <w:t xml:space="preserve"> Development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e </w:t>
      </w:r>
      <w:r w:rsidDel="00000000" w:rsidR="00000000" w:rsidRPr="00000000">
        <w:rPr>
          <w:rFonts w:ascii="Rubik SemiBold" w:cs="Rubik SemiBold" w:eastAsia="Rubik SemiBold" w:hAnsi="Rubik SemiBold"/>
          <w:rtl w:val="0"/>
        </w:rPr>
        <w:t xml:space="preserve">Operations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. Sua função é tornar a relação entre essas duas equipes de trabalho mais amigável e eficiente. </w:t>
      </w:r>
    </w:p>
    <w:p w:rsidR="00000000" w:rsidDel="00000000" w:rsidP="00000000" w:rsidRDefault="00000000" w:rsidRPr="00000000" w14:paraId="0000000B">
      <w:pPr>
        <w:pageBreakBefore w:val="0"/>
        <w:spacing w:after="200" w:before="0" w:line="312" w:lineRule="auto"/>
        <w:ind w:left="1559.0551181102362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889725" cy="206733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9725" cy="2067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pageBreakBefore w:val="0"/>
        <w:spacing w:after="200" w:before="0" w:line="312" w:lineRule="auto"/>
        <w:jc w:val="left"/>
        <w:rPr/>
      </w:pPr>
      <w:bookmarkStart w:colFirst="0" w:colLast="0" w:name="_tvraqwzi9pl5" w:id="4"/>
      <w:bookmarkEnd w:id="4"/>
      <w:r w:rsidDel="00000000" w:rsidR="00000000" w:rsidRPr="00000000">
        <w:rPr>
          <w:rFonts w:ascii="Rubik SemiBold" w:cs="Rubik SemiBold" w:eastAsia="Rubik SemiBold" w:hAnsi="Rubik SemiBold"/>
          <w:b w:val="0"/>
          <w:sz w:val="40"/>
          <w:szCs w:val="40"/>
          <w:rtl w:val="0"/>
        </w:rPr>
        <w:t xml:space="preserve">Infraestrutura e serviços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200" w:before="0" w:line="312" w:lineRule="auto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Primeiro, temos que analisar os dispositivos que temos em nossa rede de TI. Se tivermos servidores </w:t>
      </w: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legacy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ou serviços contratados por um </w:t>
      </w: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cloud providers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. Das duas opções anteriores, o que devemos considerar é o sistema operacional com o qual funciona (MAC, Linux, Windows).</w:t>
      </w:r>
    </w:p>
    <w:p w:rsidR="00000000" w:rsidDel="00000000" w:rsidP="00000000" w:rsidRDefault="00000000" w:rsidRPr="00000000" w14:paraId="0000000E">
      <w:pPr>
        <w:pageBreakBefore w:val="0"/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Dos provedores de nuvem mais conhecidos, temos: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spacing w:after="200" w:before="0" w:line="312" w:lineRule="auto"/>
        <w:ind w:left="720" w:hanging="36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AWS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spacing w:after="200" w:before="0" w:line="312" w:lineRule="auto"/>
        <w:ind w:left="720" w:hanging="36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Google Cloud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spacing w:after="200" w:before="0" w:line="312" w:lineRule="auto"/>
        <w:ind w:left="720" w:hanging="36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Microsoft Azure</w:t>
      </w:r>
    </w:p>
    <w:p w:rsidR="00000000" w:rsidDel="00000000" w:rsidP="00000000" w:rsidRDefault="00000000" w:rsidRPr="00000000" w14:paraId="00000013">
      <w:pPr>
        <w:pageBreakBefore w:val="0"/>
        <w:spacing w:after="200" w:before="0" w:line="312" w:lineRule="auto"/>
        <w:ind w:left="720" w:firstLine="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before="0" w:line="312" w:lineRule="auto"/>
        <w:ind w:firstLine="1275.5905511811022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</w:rPr>
        <w:drawing>
          <wp:inline distB="114300" distT="114300" distL="114300" distR="114300">
            <wp:extent cx="4705350" cy="8382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200" w:before="0" w:line="312" w:lineRule="auto"/>
        <w:ind w:firstLine="1275.5905511811022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200" w:before="0" w:line="312" w:lineRule="auto"/>
        <w:ind w:firstLine="1275.5905511811022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Para a eleição, são avaliados os custos e a oferta de serviços disponíveis. Este último está cada vez mais robusto e completo (load balancing, backup, clustering, security, etc.).</w:t>
      </w:r>
    </w:p>
    <w:p w:rsidR="00000000" w:rsidDel="00000000" w:rsidP="00000000" w:rsidRDefault="00000000" w:rsidRPr="00000000" w14:paraId="00000018">
      <w:pPr>
        <w:pageBreakBefore w:val="0"/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pageBreakBefore w:val="0"/>
        <w:spacing w:after="200" w:before="0" w:line="312" w:lineRule="auto"/>
        <w:jc w:val="left"/>
        <w:rPr>
          <w:rFonts w:ascii="Rubik SemiBold" w:cs="Rubik SemiBold" w:eastAsia="Rubik SemiBold" w:hAnsi="Rubik SemiBold"/>
          <w:b w:val="0"/>
          <w:sz w:val="40"/>
          <w:szCs w:val="40"/>
        </w:rPr>
      </w:pPr>
      <w:bookmarkStart w:colFirst="0" w:colLast="0" w:name="_9is2hbr3zxea" w:id="5"/>
      <w:bookmarkEnd w:id="5"/>
      <w:r w:rsidDel="00000000" w:rsidR="00000000" w:rsidRPr="00000000">
        <w:rPr>
          <w:rFonts w:ascii="Rubik SemiBold" w:cs="Rubik SemiBold" w:eastAsia="Rubik SemiBold" w:hAnsi="Rubik SemiBold"/>
          <w:b w:val="0"/>
          <w:sz w:val="40"/>
          <w:szCs w:val="40"/>
          <w:rtl w:val="0"/>
        </w:rPr>
        <w:t xml:space="preserve">Tratamento de código</w:t>
      </w:r>
    </w:p>
    <w:p w:rsidR="00000000" w:rsidDel="00000000" w:rsidP="00000000" w:rsidRDefault="00000000" w:rsidRPr="00000000" w14:paraId="0000001A">
      <w:pPr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200" w:before="0" w:line="312" w:lineRule="auto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Começamos de onde hospedamos nosso código de trabalho, se formos programadores. O gerenciador de versões e integrador de código mais usado por excelência é o Git. A hospedagem desses repositórios de nuvem mais populares são GitLab, GitHub,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Bitbucket, Gitea, entre outros. Nestes, nosso código de aplicativo é armazenado, que pode estar em diferentes linguagens de programação, dependendo do que precisamos - por exemplo: Python, JavaScript, Java, .NET, etc.</w:t>
      </w:r>
    </w:p>
    <w:p w:rsidR="00000000" w:rsidDel="00000000" w:rsidP="00000000" w:rsidRDefault="00000000" w:rsidRPr="00000000" w14:paraId="0000001C">
      <w:pPr>
        <w:pageBreakBefore w:val="0"/>
        <w:spacing w:after="200" w:before="0" w:line="312" w:lineRule="auto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Também podemos automatizar a implantação do nosso código com CI / CD (refere-se às práticas combinadas de integração contínua e entrega contínua). Algumas ferramentas para fazer isso são: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2"/>
        </w:numPr>
        <w:spacing w:after="200" w:before="0" w:line="312" w:lineRule="auto"/>
        <w:ind w:left="720" w:hanging="36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Jenkins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2"/>
        </w:numPr>
        <w:spacing w:after="200" w:before="0" w:line="312" w:lineRule="auto"/>
        <w:ind w:left="720" w:hanging="36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GitActions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2"/>
        </w:numPr>
        <w:spacing w:after="200" w:before="0" w:line="312" w:lineRule="auto"/>
        <w:ind w:left="720" w:hanging="36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JetBrains</w:t>
      </w:r>
    </w:p>
    <w:p w:rsidR="00000000" w:rsidDel="00000000" w:rsidP="00000000" w:rsidRDefault="00000000" w:rsidRPr="00000000" w14:paraId="00000020">
      <w:pPr>
        <w:pageBreakBefore w:val="0"/>
        <w:spacing w:after="200" w:before="0" w:line="312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200" w:before="0" w:line="312" w:lineRule="auto"/>
        <w:jc w:val="left"/>
        <w:rPr>
          <w:rFonts w:ascii="Rajdhani" w:cs="Rajdhani" w:eastAsia="Rajdhani" w:hAnsi="Rajdhani"/>
          <w:b w:val="1"/>
          <w:color w:val="434343"/>
          <w:sz w:val="34"/>
          <w:szCs w:val="34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Containers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200" w:before="0" w:line="312" w:lineRule="auto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Os contêineres estão se tornando o modelo de pacote de software para o produto que desenvolvemos. Eles permitem a virtualização de ambientes de trabalho compatíveis transportáveis, totalmente configurados para que nosso código funcione em todos os computadores. O mais popular é o Docker.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before="0" w:line="312" w:lineRule="auto"/>
        <w:ind w:left="3543.3070866141725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632772" cy="1042988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2772" cy="1042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before="0" w:line="312" w:lineRule="auto"/>
        <w:ind w:left="3543.3070866141725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200" w:before="0" w:line="312" w:lineRule="auto"/>
        <w:rPr/>
      </w:pPr>
      <w:r w:rsidDel="00000000" w:rsidR="00000000" w:rsidRPr="00000000">
        <w:rPr>
          <w:rtl w:val="0"/>
        </w:rPr>
        <w:t xml:space="preserve">Quando lidamos com muitos contêineres, temos que migrar para um cluster de contêiner, liderado pelos orquestradores de contêiner. Por exemplo: Kubernetes ou Docker Swarm.</w:t>
      </w:r>
    </w:p>
    <w:p w:rsidR="00000000" w:rsidDel="00000000" w:rsidP="00000000" w:rsidRDefault="00000000" w:rsidRPr="00000000" w14:paraId="00000026">
      <w:pPr>
        <w:pageBreakBefore w:val="0"/>
        <w:spacing w:after="200" w:before="0" w:line="312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200" w:before="0" w:line="312" w:lineRule="auto"/>
        <w:ind w:left="1559.0551181102362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937304" cy="150018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7304" cy="1500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1233488" cy="1233488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3488" cy="123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200" w:before="0" w:line="312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200" w:before="0" w:line="312" w:lineRule="auto"/>
        <w:jc w:val="left"/>
        <w:rPr>
          <w:rFonts w:ascii="Rubik SemiBold" w:cs="Rubik SemiBold" w:eastAsia="Rubik SemiBold" w:hAnsi="Rubik SemiBold"/>
          <w:color w:val="434343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Ambientes de trabalho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200" w:before="0" w:line="312" w:lineRule="auto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Então, devemos considerar em qual ambiente nosso cluster está.</w:t>
      </w:r>
    </w:p>
    <w:p w:rsidR="00000000" w:rsidDel="00000000" w:rsidP="00000000" w:rsidRDefault="00000000" w:rsidRPr="00000000" w14:paraId="0000002B">
      <w:pPr>
        <w:pageBreakBefore w:val="0"/>
        <w:spacing w:after="200" w:before="0" w:line="312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648325" cy="2057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200" w:before="0" w:line="312" w:lineRule="auto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Diferentes tecnologias são utilizadas em cada ambiente, dependendo do grau de exposição do produto. Ao automatizar esses processos, teremos mais eficiência, transparência, facilidade de replicação e recuperação. Os ambientes mais populares são: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3"/>
        </w:numPr>
        <w:spacing w:after="200" w:before="0" w:line="312" w:lineRule="auto"/>
        <w:ind w:left="720" w:hanging="36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Ansible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3"/>
        </w:numPr>
        <w:spacing w:after="200" w:before="0" w:line="312" w:lineRule="auto"/>
        <w:ind w:left="720" w:hanging="36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Chef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3"/>
        </w:numPr>
        <w:spacing w:after="200" w:before="0" w:line="312" w:lineRule="auto"/>
        <w:ind w:left="720" w:hanging="36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Puppet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3"/>
        </w:numPr>
        <w:spacing w:after="200" w:before="0" w:line="312" w:lineRule="auto"/>
        <w:ind w:left="720" w:hanging="36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Terraform</w:t>
      </w:r>
    </w:p>
    <w:p w:rsidR="00000000" w:rsidDel="00000000" w:rsidP="00000000" w:rsidRDefault="00000000" w:rsidRPr="00000000" w14:paraId="00000031">
      <w:pPr>
        <w:pageBreakBefore w:val="0"/>
        <w:spacing w:after="200" w:before="0" w:line="312" w:lineRule="auto"/>
        <w:ind w:left="2409.448818897638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19450" cy="159067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200" w:before="0" w:line="312" w:lineRule="auto"/>
        <w:ind w:left="2409.448818897638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after="200" w:before="0" w:line="312" w:lineRule="auto"/>
        <w:jc w:val="left"/>
        <w:rPr>
          <w:rFonts w:ascii="Rajdhani" w:cs="Rajdhani" w:eastAsia="Rajdhani" w:hAnsi="Rajdhani"/>
          <w:b w:val="1"/>
          <w:color w:val="434343"/>
          <w:sz w:val="34"/>
          <w:szCs w:val="34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Monitores de rede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after="200" w:before="0" w:line="312" w:lineRule="auto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É muito importante monitorar os dispositivos de nossa rede e serviços, e agendar alertas em caso de qualquer alteração. Para isso podemos usar: Nagios, Prometheus, Icinga2 ou DataDog.</w:t>
      </w:r>
    </w:p>
    <w:p w:rsidR="00000000" w:rsidDel="00000000" w:rsidP="00000000" w:rsidRDefault="00000000" w:rsidRPr="00000000" w14:paraId="00000035">
      <w:pPr>
        <w:pageBreakBefore w:val="0"/>
        <w:spacing w:after="200" w:before="0" w:line="312" w:lineRule="auto"/>
        <w:ind w:left="566.9291338582675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00675" cy="260985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after="200" w:before="0" w:line="312" w:lineRule="auto"/>
        <w:ind w:left="566.9291338582675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00675" cy="31527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after="200" w:before="0" w:line="312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11050" cy="3136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05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after="200" w:before="0" w:line="312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after="200" w:before="0" w:line="312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after="200" w:before="0" w:line="312" w:lineRule="auto"/>
        <w:jc w:val="left"/>
        <w:rPr>
          <w:rFonts w:ascii="Rajdhani" w:cs="Rajdhani" w:eastAsia="Rajdhani" w:hAnsi="Rajdhani"/>
          <w:b w:val="1"/>
          <w:color w:val="434343"/>
          <w:sz w:val="34"/>
          <w:szCs w:val="34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Linguagens de 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after="200" w:before="0" w:line="312" w:lineRule="auto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Precisamos trabalhar em estreita colaboração com desenvolvedores e administradores do sistema para automatizar tarefas para operadores e desenvolvedores (como backups, tarefas cron, monitoramento do sistema).</w:t>
      </w:r>
    </w:p>
    <w:p w:rsidR="00000000" w:rsidDel="00000000" w:rsidP="00000000" w:rsidRDefault="00000000" w:rsidRPr="00000000" w14:paraId="0000003C">
      <w:pPr>
        <w:pageBreakBefore w:val="0"/>
        <w:spacing w:after="200" w:before="0" w:line="312" w:lineRule="auto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Dependendo do sistema operacional, podemos usar: Bash ou PowerShell.</w:t>
      </w:r>
    </w:p>
    <w:p w:rsidR="00000000" w:rsidDel="00000000" w:rsidP="00000000" w:rsidRDefault="00000000" w:rsidRPr="00000000" w14:paraId="0000003D">
      <w:pPr>
        <w:pageBreakBefore w:val="0"/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after="200" w:before="0" w:line="312" w:lineRule="auto"/>
        <w:ind w:left="2551.1811023622045" w:firstLine="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</w:rPr>
        <w:drawing>
          <wp:inline distB="114300" distT="114300" distL="114300" distR="114300">
            <wp:extent cx="2846738" cy="99127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6738" cy="99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after="200" w:before="0" w:line="312" w:lineRule="auto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Mas também existem linguagens de script independentes do sistema operacional, como Python, Ruby ou Go. A mais popular é Python, pois tem muitas bibliotecas e é fácil de ler e aprender.</w:t>
      </w:r>
    </w:p>
    <w:p w:rsidR="00000000" w:rsidDel="00000000" w:rsidP="00000000" w:rsidRDefault="00000000" w:rsidRPr="00000000" w14:paraId="00000041">
      <w:pPr>
        <w:pageBreakBefore w:val="0"/>
        <w:spacing w:after="200" w:before="0" w:line="312" w:lineRule="auto"/>
        <w:ind w:left="2267.716535433071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151538" cy="819088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1538" cy="819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after="200" w:before="0" w:line="312" w:lineRule="auto"/>
        <w:ind w:left="2267.716535433071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after="200" w:before="0" w:line="312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after="200" w:before="0" w:line="312" w:lineRule="auto"/>
        <w:jc w:val="left"/>
        <w:rPr>
          <w:rFonts w:ascii="Rubik Light" w:cs="Rubik Light" w:eastAsia="Rubik Light" w:hAnsi="Rubik Light"/>
          <w:color w:val="434343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Conclusão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200" w:before="0" w:line="312" w:lineRule="auto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Essas tecnologias expostas para automatizar a infraestrutura de TI não são todas as que existem no mercado, mas uma visão geral daquelas que são mais populares hoje. É importante lembrar que novas ferramentas e metodologias de trabalho são desenvolvidas a cada dia para cada empresa, assim como para as empresas que prestam o serviço de automação de terceirização da organização. Você sempre tem que tomar a decisão com base na necessidade, recursos disponíveis e experiência da empresa.</w:t>
      </w: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default"/>
      <w:footerReference r:id="rId22" w:type="first"/>
      <w:pgSz w:h="16834" w:w="11909" w:orient="portrait"/>
      <w:pgMar w:bottom="1090.0393700787413" w:top="1440" w:left="1133.8582677165355" w:right="990.472440944883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ubik SemiBol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ajdhani">
    <w:embedRegular w:fontKey="{00000000-0000-0000-0000-000000000000}" r:id="rId17" w:subsetted="0"/>
    <w:embedBold w:fontKey="{00000000-0000-0000-0000-000000000000}" r:id="rId18" w:subsetted="0"/>
  </w:font>
  <w:font w:name="Open Sans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ind w:left="-1133.8582677165355" w:firstLine="0"/>
      <w:jc w:val="right"/>
      <w:rPr>
        <w:rFonts w:ascii="Rubik" w:cs="Rubik" w:eastAsia="Rubik" w:hAnsi="Rubik"/>
        <w:color w:val="666666"/>
        <w:sz w:val="34"/>
        <w:szCs w:val="34"/>
      </w:rPr>
    </w:pPr>
    <w:r w:rsidDel="00000000" w:rsidR="00000000" w:rsidRPr="00000000">
      <w:rPr>
        <w:rFonts w:ascii="Rubik" w:cs="Rubik" w:eastAsia="Rubik" w:hAnsi="Rubik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spacing w:line="360" w:lineRule="auto"/>
      <w:ind w:left="-1133.8582677165355" w:firstLine="0"/>
      <w:jc w:val="right"/>
      <w:rPr>
        <w:rFonts w:ascii="Rubik" w:cs="Rubik" w:eastAsia="Rubik" w:hAnsi="Rubik"/>
        <w:color w:val="666666"/>
        <w:sz w:val="30"/>
        <w:szCs w:val="30"/>
      </w:rPr>
    </w:pPr>
    <w:r w:rsidDel="00000000" w:rsidR="00000000" w:rsidRPr="00000000">
      <w:rPr>
        <w:rFonts w:ascii="Rubik" w:cs="Rubik" w:eastAsia="Rubik" w:hAnsi="Rubik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spacing w:line="312" w:lineRule="auto"/>
      <w:ind w:left="-1133.8582677165355" w:firstLine="0"/>
      <w:jc w:val="left"/>
      <w:rPr/>
    </w:pPr>
    <w:r w:rsidDel="00000000" w:rsidR="00000000" w:rsidRPr="00000000">
      <w:rPr>
        <w:rFonts w:ascii="Rubik Light" w:cs="Rubik Light" w:eastAsia="Rubik Light" w:hAnsi="Rubik Light"/>
      </w:rPr>
      <w:drawing>
        <wp:inline distB="114300" distT="114300" distL="114300" distR="114300">
          <wp:extent cx="7611739" cy="1319213"/>
          <wp:effectExtent b="0" l="0" r="0" t="0"/>
          <wp:docPr id="5" name="image6.jpg"/>
          <a:graphic>
            <a:graphicData uri="http://schemas.openxmlformats.org/drawingml/2006/picture">
              <pic:pic>
                <pic:nvPicPr>
                  <pic:cNvPr id="0" name="image6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11739" cy="1319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904875"/>
          <wp:effectExtent b="0" l="0" r="0" t="0"/>
          <wp:wrapSquare wrapText="bothSides" distB="0" distT="0" distL="0" distR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14.png"/><Relationship Id="rId22" Type="http://schemas.openxmlformats.org/officeDocument/2006/relationships/footer" Target="footer1.xml"/><Relationship Id="rId10" Type="http://schemas.openxmlformats.org/officeDocument/2006/relationships/image" Target="media/image7.png"/><Relationship Id="rId21" Type="http://schemas.openxmlformats.org/officeDocument/2006/relationships/footer" Target="footer2.xml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9.png"/><Relationship Id="rId17" Type="http://schemas.openxmlformats.org/officeDocument/2006/relationships/image" Target="media/image1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5.png"/><Relationship Id="rId18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.ttf"/><Relationship Id="rId11" Type="http://schemas.openxmlformats.org/officeDocument/2006/relationships/font" Target="fonts/Rubik-italic.ttf"/><Relationship Id="rId22" Type="http://schemas.openxmlformats.org/officeDocument/2006/relationships/font" Target="fonts/OpenSans-boldItalic.ttf"/><Relationship Id="rId10" Type="http://schemas.openxmlformats.org/officeDocument/2006/relationships/font" Target="fonts/Rubik-bold.ttf"/><Relationship Id="rId21" Type="http://schemas.openxmlformats.org/officeDocument/2006/relationships/font" Target="fonts/OpenSans-italic.ttf"/><Relationship Id="rId13" Type="http://schemas.openxmlformats.org/officeDocument/2006/relationships/font" Target="fonts/RubikSemiBold-regular.ttf"/><Relationship Id="rId12" Type="http://schemas.openxmlformats.org/officeDocument/2006/relationships/font" Target="fonts/Rubik-bold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-regular.ttf"/><Relationship Id="rId15" Type="http://schemas.openxmlformats.org/officeDocument/2006/relationships/font" Target="fonts/RubikSemiBold-italic.ttf"/><Relationship Id="rId14" Type="http://schemas.openxmlformats.org/officeDocument/2006/relationships/font" Target="fonts/RubikSemiBold-bold.ttf"/><Relationship Id="rId17" Type="http://schemas.openxmlformats.org/officeDocument/2006/relationships/font" Target="fonts/Rajdhani-regular.ttf"/><Relationship Id="rId16" Type="http://schemas.openxmlformats.org/officeDocument/2006/relationships/font" Target="fonts/RubikSemiBold-boldItalic.ttf"/><Relationship Id="rId5" Type="http://schemas.openxmlformats.org/officeDocument/2006/relationships/font" Target="fonts/RubikLight-regular.ttf"/><Relationship Id="rId19" Type="http://schemas.openxmlformats.org/officeDocument/2006/relationships/font" Target="fonts/OpenSans-regular.ttf"/><Relationship Id="rId6" Type="http://schemas.openxmlformats.org/officeDocument/2006/relationships/font" Target="fonts/RubikLight-bold.ttf"/><Relationship Id="rId18" Type="http://schemas.openxmlformats.org/officeDocument/2006/relationships/font" Target="fonts/Rajdhani-bold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