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400" w:after="120"/>
      </w:pPr>
      <w:r>
        <w:drawing>
          <wp:inline xmlns:a="http://schemas.openxmlformats.org/drawingml/2006/main" xmlns:pic="http://schemas.openxmlformats.org/drawingml/2006/picture">
            <wp:extent cx="535135" cy="900000"/>
            <wp:docPr id="1" name="Picture 1"/>
            <wp:cNvGraphicFramePr>
              <a:graphicFrameLocks noChangeAspect="1"/>
            </wp:cNvGraphicFramePr>
            <a:graphic>
              <a:graphicData uri="http://schemas.openxmlformats.org/drawingml/2006/picture">
                <pic:pic>
                  <pic:nvPicPr>
                    <pic:cNvPr id="0" name="pucrs-logo.png"/>
                    <pic:cNvPicPr/>
                  </pic:nvPicPr>
                  <pic:blipFill>
                    <a:blip r:embed="rId11"/>
                    <a:stretch>
                      <a:fillRect/>
                    </a:stretch>
                  </pic:blipFill>
                  <pic:spPr>
                    <a:xfrm>
                      <a:off x="0" y="0"/>
                      <a:ext cx="535135" cy="900000"/>
                    </a:xfrm>
                    <a:prstGeom prst="rect"/>
                  </pic:spPr>
                </pic:pic>
              </a:graphicData>
            </a:graphic>
          </wp:inline>
        </w:drawing>
      </w:r>
    </w:p>
    <w:p>
      <w:pPr>
        <w:jc w:val="center"/>
        <w:spacing w:before="80" w:after="40"/>
      </w:pPr>
      <w:r>
        <w:rPr>
          <w:rFonts w:ascii="Arial" w:hAnsi="Arial"/>
          <w:b/>
          <w:i w:val="0"/>
          <w:color w:val="1F3864"/>
          <w:sz w:val="26"/>
        </w:rPr>
        <w:t>Pontifícia Universidade Católica do Rio Grande do Sul</w:t>
      </w:r>
    </w:p>
    <w:p>
      <w:pPr>
        <w:jc w:val="center"/>
        <w:spacing w:before="0" w:after="40"/>
      </w:pPr>
      <w:r>
        <w:rPr>
          <w:rFonts w:ascii="Arial" w:hAnsi="Arial"/>
          <w:b/>
          <w:i w:val="0"/>
          <w:color w:val="1F3864"/>
          <w:sz w:val="23"/>
        </w:rPr>
        <w:t>LABELO – Laboratórios Especializados em Eletroeletrônica</w:t>
      </w:r>
    </w:p>
    <w:p>
      <w:pPr>
        <w:jc w:val="center"/>
        <w:spacing w:before="160" w:after="160"/>
      </w:pPr>
      <w:r>
        <w:rPr>
          <w:rFonts w:ascii="Arial" w:hAnsi="Arial"/>
          <w:b w:val="0"/>
          <w:i w:val="0"/>
          <w:color w:val="595959"/>
          <w:sz w:val="16"/>
        </w:rPr>
        <w:t>────────────────────────────────────────────────────────────</w:t>
      </w:r>
    </w:p>
    <w:p>
      <w:pPr>
        <w:jc w:val="center"/>
        <w:spacing w:before="0" w:after="80"/>
      </w:pPr>
      <w:r>
        <w:rPr>
          <w:rFonts w:ascii="Arial" w:hAnsi="Arial"/>
          <w:b/>
          <w:i w:val="0"/>
          <w:color w:val="1F3864"/>
          <w:sz w:val="32"/>
        </w:rPr>
        <w:t>MANUAL E VALIDAÇÃO DE SOFTWARE</w:t>
      </w:r>
    </w:p>
    <w:p>
      <w:pPr>
        <w:jc w:val="center"/>
        <w:spacing w:before="0" w:after="80"/>
      </w:pPr>
      <w:r>
        <w:rPr>
          <w:rFonts w:ascii="Arial" w:hAnsi="Arial"/>
          <w:b/>
          <w:i w:val="0"/>
          <w:color w:val="1F3864"/>
          <w:sz w:val="26"/>
        </w:rPr>
        <w:t>Sistema de Geração de Relatórios CISPR 15 LABELO</w:t>
      </w:r>
    </w:p>
    <w:p>
      <w:pPr>
        <w:jc w:val="center"/>
        <w:spacing w:before="0" w:after="600"/>
      </w:pPr>
      <w:r>
        <w:rPr>
          <w:rFonts w:ascii="Arial" w:hAnsi="Arial"/>
          <w:b w:val="0"/>
          <w:i/>
          <w:color w:val="000000"/>
          <w:sz w:val="22"/>
        </w:rPr>
        <w:t>Compatibilidade Eletromagnética — Equipamentos de Iluminação Elétrica</w:t>
      </w:r>
    </w:p>
    <w:tbl>
      <w:tblPr>
        <w:tblStyle w:val="TableGrid"/>
        <w:tblW w:type="auto" w:w="0"/>
        <w:jc w:val="center"/>
        <w:tblLook w:firstColumn="1" w:firstRow="1" w:lastColumn="0" w:lastRow="0" w:noHBand="0" w:noVBand="1" w:val="04A0"/>
      </w:tblPr>
      <w:tblGrid>
        <w:gridCol w:w="4961"/>
        <w:gridCol w:w="4961"/>
      </w:tblGrid>
      <w:tr>
        <w:tc>
          <w:tcPr>
            <w:tcW w:type="dxa" w:w="4961"/>
            <w:shd w:val="clear" w:color="auto" w:fill="D9D9D9"/>
          </w:tcPr>
          <w:p>
            <w:pPr>
              <w:ind w:left="113"/>
            </w:pPr>
            <w:r>
              <w:rPr>
                <w:rFonts w:ascii="Arial" w:hAnsi="Arial"/>
                <w:b/>
                <w:i w:val="0"/>
                <w:sz w:val="19"/>
              </w:rPr>
              <w:t>Identificação do Documento</w:t>
            </w:r>
          </w:p>
        </w:tc>
        <w:tc>
          <w:tcPr>
            <w:tcW w:type="dxa" w:w="4961"/>
          </w:tcPr>
          <w:p>
            <w:pPr>
              <w:ind w:left="113"/>
            </w:pPr>
            <w:r>
              <w:rPr>
                <w:rFonts w:ascii="Arial" w:hAnsi="Arial"/>
                <w:b w:val="0"/>
                <w:i w:val="0"/>
                <w:sz w:val="19"/>
              </w:rPr>
              <w:t>MV-EMC-CISPR15-001</w:t>
            </w:r>
          </w:p>
        </w:tc>
      </w:tr>
      <w:tr>
        <w:tc>
          <w:tcPr>
            <w:tcW w:type="dxa" w:w="4961"/>
            <w:shd w:val="clear" w:color="auto" w:fill="D9D9D9"/>
          </w:tcPr>
          <w:p>
            <w:pPr>
              <w:ind w:left="113"/>
            </w:pPr>
            <w:r>
              <w:rPr>
                <w:rFonts w:ascii="Arial" w:hAnsi="Arial"/>
                <w:b/>
                <w:i w:val="0"/>
                <w:sz w:val="19"/>
              </w:rPr>
              <w:t>Revisão</w:t>
            </w:r>
          </w:p>
        </w:tc>
        <w:tc>
          <w:tcPr>
            <w:tcW w:type="dxa" w:w="4961"/>
          </w:tcPr>
          <w:p>
            <w:pPr>
              <w:ind w:left="113"/>
            </w:pPr>
            <w:r>
              <w:rPr>
                <w:rFonts w:ascii="Arial" w:hAnsi="Arial"/>
                <w:b w:val="0"/>
                <w:i w:val="0"/>
                <w:sz w:val="19"/>
              </w:rPr>
              <w:t>00</w:t>
            </w:r>
          </w:p>
        </w:tc>
      </w:tr>
      <w:tr>
        <w:tc>
          <w:tcPr>
            <w:tcW w:type="dxa" w:w="4961"/>
            <w:shd w:val="clear" w:color="auto" w:fill="D9D9D9"/>
          </w:tcPr>
          <w:p>
            <w:pPr>
              <w:ind w:left="113"/>
            </w:pPr>
            <w:r>
              <w:rPr>
                <w:rFonts w:ascii="Arial" w:hAnsi="Arial"/>
                <w:b/>
                <w:i w:val="0"/>
                <w:sz w:val="19"/>
              </w:rPr>
              <w:t>Data de Emissão</w:t>
            </w:r>
          </w:p>
        </w:tc>
        <w:tc>
          <w:tcPr>
            <w:tcW w:type="dxa" w:w="4961"/>
          </w:tcPr>
          <w:p>
            <w:pPr>
              <w:ind w:left="113"/>
            </w:pPr>
            <w:r>
              <w:rPr>
                <w:rFonts w:ascii="Arial" w:hAnsi="Arial"/>
                <w:b w:val="0"/>
                <w:i w:val="0"/>
                <w:sz w:val="19"/>
              </w:rPr>
              <w:t>20/05/2026</w:t>
            </w:r>
          </w:p>
        </w:tc>
      </w:tr>
      <w:tr>
        <w:tc>
          <w:tcPr>
            <w:tcW w:type="dxa" w:w="4961"/>
            <w:shd w:val="clear" w:color="auto" w:fill="D9D9D9"/>
          </w:tcPr>
          <w:p>
            <w:pPr>
              <w:ind w:left="113"/>
            </w:pPr>
            <w:r>
              <w:rPr>
                <w:rFonts w:ascii="Arial" w:hAnsi="Arial"/>
                <w:b/>
                <w:i w:val="0"/>
                <w:sz w:val="19"/>
              </w:rPr>
              <w:t>Elaborado por</w:t>
            </w:r>
          </w:p>
        </w:tc>
        <w:tc>
          <w:tcPr>
            <w:tcW w:type="dxa" w:w="4961"/>
          </w:tcPr>
          <w:p>
            <w:pPr>
              <w:ind w:left="113"/>
            </w:pPr>
            <w:r>
              <w:rPr>
                <w:rFonts w:ascii="Arial" w:hAnsi="Arial"/>
                <w:b w:val="0"/>
                <w:i w:val="0"/>
                <w:sz w:val="19"/>
              </w:rPr>
              <w:t>Dionata Rafael Blauth da Paixão Nunes</w:t>
            </w:r>
          </w:p>
        </w:tc>
      </w:tr>
      <w:tr>
        <w:tc>
          <w:tcPr>
            <w:tcW w:type="dxa" w:w="4961"/>
            <w:shd w:val="clear" w:color="auto" w:fill="D9D9D9"/>
          </w:tcPr>
          <w:p>
            <w:pPr>
              <w:ind w:left="113"/>
            </w:pPr>
            <w:r>
              <w:rPr>
                <w:rFonts w:ascii="Arial" w:hAnsi="Arial"/>
                <w:b/>
                <w:i w:val="0"/>
                <w:sz w:val="19"/>
              </w:rPr>
              <w:t>Revisado por</w:t>
            </w:r>
          </w:p>
        </w:tc>
        <w:tc>
          <w:tcPr>
            <w:tcW w:type="dxa" w:w="4961"/>
          </w:tcPr>
          <w:p>
            <w:pPr>
              <w:ind w:left="113"/>
            </w:pPr>
            <w:r>
              <w:rPr>
                <w:rFonts w:ascii="Arial" w:hAnsi="Arial"/>
                <w:b w:val="0"/>
                <w:i w:val="0"/>
                <w:sz w:val="19"/>
              </w:rPr>
              <w:t>Jonathan Culau</w:t>
            </w:r>
          </w:p>
        </w:tc>
      </w:tr>
      <w:tr>
        <w:tc>
          <w:tcPr>
            <w:tcW w:type="dxa" w:w="4961"/>
            <w:shd w:val="clear" w:color="auto" w:fill="D9D9D9"/>
          </w:tcPr>
          <w:p>
            <w:pPr>
              <w:ind w:left="113"/>
            </w:pPr>
            <w:r>
              <w:rPr>
                <w:rFonts w:ascii="Arial" w:hAnsi="Arial"/>
                <w:b/>
                <w:i w:val="0"/>
                <w:sz w:val="19"/>
              </w:rPr>
              <w:t>Aprovado por</w:t>
            </w:r>
          </w:p>
        </w:tc>
        <w:tc>
          <w:tcPr>
            <w:tcW w:type="dxa" w:w="4961"/>
          </w:tcPr>
          <w:p>
            <w:pPr>
              <w:ind w:left="113"/>
            </w:pPr>
            <w:r>
              <w:rPr>
                <w:rFonts w:ascii="Arial" w:hAnsi="Arial"/>
                <w:b w:val="0"/>
                <w:i w:val="0"/>
                <w:sz w:val="19"/>
              </w:rPr>
              <w:t>Laboratório LABELO-PUCRS</w:t>
            </w:r>
          </w:p>
        </w:tc>
      </w:tr>
      <w:tr>
        <w:tc>
          <w:tcPr>
            <w:tcW w:type="dxa" w:w="4961"/>
            <w:shd w:val="clear" w:color="auto" w:fill="D9D9D9"/>
          </w:tcPr>
          <w:p>
            <w:pPr>
              <w:ind w:left="113"/>
            </w:pPr>
            <w:r>
              <w:rPr>
                <w:rFonts w:ascii="Arial" w:hAnsi="Arial"/>
                <w:b/>
                <w:i w:val="0"/>
                <w:sz w:val="19"/>
              </w:rPr>
              <w:t>Classificação</w:t>
            </w:r>
          </w:p>
        </w:tc>
        <w:tc>
          <w:tcPr>
            <w:tcW w:type="dxa" w:w="4961"/>
          </w:tcPr>
          <w:p>
            <w:pPr>
              <w:ind w:left="113"/>
            </w:pPr>
            <w:r>
              <w:rPr>
                <w:rFonts w:ascii="Arial" w:hAnsi="Arial"/>
                <w:b w:val="0"/>
                <w:i w:val="0"/>
                <w:sz w:val="19"/>
              </w:rPr>
              <w:t>Documento Interno — Sistema da Qualidade</w:t>
            </w:r>
          </w:p>
        </w:tc>
      </w:tr>
    </w:tbl>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1. Introdução e Objetivo</w:t>
            </w:r>
          </w:p>
        </w:tc>
      </w:tr>
    </w:tbl>
    <w:p>
      <w:pPr>
        <w:spacing w:before="40" w:after="40"/>
        <w:jc w:val="both"/>
      </w:pPr>
      <w:r>
        <w:rPr>
          <w:rFonts w:ascii="Arial" w:hAnsi="Arial"/>
          <w:b w:val="0"/>
          <w:i w:val="0"/>
          <w:sz w:val="22"/>
        </w:rPr>
        <w:t>Este documento descreve o funcionamento e os critérios de validação do software CISPR 15 LABELO, desenvolvido para uso interno do LABELO-PUCRS (Laboratório de Ensaios em Compatibilidade Eletromagnética). O sistema é utilizado para a geração automatizada de relatórios de ensaio conforme a norma NBR IEC/CISPR 15/2014 — Limites e métodos de medição das radioperturbações de equipamentos elétricos de iluminação e similares.</w:t>
      </w:r>
    </w:p>
    <w:p>
      <w:pPr>
        <w:spacing w:before="40" w:after="40"/>
        <w:jc w:val="both"/>
      </w:pPr>
      <w:r>
        <w:rPr>
          <w:rFonts w:ascii="Arial" w:hAnsi="Arial"/>
          <w:b w:val="0"/>
          <w:i w:val="0"/>
          <w:sz w:val="22"/>
        </w:rPr>
        <w:t>O objetivo deste manual é atender aos requisitos do Sistema da Qualidade do laboratório, documentando as funcionalidades do sistema, os fluxos de trabalho, as configurações de infraestrutura e os critérios de validação do software, conforme exigido pela ABNT NBR ISO/IEC 17025:2017.</w:t>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2. Informações Técnicas do Sistema</w:t>
            </w:r>
          </w:p>
        </w:tc>
      </w:tr>
    </w:tbl>
    <w:p>
      <w:pPr>
        <w:spacing w:before="40" w:after="40"/>
        <w:jc w:val="both"/>
      </w:pPr>
      <w:r>
        <w:rPr>
          <w:rFonts w:ascii="Arial" w:hAnsi="Arial"/>
          <w:b w:val="0"/>
          <w:i w:val="0"/>
          <w:sz w:val="22"/>
        </w:rPr>
        <w:t>A tabela a seguir apresenta as características técnicas do software:</w:t>
      </w:r>
    </w:p>
    <w:tbl>
      <w:tblPr>
        <w:tblStyle w:val="TableGrid"/>
        <w:tblW w:type="auto" w:w="0"/>
        <w:jc w:val="left"/>
        <w:tblLook w:firstColumn="1" w:firstRow="1" w:lastColumn="0" w:lastRow="0" w:noHBand="0" w:noVBand="1" w:val="04A0"/>
      </w:tblPr>
      <w:tblGrid>
        <w:gridCol w:w="4961"/>
        <w:gridCol w:w="4961"/>
      </w:tblGrid>
      <w:tr>
        <w:tc>
          <w:tcPr>
            <w:tcW w:type="dxa" w:w="4961"/>
            <w:shd w:val="clear" w:color="auto" w:fill="D9D9D9"/>
          </w:tcPr>
          <w:p>
            <w:pPr>
              <w:ind w:left="113"/>
            </w:pPr>
            <w:r>
              <w:rPr>
                <w:rFonts w:ascii="Arial" w:hAnsi="Arial"/>
                <w:b/>
                <w:i w:val="0"/>
                <w:sz w:val="19"/>
              </w:rPr>
              <w:t>Nome do sistema</w:t>
            </w:r>
          </w:p>
        </w:tc>
        <w:tc>
          <w:tcPr>
            <w:tcW w:type="dxa" w:w="4961"/>
          </w:tcPr>
          <w:p>
            <w:pPr>
              <w:ind w:left="113"/>
            </w:pPr>
            <w:r>
              <w:rPr>
                <w:rFonts w:ascii="Arial" w:hAnsi="Arial"/>
                <w:b w:val="0"/>
                <w:i w:val="0"/>
                <w:sz w:val="19"/>
              </w:rPr>
              <w:t>CISPR 15 LABELO</w:t>
            </w:r>
          </w:p>
        </w:tc>
      </w:tr>
      <w:tr>
        <w:tc>
          <w:tcPr>
            <w:tcW w:type="dxa" w:w="4961"/>
            <w:shd w:val="clear" w:color="auto" w:fill="D9D9D9"/>
          </w:tcPr>
          <w:p>
            <w:pPr>
              <w:ind w:left="113"/>
            </w:pPr>
            <w:r>
              <w:rPr>
                <w:rFonts w:ascii="Arial" w:hAnsi="Arial"/>
                <w:b/>
                <w:i w:val="0"/>
                <w:sz w:val="19"/>
              </w:rPr>
              <w:t>Tipo</w:t>
            </w:r>
          </w:p>
        </w:tc>
        <w:tc>
          <w:tcPr>
            <w:tcW w:type="dxa" w:w="4961"/>
          </w:tcPr>
          <w:p>
            <w:pPr>
              <w:ind w:left="113"/>
            </w:pPr>
            <w:r>
              <w:rPr>
                <w:rFonts w:ascii="Arial" w:hAnsi="Arial"/>
                <w:b w:val="0"/>
                <w:i w:val="0"/>
                <w:sz w:val="19"/>
              </w:rPr>
              <w:t>Aplicação desktop (Electron + Next.js 14 Standalone)</w:t>
            </w:r>
          </w:p>
        </w:tc>
      </w:tr>
      <w:tr>
        <w:tc>
          <w:tcPr>
            <w:tcW w:type="dxa" w:w="4961"/>
            <w:shd w:val="clear" w:color="auto" w:fill="D9D9D9"/>
          </w:tcPr>
          <w:p>
            <w:pPr>
              <w:ind w:left="113"/>
            </w:pPr>
            <w:r>
              <w:rPr>
                <w:rFonts w:ascii="Arial" w:hAnsi="Arial"/>
                <w:b/>
                <w:i w:val="0"/>
                <w:sz w:val="19"/>
              </w:rPr>
              <w:t>Plataforma</w:t>
            </w:r>
          </w:p>
        </w:tc>
        <w:tc>
          <w:tcPr>
            <w:tcW w:type="dxa" w:w="4961"/>
          </w:tcPr>
          <w:p>
            <w:pPr>
              <w:ind w:left="113"/>
            </w:pPr>
            <w:r>
              <w:rPr>
                <w:rFonts w:ascii="Arial" w:hAnsi="Arial"/>
                <w:b w:val="0"/>
                <w:i w:val="0"/>
                <w:sz w:val="19"/>
              </w:rPr>
              <w:t>Microsoft Windows 10/11 x64</w:t>
            </w:r>
          </w:p>
        </w:tc>
      </w:tr>
      <w:tr>
        <w:tc>
          <w:tcPr>
            <w:tcW w:type="dxa" w:w="4961"/>
            <w:shd w:val="clear" w:color="auto" w:fill="D9D9D9"/>
          </w:tcPr>
          <w:p>
            <w:pPr>
              <w:ind w:left="113"/>
            </w:pPr>
            <w:r>
              <w:rPr>
                <w:rFonts w:ascii="Arial" w:hAnsi="Arial"/>
                <w:b/>
                <w:i w:val="0"/>
                <w:sz w:val="19"/>
              </w:rPr>
              <w:t>Linguagem / Framework</w:t>
            </w:r>
          </w:p>
        </w:tc>
        <w:tc>
          <w:tcPr>
            <w:tcW w:type="dxa" w:w="4961"/>
          </w:tcPr>
          <w:p>
            <w:pPr>
              <w:ind w:left="113"/>
            </w:pPr>
            <w:r>
              <w:rPr>
                <w:rFonts w:ascii="Arial" w:hAnsi="Arial"/>
                <w:b w:val="0"/>
                <w:i w:val="0"/>
                <w:sz w:val="19"/>
              </w:rPr>
              <w:t>TypeScript · React 18 · Next.js 14 · Electron 31</w:t>
            </w:r>
          </w:p>
        </w:tc>
      </w:tr>
      <w:tr>
        <w:tc>
          <w:tcPr>
            <w:tcW w:type="dxa" w:w="4961"/>
            <w:shd w:val="clear" w:color="auto" w:fill="D9D9D9"/>
          </w:tcPr>
          <w:p>
            <w:pPr>
              <w:ind w:left="113"/>
            </w:pPr>
            <w:r>
              <w:rPr>
                <w:rFonts w:ascii="Arial" w:hAnsi="Arial"/>
                <w:b/>
                <w:i w:val="0"/>
                <w:sz w:val="19"/>
              </w:rPr>
              <w:t>Geração de PDF</w:t>
            </w:r>
          </w:p>
        </w:tc>
        <w:tc>
          <w:tcPr>
            <w:tcW w:type="dxa" w:w="4961"/>
          </w:tcPr>
          <w:p>
            <w:pPr>
              <w:ind w:left="113"/>
            </w:pPr>
            <w:r>
              <w:rPr>
                <w:rFonts w:ascii="Arial" w:hAnsi="Arial"/>
                <w:b w:val="0"/>
                <w:i w:val="0"/>
                <w:sz w:val="19"/>
              </w:rPr>
              <w:t>Puppeteer-core (Chromium headless via Electron)</w:t>
            </w:r>
          </w:p>
        </w:tc>
      </w:tr>
      <w:tr>
        <w:tc>
          <w:tcPr>
            <w:tcW w:type="dxa" w:w="4961"/>
            <w:shd w:val="clear" w:color="auto" w:fill="D9D9D9"/>
          </w:tcPr>
          <w:p>
            <w:pPr>
              <w:ind w:left="113"/>
            </w:pPr>
            <w:r>
              <w:rPr>
                <w:rFonts w:ascii="Arial" w:hAnsi="Arial"/>
                <w:b/>
                <w:i w:val="0"/>
                <w:sz w:val="19"/>
              </w:rPr>
              <w:t>Leitura de DOCX</w:t>
            </w:r>
          </w:p>
        </w:tc>
        <w:tc>
          <w:tcPr>
            <w:tcW w:type="dxa" w:w="4961"/>
          </w:tcPr>
          <w:p>
            <w:pPr>
              <w:ind w:left="113"/>
            </w:pPr>
            <w:r>
              <w:rPr>
                <w:rFonts w:ascii="Arial" w:hAnsi="Arial"/>
                <w:b w:val="0"/>
                <w:i w:val="0"/>
                <w:sz w:val="19"/>
              </w:rPr>
              <w:t>Mammoth.js (conversão HTML do arquivo Radimation)</w:t>
            </w:r>
          </w:p>
        </w:tc>
      </w:tr>
      <w:tr>
        <w:tc>
          <w:tcPr>
            <w:tcW w:type="dxa" w:w="4961"/>
            <w:shd w:val="clear" w:color="auto" w:fill="D9D9D9"/>
          </w:tcPr>
          <w:p>
            <w:pPr>
              <w:ind w:left="113"/>
            </w:pPr>
            <w:r>
              <w:rPr>
                <w:rFonts w:ascii="Arial" w:hAnsi="Arial"/>
                <w:b/>
                <w:i w:val="0"/>
                <w:sz w:val="19"/>
              </w:rPr>
              <w:t>Planilha de registro</w:t>
            </w:r>
          </w:p>
        </w:tc>
        <w:tc>
          <w:tcPr>
            <w:tcW w:type="dxa" w:w="4961"/>
          </w:tcPr>
          <w:p>
            <w:pPr>
              <w:ind w:left="113"/>
            </w:pPr>
            <w:r>
              <w:rPr>
                <w:rFonts w:ascii="Arial" w:hAnsi="Arial"/>
                <w:b w:val="0"/>
                <w:i w:val="0"/>
                <w:sz w:val="19"/>
              </w:rPr>
              <w:t>XLSX (xlsx.js) — Excel .xlsx em pasta de rede</w:t>
            </w:r>
          </w:p>
        </w:tc>
      </w:tr>
      <w:tr>
        <w:tc>
          <w:tcPr>
            <w:tcW w:type="dxa" w:w="4961"/>
            <w:shd w:val="clear" w:color="auto" w:fill="D9D9D9"/>
          </w:tcPr>
          <w:p>
            <w:pPr>
              <w:ind w:left="113"/>
            </w:pPr>
            <w:r>
              <w:rPr>
                <w:rFonts w:ascii="Arial" w:hAnsi="Arial"/>
                <w:b/>
                <w:i w:val="0"/>
                <w:sz w:val="19"/>
              </w:rPr>
              <w:t>Armazenamento de dados</w:t>
            </w:r>
          </w:p>
        </w:tc>
        <w:tc>
          <w:tcPr>
            <w:tcW w:type="dxa" w:w="4961"/>
          </w:tcPr>
          <w:p>
            <w:pPr>
              <w:ind w:left="113"/>
            </w:pPr>
            <w:r>
              <w:rPr>
                <w:rFonts w:ascii="Arial" w:hAnsi="Arial"/>
                <w:b w:val="0"/>
                <w:i w:val="0"/>
                <w:sz w:val="19"/>
              </w:rPr>
              <w:t>Arquivos JSON em Documentos\CISPR 15 LABELO\dados\ (padrão) ou pasta de rede configurável</w:t>
            </w:r>
          </w:p>
        </w:tc>
      </w:tr>
    </w:tbl>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3. Configurações do Sistema — Diretórios e Segurança</w:t>
            </w:r>
          </w:p>
        </w:tc>
      </w:tr>
    </w:tbl>
    <w:p>
      <w:pPr>
        <w:spacing w:before="40" w:after="40"/>
        <w:jc w:val="both"/>
      </w:pPr>
      <w:r>
        <w:rPr>
          <w:rFonts w:ascii="Arial" w:hAnsi="Arial"/>
          <w:b w:val="0"/>
          <w:i w:val="0"/>
          <w:sz w:val="22"/>
        </w:rPr>
        <w:t>O sistema é configurado através da tela "Configurações", acessível pelo ícone de engrenagem na parte superior direita do formulário principal. As configurações são armazenadas em %AppData%\CISPR15-LABELO\settings.json e persistem entre sessões.</w:t>
      </w:r>
    </w:p>
    <w:p>
      <w:pPr>
        <w:spacing w:before="160" w:after="60"/>
      </w:pPr>
      <w:r>
        <w:rPr>
          <w:rFonts w:ascii="Arial" w:hAnsi="Arial"/>
          <w:b/>
          <w:i w:val="0"/>
          <w:sz w:val="22"/>
        </w:rPr>
        <w:t>3.1 Planilha de Registro (Excel)</w:t>
      </w:r>
    </w:p>
    <w:p>
      <w:pPr>
        <w:spacing w:before="40" w:after="40"/>
        <w:jc w:val="both"/>
      </w:pPr>
      <w:r>
        <w:rPr>
          <w:rFonts w:ascii="Arial" w:hAnsi="Arial"/>
          <w:b w:val="0"/>
          <w:i w:val="0"/>
          <w:sz w:val="22"/>
        </w:rPr>
        <w:t>Caminho da planilha Excel onde os números de relatório são registrados automaticamente ao gerar cada relatório. Pode estar em pasta local ou de rede (ex.: \\servidor\projetos\...). O sistema utiliza a biblioteca XLSX para ler e gravar na planilha sem abrir o Excel.</w:t>
      </w:r>
    </w:p>
    <w:p>
      <w:pPr>
        <w:spacing w:before="160" w:after="60"/>
      </w:pPr>
      <w:r>
        <w:rPr>
          <w:rFonts w:ascii="Arial" w:hAnsi="Arial"/>
          <w:b/>
          <w:i w:val="0"/>
          <w:sz w:val="22"/>
        </w:rPr>
        <w:t>3.2 Pasta de Dados Compartilhados</w:t>
      </w:r>
    </w:p>
    <w:p>
      <w:pPr>
        <w:spacing w:before="40" w:after="40"/>
        <w:jc w:val="both"/>
      </w:pPr>
      <w:r>
        <w:rPr>
          <w:rFonts w:ascii="Arial" w:hAnsi="Arial"/>
          <w:b w:val="0"/>
          <w:i w:val="0"/>
          <w:sz w:val="22"/>
        </w:rPr>
        <w:t>Pasta onde os arquivos cispr15_clientes.json e cispr15_relatorios.json são armazenados. Quando o campo estiver vazio, o sistema utiliza automaticamente a pasta padrão local:</w:t>
      </w:r>
    </w:p>
    <w:p>
      <w:pPr>
        <w:spacing w:before="40" w:after="40"/>
        <w:ind w:left="567"/>
        <w:jc w:val="both"/>
      </w:pPr>
      <w:r>
        <w:rPr>
          <w:rFonts w:ascii="Arial" w:hAnsi="Arial"/>
          <w:b/>
          <w:i w:val="0"/>
          <w:sz w:val="22"/>
        </w:rPr>
        <w:t>Documentos\CISPR 15 LABELO\dados\</w:t>
      </w:r>
    </w:p>
    <w:p>
      <w:pPr>
        <w:spacing w:before="40" w:after="40"/>
        <w:jc w:val="both"/>
      </w:pPr>
      <w:r>
        <w:rPr>
          <w:rFonts w:ascii="Arial" w:hAnsi="Arial"/>
          <w:b w:val="0"/>
          <w:i w:val="0"/>
          <w:sz w:val="22"/>
        </w:rPr>
        <w:t>Este caminho é fixo e idêntico em qualquer computador, independente de onde o aplicativo está instalado. O caminho efetivo é sempre exibido como texto de exemplo no próprio campo em Configurações. Para compartilhar dados entre computadores do laboratório, siga o procedimento abaixo:</w:t>
      </w:r>
    </w:p>
    <w:p>
      <w:pPr>
        <w:pStyle w:val="ListBullet"/>
        <w:spacing w:before="20" w:after="20"/>
      </w:pPr>
      <w:r>
        <w:rPr>
          <w:rFonts w:ascii="Arial" w:hAnsi="Arial"/>
          <w:b w:val="0"/>
          <w:i w:val="0"/>
          <w:sz w:val="22"/>
        </w:rPr>
        <w:t>Copie os três arquivos da pasta padrão (cispr15_agenda.json, cispr15_clientes.json, cispr15_relatorios.json) para a pasta de rede desejada (ex.: \\servidor\projetos\CISPR15\dados).</w:t>
      </w:r>
    </w:p>
    <w:p>
      <w:pPr>
        <w:pStyle w:val="ListBullet"/>
        <w:spacing w:before="20" w:after="20"/>
      </w:pPr>
      <w:r>
        <w:rPr>
          <w:rFonts w:ascii="Arial" w:hAnsi="Arial"/>
          <w:b w:val="0"/>
          <w:i w:val="0"/>
          <w:sz w:val="22"/>
        </w:rPr>
        <w:t>Abra Configurações no aplicativo e informe o caminho de rede no campo "Pasta de Dados Compartilhados".</w:t>
      </w:r>
    </w:p>
    <w:p>
      <w:pPr>
        <w:pStyle w:val="ListBullet"/>
        <w:spacing w:before="20" w:after="20"/>
      </w:pPr>
      <w:r>
        <w:rPr>
          <w:rFonts w:ascii="Arial" w:hAnsi="Arial"/>
          <w:b w:val="0"/>
          <w:i w:val="0"/>
          <w:sz w:val="22"/>
        </w:rPr>
        <w:t>Clique em Salvar. A partir deste momento todos os computadores configurados com o mesmo caminho compartilham o mesmo banco de dados.</w:t>
      </w:r>
    </w:p>
    <w:p>
      <w:pPr>
        <w:spacing w:before="40" w:after="40"/>
        <w:jc w:val="both"/>
      </w:pPr>
      <w:r>
        <w:rPr>
          <w:rFonts w:ascii="Arial" w:hAnsi="Arial"/>
          <w:b w:val="0"/>
          <w:i/>
          <w:sz w:val="22"/>
        </w:rPr>
        <w:t>Importante: a pasta local padrão continua existindo como backup histórico após a migração para rede. Ela não é apagada e pode ser usada para restauração em caso de perda de acesso ao servidor.</w:t>
      </w:r>
    </w:p>
    <w:p>
      <w:pPr>
        <w:spacing w:before="160" w:after="60"/>
      </w:pPr>
      <w:r>
        <w:rPr>
          <w:rFonts w:ascii="Arial" w:hAnsi="Arial"/>
          <w:b/>
          <w:i w:val="0"/>
          <w:sz w:val="22"/>
        </w:rPr>
        <w:t>3.3 Pasta da Agenda de Execução</w:t>
      </w:r>
    </w:p>
    <w:p>
      <w:pPr>
        <w:spacing w:before="40" w:after="40"/>
        <w:jc w:val="both"/>
      </w:pPr>
      <w:r>
        <w:rPr>
          <w:rFonts w:ascii="Arial" w:hAnsi="Arial"/>
          <w:b w:val="0"/>
          <w:i w:val="0"/>
          <w:sz w:val="22"/>
        </w:rPr>
        <w:t>Pasta dedicada para o arquivo cispr15_agenda.json. Se deixada vazia, utiliza a mesma pasta de dados compartilhados configurada acima (ou a pasta padrão local). Pode ser configurada separadamente para permitir que técnicos que apenas consultam a agenda tenham acesso somente a esta pasta, sem exposição do banco de clientes e relatórios. Útil em ambientes onde diferentes perfis de usuário têm permissões distintas na rede.</w:t>
      </w:r>
    </w:p>
    <w:p>
      <w:pPr>
        <w:spacing w:before="160" w:after="60"/>
      </w:pPr>
      <w:r>
        <w:rPr>
          <w:rFonts w:ascii="Arial" w:hAnsi="Arial"/>
          <w:b/>
          <w:i w:val="0"/>
          <w:sz w:val="22"/>
        </w:rPr>
        <w:t>3.4 Pasta de Cópias de PDF</w:t>
      </w:r>
    </w:p>
    <w:p>
      <w:pPr>
        <w:spacing w:before="40" w:after="40"/>
        <w:jc w:val="both"/>
      </w:pPr>
      <w:r>
        <w:rPr>
          <w:rFonts w:ascii="Arial" w:hAnsi="Arial"/>
          <w:b w:val="0"/>
          <w:i w:val="0"/>
          <w:sz w:val="22"/>
        </w:rPr>
        <w:t>Pasta de destino para cópias automáticas dos PDFs gerados. Toda vez que um relatório ou emenda é gerado (inclusive após assinatura), uma cópia é salva nesta pasta. Ao excluir um item da agenda, a cópia correspondente também é removida automaticamente. Indicada para acesso de consulta sem expor a pasta original da EUT.</w:t>
      </w:r>
    </w:p>
    <w:p>
      <w:pPr>
        <w:spacing w:before="160" w:after="60"/>
      </w:pPr>
      <w:r>
        <w:rPr>
          <w:rFonts w:ascii="Arial" w:hAnsi="Arial"/>
          <w:b/>
          <w:i w:val="0"/>
          <w:sz w:val="22"/>
        </w:rPr>
        <w:t>3.5 Salvamento Automático de PDF na Pasta da EUT</w:t>
      </w:r>
    </w:p>
    <w:p>
      <w:pPr>
        <w:spacing w:before="40" w:after="40"/>
        <w:jc w:val="both"/>
      </w:pPr>
      <w:r>
        <w:rPr>
          <w:rFonts w:ascii="Arial" w:hAnsi="Arial"/>
          <w:b w:val="0"/>
          <w:i w:val="0"/>
          <w:sz w:val="22"/>
        </w:rPr>
        <w:t>Quando ativada, a opção "Salvar PDF automaticamente na pasta da EUT" salva uma cópia do relatório gerado diretamente na pasta do ensaio (mesma pasta do arquivo .docx do Radimation e das fotos), sem necessidade de ação manual pelo operador.</w:t>
      </w:r>
    </w:p>
    <w:p>
      <w:pPr>
        <w:spacing w:before="160" w:after="60"/>
      </w:pPr>
      <w:r>
        <w:rPr>
          <w:rFonts w:ascii="Arial" w:hAnsi="Arial"/>
          <w:b/>
          <w:i w:val="0"/>
          <w:sz w:val="22"/>
        </w:rPr>
        <w:t>3.6 Senha de Acesso à Emissão</w:t>
      </w:r>
    </w:p>
    <w:p>
      <w:pPr>
        <w:spacing w:before="40" w:after="40"/>
        <w:jc w:val="both"/>
      </w:pPr>
      <w:r>
        <w:rPr>
          <w:rFonts w:ascii="Arial" w:hAnsi="Arial"/>
          <w:b w:val="0"/>
          <w:i w:val="0"/>
          <w:sz w:val="22"/>
        </w:rPr>
        <w:t>O sistema permite configurar uma senha de acesso à área de emissão de relatórios. Quando configurada, a senha é solicitada a cada nova sessão do aplicativo antes de permitir o acesso ao formulário de emissão e às configurações. A Agenda de Execução permanece sempre acessível sem senha, permitindo consulta por qualquer usuário. A senha é armazenada no arquivo settings.json em %AppData%.</w:t>
      </w:r>
    </w:p>
    <w:p>
      <w:pPr>
        <w:jc w:val="center"/>
        <w:spacing w:before="40" w:after="20"/>
      </w:pPr>
      <w:r>
        <w:drawing>
          <wp:inline xmlns:a="http://schemas.openxmlformats.org/drawingml/2006/main" xmlns:pic="http://schemas.openxmlformats.org/drawingml/2006/picture">
            <wp:extent cx="5580000" cy="3587143"/>
            <wp:docPr id="2" name="Picture 2"/>
            <wp:cNvGraphicFramePr>
              <a:graphicFrameLocks noChangeAspect="1"/>
            </wp:cNvGraphicFramePr>
            <a:graphic>
              <a:graphicData uri="http://schemas.openxmlformats.org/drawingml/2006/picture">
                <pic:pic>
                  <pic:nvPicPr>
                    <pic:cNvPr id="0" name="05_configuracoes.png"/>
                    <pic:cNvPicPr/>
                  </pic:nvPicPr>
                  <pic:blipFill>
                    <a:blip r:embed="rId12"/>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Tela de Configurações — Parte superior: planilha, dados compartilhados e pasta da agenda</w:t>
      </w:r>
    </w:p>
    <w:p>
      <w:pPr>
        <w:jc w:val="center"/>
        <w:spacing w:before="40" w:after="20"/>
      </w:pPr>
      <w:r>
        <w:drawing>
          <wp:inline xmlns:a="http://schemas.openxmlformats.org/drawingml/2006/main" xmlns:pic="http://schemas.openxmlformats.org/drawingml/2006/picture">
            <wp:extent cx="5580000" cy="3587143"/>
            <wp:docPr id="3" name="Picture 3"/>
            <wp:cNvGraphicFramePr>
              <a:graphicFrameLocks noChangeAspect="1"/>
            </wp:cNvGraphicFramePr>
            <a:graphic>
              <a:graphicData uri="http://schemas.openxmlformats.org/drawingml/2006/picture">
                <pic:pic>
                  <pic:nvPicPr>
                    <pic:cNvPr id="0" name="05b_configuracoes_inferior.png"/>
                    <pic:cNvPicPr/>
                  </pic:nvPicPr>
                  <pic:blipFill>
                    <a:blip r:embed="rId13"/>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Tela de Configurações — Parte inferior: cópias de PDF, salvamento automático e senha de acesso</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4. Autenticação — Controle de Acesso à Emissão</w:t>
            </w:r>
          </w:p>
        </w:tc>
      </w:tr>
    </w:tbl>
    <w:p>
      <w:pPr>
        <w:spacing w:before="40" w:after="40"/>
        <w:jc w:val="both"/>
      </w:pPr>
      <w:r>
        <w:rPr>
          <w:rFonts w:ascii="Arial" w:hAnsi="Arial"/>
          <w:b w:val="0"/>
          <w:i w:val="0"/>
          <w:sz w:val="22"/>
        </w:rPr>
        <w:t>Quando uma senha de emissão está configurada, ao iniciar uma nova sessão do aplicativo o usuário é apresentado ao modal de autenticação antes de acessar o formulário de emissão ou as configurações. O sistema usa sessionStorage para manter a autenticação durante a sessão; ao fechar e reabrir o aplicativo, a senha é solicitada novamente.</w:t>
      </w:r>
    </w:p>
    <w:p>
      <w:pPr>
        <w:spacing w:before="40" w:after="40"/>
        <w:jc w:val="both"/>
      </w:pPr>
      <w:r>
        <w:rPr>
          <w:rFonts w:ascii="Arial" w:hAnsi="Arial"/>
          <w:b w:val="0"/>
          <w:i w:val="0"/>
          <w:sz w:val="22"/>
        </w:rPr>
        <w:t>O modal é exibido também ao tentar gerar uma emenda sobre um relatório já bloqueado, garantindo que apenas pessoal autorizado emita correções em documentos finalizados.</w:t>
      </w:r>
    </w:p>
    <w:p>
      <w:pPr>
        <w:jc w:val="center"/>
        <w:spacing w:before="40" w:after="20"/>
      </w:pPr>
      <w:r>
        <w:drawing>
          <wp:inline xmlns:a="http://schemas.openxmlformats.org/drawingml/2006/main" xmlns:pic="http://schemas.openxmlformats.org/drawingml/2006/picture">
            <wp:extent cx="5580000" cy="3587143"/>
            <wp:docPr id="4" name="Picture 4"/>
            <wp:cNvGraphicFramePr>
              <a:graphicFrameLocks noChangeAspect="1"/>
            </wp:cNvGraphicFramePr>
            <a:graphic>
              <a:graphicData uri="http://schemas.openxmlformats.org/drawingml/2006/picture">
                <pic:pic>
                  <pic:nvPicPr>
                    <pic:cNvPr id="0" name="10_modal_senha.png"/>
                    <pic:cNvPicPr/>
                  </pic:nvPicPr>
                  <pic:blipFill>
                    <a:blip r:embed="rId14"/>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Modal de autenticação — solicitação de senha ao iniciar sessão de emissão</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5. Formulário Principal — CISPR 15</w:t>
            </w:r>
          </w:p>
        </w:tc>
      </w:tr>
    </w:tbl>
    <w:p>
      <w:pPr>
        <w:spacing w:before="40" w:after="40"/>
        <w:jc w:val="both"/>
      </w:pPr>
      <w:r>
        <w:rPr>
          <w:rFonts w:ascii="Arial" w:hAnsi="Arial"/>
          <w:b w:val="0"/>
          <w:i w:val="0"/>
          <w:sz w:val="22"/>
        </w:rPr>
        <w:t>O formulário principal é o ponto de entrada para emissão de relatórios CISPR 15. Acessa-se pela rota /cispr15 do sistema. É composto por quatro abas: Formulário, Clientes, Emendas e Relatórios. O ícone de engrenagem no canto superior direito dá acesso direto às Configurações.</w:t>
      </w:r>
    </w:p>
    <w:p>
      <w:pPr>
        <w:spacing w:before="160" w:after="60"/>
      </w:pPr>
      <w:r>
        <w:rPr>
          <w:rFonts w:ascii="Arial" w:hAnsi="Arial"/>
          <w:b/>
          <w:i w:val="0"/>
          <w:sz w:val="22"/>
        </w:rPr>
        <w:t>5.1 Aba Formulário</w:t>
      </w:r>
    </w:p>
    <w:p>
      <w:pPr>
        <w:spacing w:before="40" w:after="40"/>
        <w:jc w:val="both"/>
      </w:pPr>
      <w:r>
        <w:rPr>
          <w:rFonts w:ascii="Arial" w:hAnsi="Arial"/>
          <w:b w:val="0"/>
          <w:i w:val="0"/>
          <w:sz w:val="22"/>
        </w:rPr>
        <w:t>A aba Formulário é dividida nas seguintes seções:</w:t>
      </w:r>
    </w:p>
    <w:p>
      <w:pPr>
        <w:pStyle w:val="ListBullet"/>
        <w:spacing w:before="20" w:after="20"/>
      </w:pPr>
      <w:r>
        <w:rPr>
          <w:rFonts w:ascii="Arial" w:hAnsi="Arial"/>
          <w:b w:val="0"/>
          <w:i w:val="0"/>
          <w:sz w:val="22"/>
        </w:rPr>
        <w:t>Tipo de DUT: seleção entre Lâmpada ou Luminária. Para lâmpadas, permite configurar as tensões de ensaio (127 V, 127+220 V ou 127+220+277 V). O identificador do produto é Código de Barras para lâmpadas e Número de Série para luminárias.</w:t>
      </w:r>
    </w:p>
    <w:p>
      <w:pPr>
        <w:pStyle w:val="ListBullet"/>
        <w:spacing w:before="20" w:after="20"/>
      </w:pPr>
      <w:r>
        <w:rPr>
          <w:rFonts w:ascii="Arial" w:hAnsi="Arial"/>
          <w:b w:val="0"/>
          <w:i w:val="0"/>
          <w:sz w:val="22"/>
        </w:rPr>
        <w:t>Cliente: campos de nome, endereço, cidade e CEP. Ao digitar o CEP completo, o campo de cidade é preenchido automaticamente via API ViaCEP. Permite buscar clientes já cadastrados no banco de dados e salvar novos clientes.</w:t>
      </w:r>
    </w:p>
    <w:p>
      <w:pPr>
        <w:pStyle w:val="ListBullet"/>
        <w:spacing w:before="20" w:after="20"/>
      </w:pPr>
      <w:r>
        <w:rPr>
          <w:rFonts w:ascii="Arial" w:hAnsi="Arial"/>
          <w:b w:val="0"/>
          <w:i w:val="0"/>
          <w:sz w:val="22"/>
        </w:rPr>
        <w:t>Objeto Ensaiado: campos de produto, fabricante, modelo, identificador, potência, tensão de alimentação e frequência. Possui botão "Ler Fotos (OCR)" para extração automática de dados das etiquetas do equipamento.</w:t>
      </w:r>
    </w:p>
    <w:p>
      <w:pPr>
        <w:pStyle w:val="ListBullet"/>
        <w:spacing w:before="20" w:after="20"/>
      </w:pPr>
      <w:r>
        <w:rPr>
          <w:rFonts w:ascii="Arial" w:hAnsi="Arial"/>
          <w:b w:val="0"/>
          <w:i w:val="0"/>
          <w:sz w:val="22"/>
        </w:rPr>
        <w:t>Dados do Relatório: número do relatório (preenchido automaticamente ao gerar), responsável técnico, orçamento LABELO, protocolo, período de ensaio, data de emissão e resultado dos ensaios (Conduzida, Loop, Anexo B — PASS/FAIL).</w:t>
      </w:r>
    </w:p>
    <w:p>
      <w:pPr>
        <w:pStyle w:val="ListBullet"/>
        <w:spacing w:before="20" w:after="20"/>
      </w:pPr>
      <w:r>
        <w:rPr>
          <w:rFonts w:ascii="Arial" w:hAnsi="Arial"/>
          <w:b w:val="0"/>
          <w:i w:val="0"/>
          <w:sz w:val="22"/>
        </w:rPr>
        <w:t>Anexos: seleção da pasta do ensaio (contendo .docx do Radimation + subpasta de fotos). Exibe miniaturas das fotos carregadas com opções de trocar ou remover individualmente.</w:t>
      </w:r>
    </w:p>
    <w:p>
      <w:pPr>
        <w:jc w:val="center"/>
        <w:spacing w:before="40" w:after="20"/>
      </w:pPr>
      <w:r>
        <w:drawing>
          <wp:inline xmlns:a="http://schemas.openxmlformats.org/drawingml/2006/main" xmlns:pic="http://schemas.openxmlformats.org/drawingml/2006/picture">
            <wp:extent cx="5580000" cy="3587143"/>
            <wp:docPr id="5" name="Picture 5"/>
            <wp:cNvGraphicFramePr>
              <a:graphicFrameLocks noChangeAspect="1"/>
            </wp:cNvGraphicFramePr>
            <a:graphic>
              <a:graphicData uri="http://schemas.openxmlformats.org/drawingml/2006/picture">
                <pic:pic>
                  <pic:nvPicPr>
                    <pic:cNvPr id="0" name="01_formulario_principal.png"/>
                    <pic:cNvPicPr/>
                  </pic:nvPicPr>
                  <pic:blipFill>
                    <a:blip r:embed="rId15"/>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Formulário CISPR 15 — parte superior: tipo de DUT, cliente e objeto ensaiado</w:t>
      </w:r>
    </w:p>
    <w:p>
      <w:pPr>
        <w:jc w:val="center"/>
        <w:spacing w:before="40" w:after="20"/>
      </w:pPr>
      <w:r>
        <w:drawing>
          <wp:inline xmlns:a="http://schemas.openxmlformats.org/drawingml/2006/main" xmlns:pic="http://schemas.openxmlformats.org/drawingml/2006/picture">
            <wp:extent cx="5580000" cy="3587143"/>
            <wp:docPr id="6" name="Picture 6"/>
            <wp:cNvGraphicFramePr>
              <a:graphicFrameLocks noChangeAspect="1"/>
            </wp:cNvGraphicFramePr>
            <a:graphic>
              <a:graphicData uri="http://schemas.openxmlformats.org/drawingml/2006/picture">
                <pic:pic>
                  <pic:nvPicPr>
                    <pic:cNvPr id="0" name="01b_formulario_inferior.png"/>
                    <pic:cNvPicPr/>
                  </pic:nvPicPr>
                  <pic:blipFill>
                    <a:blip r:embed="rId16"/>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Formulário CISPR 15 — parte inferior: dados do relatório, resultados e botões de ação</w:t>
      </w:r>
    </w:p>
    <w:p>
      <w:pPr>
        <w:spacing w:before="160" w:after="60"/>
      </w:pPr>
      <w:r>
        <w:rPr>
          <w:rFonts w:ascii="Arial" w:hAnsi="Arial"/>
          <w:b/>
          <w:i w:val="0"/>
          <w:sz w:val="22"/>
        </w:rPr>
        <w:t>5.2 Lógica de Validação e Bloqueio</w:t>
      </w:r>
    </w:p>
    <w:p>
      <w:pPr>
        <w:spacing w:before="40" w:after="40"/>
        <w:jc w:val="both"/>
      </w:pPr>
      <w:r>
        <w:rPr>
          <w:rFonts w:ascii="Arial" w:hAnsi="Arial"/>
          <w:b w:val="0"/>
          <w:i w:val="0"/>
          <w:sz w:val="22"/>
        </w:rPr>
        <w:t>O sistema realiza validação em tempo real de todos os campos obrigatórios antes de permitir a geração do relatório. Os campos obrigatórios são: nome do cliente, endereço, cidade, produto, fabricante, modelo, identificador, potência nominal, tensão de alimentação, protocolo LABELO, responsável técnico, fotos do ensaio e arquivo .docx. O botão "Gerar Relatório" é bloqueado enquanto houver campos pendentes; um banner exibe a lista de pendências.</w:t>
      </w:r>
    </w:p>
    <w:p>
      <w:pPr>
        <w:spacing w:before="40" w:after="40"/>
        <w:jc w:val="both"/>
      </w:pPr>
      <w:r>
        <w:rPr>
          <w:rFonts w:ascii="Arial" w:hAnsi="Arial"/>
          <w:b w:val="0"/>
          <w:i w:val="0"/>
          <w:sz w:val="22"/>
        </w:rPr>
        <w:t>Ao gerar o relatório, o sistema verifica duplicidade de protocolo tanto no histórico local quanto na planilha Excel. Se houver duplicata, o operador é alertado e pode confirmar ou cancelar o registro. Após a geração, o formulário é automaticamente bloqueado (banner laranja "Formulário bloqueado") para evitar edições acidentais. O desbloqueio pode ser feito manualmente ou com senha, dependendo da configuração.</w:t>
      </w:r>
    </w:p>
    <w:p>
      <w:pPr>
        <w:spacing w:before="160" w:after="60"/>
      </w:pPr>
      <w:r>
        <w:rPr>
          <w:rFonts w:ascii="Arial" w:hAnsi="Arial"/>
          <w:b/>
          <w:i w:val="0"/>
          <w:sz w:val="22"/>
        </w:rPr>
        <w:t>5.3 Leitura OCR das Fotos</w:t>
      </w:r>
    </w:p>
    <w:p>
      <w:pPr>
        <w:spacing w:before="40" w:after="40"/>
        <w:jc w:val="both"/>
      </w:pPr>
      <w:r>
        <w:rPr>
          <w:rFonts w:ascii="Arial" w:hAnsi="Arial"/>
          <w:b w:val="0"/>
          <w:i w:val="0"/>
          <w:sz w:val="22"/>
        </w:rPr>
        <w:t>O botão "Ler Fotos (OCR)" analisa as fotos da amostra (posições 3 e 4 para lâmpadas; posição 3 para luminárias) e extrai automaticamente campos como: produto, fabricante, modelo, código de barras/série, potência, tensão e frequência. O sistema utiliza primariamente a API Windows.Media.Ocr (nativa do Windows) via IPC do Electron; em caso de falha, usa Tesseract.js como alternativa. As sugestões são exibidas em cards clicáveis para aplicação individual ou em bloco.</w:t>
      </w:r>
    </w:p>
    <w:p>
      <w:pPr>
        <w:spacing w:before="160" w:after="60"/>
      </w:pPr>
      <w:r>
        <w:rPr>
          <w:rFonts w:ascii="Arial" w:hAnsi="Arial"/>
          <w:b/>
          <w:i w:val="0"/>
          <w:sz w:val="22"/>
        </w:rPr>
        <w:t>5.4 Pré-carregamento da Agenda</w:t>
      </w:r>
    </w:p>
    <w:p>
      <w:pPr>
        <w:spacing w:before="40" w:after="40"/>
        <w:jc w:val="both"/>
      </w:pPr>
      <w:r>
        <w:rPr>
          <w:rFonts w:ascii="Arial" w:hAnsi="Arial"/>
          <w:b w:val="0"/>
          <w:i w:val="0"/>
          <w:sz w:val="22"/>
        </w:rPr>
        <w:t>Ao sair do campo Protocolo LABELO, o sistema busca automaticamente na Agenda de Execução um item com o mesmo protocolo e pré-carrega os dados do cliente, produto, fabricante, modelo, tensão, potência e demais campos disponíveis, eliminando a redigitação de informações já cadastradas.</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6. Aba Clientes — Banco de Dados de Clientes</w:t>
            </w:r>
          </w:p>
        </w:tc>
      </w:tr>
    </w:tbl>
    <w:p>
      <w:pPr>
        <w:spacing w:before="40" w:after="40"/>
        <w:jc w:val="both"/>
      </w:pPr>
      <w:r>
        <w:rPr>
          <w:rFonts w:ascii="Arial" w:hAnsi="Arial"/>
          <w:b w:val="0"/>
          <w:i w:val="0"/>
          <w:sz w:val="22"/>
        </w:rPr>
        <w:t>A aba Clientes permite gerenciar o banco de dados de clientes do laboratório. Os dados são sincronizados com a pasta de rede configurada (arquivo cispr15_clientes.json), tornando-os disponíveis em todos os computadores do laboratório.</w:t>
      </w:r>
    </w:p>
    <w:p>
      <w:pPr>
        <w:spacing w:before="40" w:after="40"/>
        <w:jc w:val="both"/>
      </w:pPr>
      <w:r>
        <w:rPr>
          <w:rFonts w:ascii="Arial" w:hAnsi="Arial"/>
          <w:b w:val="0"/>
          <w:i w:val="0"/>
          <w:sz w:val="22"/>
        </w:rPr>
        <w:t>Funcionalidades da aba Clientes:</w:t>
      </w:r>
    </w:p>
    <w:p>
      <w:pPr>
        <w:pStyle w:val="ListBullet"/>
        <w:spacing w:before="20" w:after="20"/>
      </w:pPr>
      <w:r>
        <w:rPr>
          <w:rFonts w:ascii="Arial" w:hAnsi="Arial"/>
          <w:b w:val="0"/>
          <w:i w:val="0"/>
          <w:sz w:val="22"/>
        </w:rPr>
        <w:t>Listar todos os clientes cadastrados com nome, endereço, cidade e CEP.</w:t>
      </w:r>
    </w:p>
    <w:p>
      <w:pPr>
        <w:pStyle w:val="ListBullet"/>
        <w:spacing w:before="20" w:after="20"/>
      </w:pPr>
      <w:r>
        <w:rPr>
          <w:rFonts w:ascii="Arial" w:hAnsi="Arial"/>
          <w:b w:val="0"/>
          <w:i w:val="0"/>
          <w:sz w:val="22"/>
        </w:rPr>
        <w:t>Buscar clientes por nome ou cidade.</w:t>
      </w:r>
    </w:p>
    <w:p>
      <w:pPr>
        <w:pStyle w:val="ListBullet"/>
        <w:spacing w:before="20" w:after="20"/>
      </w:pPr>
      <w:r>
        <w:rPr>
          <w:rFonts w:ascii="Arial" w:hAnsi="Arial"/>
          <w:b w:val="0"/>
          <w:i w:val="0"/>
          <w:sz w:val="22"/>
        </w:rPr>
        <w:t>Utilizar um cliente: preenche automaticamente os campos do formulário principal.</w:t>
      </w:r>
    </w:p>
    <w:p>
      <w:pPr>
        <w:pStyle w:val="ListBullet"/>
        <w:spacing w:before="20" w:after="20"/>
      </w:pPr>
      <w:r>
        <w:rPr>
          <w:rFonts w:ascii="Arial" w:hAnsi="Arial"/>
          <w:b w:val="0"/>
          <w:i w:val="0"/>
          <w:sz w:val="22"/>
        </w:rPr>
        <w:t>Editar dados de um cliente existente (nome, endereço, cidade, CEP, CNPJ).</w:t>
      </w:r>
    </w:p>
    <w:p>
      <w:pPr>
        <w:pStyle w:val="ListBullet"/>
        <w:spacing w:before="20" w:after="20"/>
      </w:pPr>
      <w:r>
        <w:rPr>
          <w:rFonts w:ascii="Arial" w:hAnsi="Arial"/>
          <w:b w:val="0"/>
          <w:i w:val="0"/>
          <w:sz w:val="22"/>
        </w:rPr>
        <w:t>Excluir um cliente do banco de dados.</w:t>
      </w:r>
    </w:p>
    <w:p>
      <w:pPr>
        <w:pStyle w:val="ListBullet"/>
        <w:spacing w:before="20" w:after="20"/>
      </w:pPr>
      <w:r>
        <w:rPr>
          <w:rFonts w:ascii="Arial" w:hAnsi="Arial"/>
          <w:b w:val="0"/>
          <w:i w:val="0"/>
          <w:sz w:val="22"/>
        </w:rPr>
        <w:t>Salvar no banco: o botão "Salvar no banco" no formulário principal salva o cliente atual ou atualiza se já existir.</w:t>
      </w:r>
    </w:p>
    <w:p>
      <w:pPr>
        <w:jc w:val="center"/>
        <w:spacing w:before="40" w:after="20"/>
      </w:pPr>
      <w:r>
        <w:drawing>
          <wp:inline xmlns:a="http://schemas.openxmlformats.org/drawingml/2006/main" xmlns:pic="http://schemas.openxmlformats.org/drawingml/2006/picture">
            <wp:extent cx="5580000" cy="3587143"/>
            <wp:docPr id="7" name="Picture 7"/>
            <wp:cNvGraphicFramePr>
              <a:graphicFrameLocks noChangeAspect="1"/>
            </wp:cNvGraphicFramePr>
            <a:graphic>
              <a:graphicData uri="http://schemas.openxmlformats.org/drawingml/2006/picture">
                <pic:pic>
                  <pic:nvPicPr>
                    <pic:cNvPr id="0" name="02_aba_clientes.png"/>
                    <pic:cNvPicPr/>
                  </pic:nvPicPr>
                  <pic:blipFill>
                    <a:blip r:embed="rId17"/>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Aba Clientes — listagem e gerenciamento do banco de dados de clientes</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7. Aba Emendas — Histórico de Alterações de Relatórios</w:t>
            </w:r>
          </w:p>
        </w:tc>
      </w:tr>
    </w:tbl>
    <w:p>
      <w:pPr>
        <w:spacing w:before="40" w:after="40"/>
        <w:jc w:val="both"/>
      </w:pPr>
      <w:r>
        <w:rPr>
          <w:rFonts w:ascii="Arial" w:hAnsi="Arial"/>
          <w:b w:val="0"/>
          <w:i w:val="0"/>
          <w:sz w:val="22"/>
        </w:rPr>
        <w:t>A aba Emendas exibe o histórico de emendas emitidas sobre relatórios já finalizados. Uma emenda é uma correção ou atualização formal de um relatório de ensaio já emitido, gerando um novo número de documento no formato "EMC XXXX/AAAA · Emenda N".</w:t>
      </w:r>
    </w:p>
    <w:p>
      <w:pPr>
        <w:spacing w:before="40" w:after="40"/>
        <w:jc w:val="both"/>
      </w:pPr>
      <w:r>
        <w:rPr>
          <w:rFonts w:ascii="Arial" w:hAnsi="Arial"/>
          <w:b w:val="0"/>
          <w:i w:val="0"/>
          <w:sz w:val="22"/>
        </w:rPr>
        <w:t>Funcionalidades da aba Emendas:</w:t>
      </w:r>
    </w:p>
    <w:p>
      <w:pPr>
        <w:pStyle w:val="ListBullet"/>
        <w:spacing w:before="20" w:after="20"/>
      </w:pPr>
      <w:r>
        <w:rPr>
          <w:rFonts w:ascii="Arial" w:hAnsi="Arial"/>
          <w:b w:val="0"/>
          <w:i w:val="0"/>
          <w:sz w:val="22"/>
        </w:rPr>
        <w:t>Listagem de todos os relatórios que possuem emendas emitidas, com o número do relatório original, data e alterações registradas.</w:t>
      </w:r>
    </w:p>
    <w:p>
      <w:pPr>
        <w:pStyle w:val="ListBullet"/>
        <w:spacing w:before="20" w:after="20"/>
      </w:pPr>
      <w:r>
        <w:rPr>
          <w:rFonts w:ascii="Arial" w:hAnsi="Arial"/>
          <w:b w:val="0"/>
          <w:i w:val="0"/>
          <w:sz w:val="22"/>
        </w:rPr>
        <w:t>Carregar relatório: carrega os dados do relatório original para o formulário para geração da emenda.</w:t>
      </w:r>
    </w:p>
    <w:p>
      <w:pPr>
        <w:pStyle w:val="ListBullet"/>
        <w:spacing w:before="20" w:after="20"/>
      </w:pPr>
      <w:r>
        <w:rPr>
          <w:rFonts w:ascii="Arial" w:hAnsi="Arial"/>
          <w:b w:val="0"/>
          <w:i w:val="0"/>
          <w:sz w:val="22"/>
        </w:rPr>
        <w:t>Excluir emenda: remove a emenda do histórico e apaga a cópia do PDF correspondente da pasta de cópias.</w:t>
      </w:r>
    </w:p>
    <w:p>
      <w:pPr>
        <w:pStyle w:val="ListBullet"/>
        <w:spacing w:before="20" w:after="20"/>
      </w:pPr>
      <w:r>
        <w:rPr>
          <w:rFonts w:ascii="Arial" w:hAnsi="Arial"/>
          <w:b w:val="0"/>
          <w:i w:val="0"/>
          <w:sz w:val="22"/>
        </w:rPr>
        <w:t>Filtro por resultado: permite filtrar emendas por resultado (pass/fail) dos ensaios.</w:t>
      </w:r>
    </w:p>
    <w:p>
      <w:pPr>
        <w:jc w:val="center"/>
        <w:spacing w:before="40" w:after="20"/>
      </w:pPr>
      <w:r>
        <w:drawing>
          <wp:inline xmlns:a="http://schemas.openxmlformats.org/drawingml/2006/main" xmlns:pic="http://schemas.openxmlformats.org/drawingml/2006/picture">
            <wp:extent cx="5580000" cy="3587143"/>
            <wp:docPr id="8" name="Picture 8"/>
            <wp:cNvGraphicFramePr>
              <a:graphicFrameLocks noChangeAspect="1"/>
            </wp:cNvGraphicFramePr>
            <a:graphic>
              <a:graphicData uri="http://schemas.openxmlformats.org/drawingml/2006/picture">
                <pic:pic>
                  <pic:nvPicPr>
                    <pic:cNvPr id="0" name="03_aba_emendas.png"/>
                    <pic:cNvPicPr/>
                  </pic:nvPicPr>
                  <pic:blipFill>
                    <a:blip r:embed="rId18"/>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Aba Emendas — histórico de alterações e emendas emitidas</w:t>
      </w:r>
    </w:p>
    <w:p>
      <w:pPr>
        <w:spacing w:before="40" w:after="40"/>
        <w:jc w:val="both"/>
      </w:pPr>
      <w:r>
        <w:rPr>
          <w:rFonts w:ascii="Arial" w:hAnsi="Arial"/>
          <w:b w:val="0"/>
          <w:i w:val="0"/>
          <w:sz w:val="22"/>
        </w:rPr>
        <w:t>Para gerar uma emenda, o operador acessa o botão "Gerar Emenda" no formulário principal. Se o formulário estiver bloqueado, o sistema solicita a senha de emissão antes de prosseguir. A tela de emenda permite registrar as alterações realizadas, que são listadas na última página do relatório PDF.</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8. Aba Relatórios — Histórico de Relatórios Emitidos</w:t>
            </w:r>
          </w:p>
        </w:tc>
      </w:tr>
    </w:tbl>
    <w:p>
      <w:pPr>
        <w:spacing w:before="40" w:after="40"/>
        <w:jc w:val="both"/>
      </w:pPr>
      <w:r>
        <w:rPr>
          <w:rFonts w:ascii="Arial" w:hAnsi="Arial"/>
          <w:b w:val="0"/>
          <w:i w:val="0"/>
          <w:sz w:val="22"/>
        </w:rPr>
        <w:t>A aba Relatórios exibe o histórico de todos os relatórios emitidos, carregados tanto do armazenamento local quanto da pasta de rede. Permite localizar e recarregar qualquer relatório anterior.</w:t>
      </w:r>
    </w:p>
    <w:p>
      <w:pPr>
        <w:spacing w:before="40" w:after="40"/>
        <w:jc w:val="both"/>
      </w:pPr>
      <w:r>
        <w:rPr>
          <w:rFonts w:ascii="Arial" w:hAnsi="Arial"/>
          <w:b w:val="0"/>
          <w:i w:val="0"/>
          <w:sz w:val="22"/>
        </w:rPr>
        <w:t>Funcionalidades da aba Relatórios:</w:t>
      </w:r>
    </w:p>
    <w:p>
      <w:pPr>
        <w:pStyle w:val="ListBullet"/>
        <w:spacing w:before="20" w:after="20"/>
      </w:pPr>
      <w:r>
        <w:rPr>
          <w:rFonts w:ascii="Arial" w:hAnsi="Arial"/>
          <w:b w:val="0"/>
          <w:i w:val="0"/>
          <w:sz w:val="22"/>
        </w:rPr>
        <w:t>Listagem com número do relatório, data de emissão, cliente, protocolo e produto.</w:t>
      </w:r>
    </w:p>
    <w:p>
      <w:pPr>
        <w:pStyle w:val="ListBullet"/>
        <w:spacing w:before="20" w:after="20"/>
      </w:pPr>
      <w:r>
        <w:rPr>
          <w:rFonts w:ascii="Arial" w:hAnsi="Arial"/>
          <w:b w:val="0"/>
          <w:i w:val="0"/>
          <w:sz w:val="22"/>
        </w:rPr>
        <w:t>Busca por qualquer campo do relatório.</w:t>
      </w:r>
    </w:p>
    <w:p>
      <w:pPr>
        <w:pStyle w:val="ListBullet"/>
        <w:spacing w:before="20" w:after="20"/>
      </w:pPr>
      <w:r>
        <w:rPr>
          <w:rFonts w:ascii="Arial" w:hAnsi="Arial"/>
          <w:b w:val="0"/>
          <w:i w:val="0"/>
          <w:sz w:val="22"/>
        </w:rPr>
        <w:t>Carregar relatório: recarrega todos os dados (configurações, fotos, .docx) para o formulário para visualização ou emissão de emenda.</w:t>
      </w:r>
    </w:p>
    <w:p>
      <w:pPr>
        <w:pStyle w:val="ListBullet"/>
        <w:spacing w:before="20" w:after="20"/>
      </w:pPr>
      <w:r>
        <w:rPr>
          <w:rFonts w:ascii="Arial" w:hAnsi="Arial"/>
          <w:b w:val="0"/>
          <w:i w:val="0"/>
          <w:sz w:val="22"/>
        </w:rPr>
        <w:t>Ver PDF: abre diretamente a visualização do relatório em formato PDF sem recarregar o formulário.</w:t>
      </w:r>
    </w:p>
    <w:p>
      <w:pPr>
        <w:pStyle w:val="ListBullet"/>
        <w:spacing w:before="20" w:after="20"/>
      </w:pPr>
      <w:r>
        <w:rPr>
          <w:rFonts w:ascii="Arial" w:hAnsi="Arial"/>
          <w:b w:val="0"/>
          <w:i w:val="0"/>
          <w:sz w:val="22"/>
        </w:rPr>
        <w:t>Exclusão de relatórios do histórico local.</w:t>
      </w:r>
    </w:p>
    <w:p>
      <w:pPr>
        <w:jc w:val="center"/>
        <w:spacing w:before="40" w:after="20"/>
      </w:pPr>
      <w:r>
        <w:drawing>
          <wp:inline xmlns:a="http://schemas.openxmlformats.org/drawingml/2006/main" xmlns:pic="http://schemas.openxmlformats.org/drawingml/2006/picture">
            <wp:extent cx="5580000" cy="3587143"/>
            <wp:docPr id="9" name="Picture 9"/>
            <wp:cNvGraphicFramePr>
              <a:graphicFrameLocks noChangeAspect="1"/>
            </wp:cNvGraphicFramePr>
            <a:graphic>
              <a:graphicData uri="http://schemas.openxmlformats.org/drawingml/2006/picture">
                <pic:pic>
                  <pic:nvPicPr>
                    <pic:cNvPr id="0" name="04_aba_relatorios.png"/>
                    <pic:cNvPicPr/>
                  </pic:nvPicPr>
                  <pic:blipFill>
                    <a:blip r:embed="rId19"/>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Aba Relatórios — histórico de relatórios emitidos</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9. Visualização e Geração do Relatório PDF</w:t>
            </w:r>
          </w:p>
        </w:tc>
      </w:tr>
    </w:tbl>
    <w:p>
      <w:pPr>
        <w:spacing w:before="40" w:after="40"/>
        <w:jc w:val="both"/>
      </w:pPr>
      <w:r>
        <w:rPr>
          <w:rFonts w:ascii="Arial" w:hAnsi="Arial"/>
          <w:b w:val="0"/>
          <w:i w:val="0"/>
          <w:sz w:val="22"/>
        </w:rPr>
        <w:t>A tela de visualização do relatório (/cispr15/relatorio) exibe o relatório completo no formato A4, replicando fielmente o layout do documento impresso. O PDF é gerado diretamente pelo processo Electron (printToPDF), garantindo fidelidade total ao que é exibido na tela, sem dependência de impressora.</w:t>
      </w:r>
    </w:p>
    <w:p>
      <w:pPr>
        <w:spacing w:before="40" w:after="40"/>
        <w:jc w:val="both"/>
      </w:pPr>
      <w:r>
        <w:rPr>
          <w:rFonts w:ascii="Arial" w:hAnsi="Arial"/>
          <w:b w:val="0"/>
          <w:i w:val="0"/>
          <w:sz w:val="22"/>
        </w:rPr>
        <w:t>Estrutura do relatório gerado:</w:t>
      </w:r>
    </w:p>
    <w:p>
      <w:pPr>
        <w:pStyle w:val="ListBullet"/>
        <w:spacing w:before="20" w:after="20"/>
      </w:pPr>
      <w:r>
        <w:rPr>
          <w:rFonts w:ascii="Arial" w:hAnsi="Arial"/>
          <w:b w:val="0"/>
          <w:i w:val="0"/>
          <w:sz w:val="22"/>
        </w:rPr>
        <w:t>Página 1 — Capa: cabeçalho institucional PUCRS/LABELO, identificação do relatório, período de ensaio, dados do cliente, objeto ensaiado, documentação e normas utilizadas.</w:t>
      </w:r>
    </w:p>
    <w:p>
      <w:pPr>
        <w:pStyle w:val="ListBullet"/>
        <w:spacing w:before="20" w:after="20"/>
      </w:pPr>
      <w:r>
        <w:rPr>
          <w:rFonts w:ascii="Arial" w:hAnsi="Arial"/>
          <w:b w:val="0"/>
          <w:i w:val="0"/>
          <w:sz w:val="22"/>
        </w:rPr>
        <w:t>Páginas 2–4 — Limites normativos: tabelas de limites conduzidos (9 kHz–30 MHz) e radiados (9 kHz–30 MHz e 30 MHz–300 MHz) conforme NBR IEC/CISPR 15/2014.</w:t>
      </w:r>
    </w:p>
    <w:p>
      <w:pPr>
        <w:pStyle w:val="ListBullet"/>
        <w:spacing w:before="20" w:after="20"/>
      </w:pPr>
      <w:r>
        <w:rPr>
          <w:rFonts w:ascii="Arial" w:hAnsi="Arial"/>
          <w:b w:val="0"/>
          <w:i w:val="0"/>
          <w:sz w:val="22"/>
        </w:rPr>
        <w:t>Páginas seguintes — Resultados Radimation: conteúdo do arquivo .docx do Radimation, convertido e inserido com cabeçalho em cada página.</w:t>
      </w:r>
    </w:p>
    <w:p>
      <w:pPr>
        <w:pStyle w:val="ListBullet"/>
        <w:spacing w:before="20" w:after="20"/>
      </w:pPr>
      <w:r>
        <w:rPr>
          <w:rFonts w:ascii="Arial" w:hAnsi="Arial"/>
          <w:b w:val="0"/>
          <w:i w:val="0"/>
          <w:sz w:val="22"/>
        </w:rPr>
        <w:t>Página de incertezas: tabela de incertezas de medição com fator de abrangência k=2.</w:t>
      </w:r>
    </w:p>
    <w:p>
      <w:pPr>
        <w:pStyle w:val="ListBullet"/>
        <w:spacing w:before="20" w:after="20"/>
      </w:pPr>
      <w:r>
        <w:rPr>
          <w:rFonts w:ascii="Arial" w:hAnsi="Arial"/>
          <w:b w:val="0"/>
          <w:i w:val="0"/>
          <w:sz w:val="22"/>
        </w:rPr>
        <w:t>Páginas de fotos: duas fotos por página, com legendas (mínimo 4 slots/2 páginas).</w:t>
      </w:r>
    </w:p>
    <w:p>
      <w:pPr>
        <w:pStyle w:val="ListBullet"/>
        <w:spacing w:before="20" w:after="20"/>
      </w:pPr>
      <w:r>
        <w:rPr>
          <w:rFonts w:ascii="Arial" w:hAnsi="Arial"/>
          <w:b w:val="0"/>
          <w:i w:val="0"/>
          <w:sz w:val="22"/>
        </w:rPr>
        <w:t>Página de emenda (quando aplicável): histórico de alterações com marcadores numerados em vermelho.</w:t>
      </w:r>
    </w:p>
    <w:p>
      <w:pPr>
        <w:pStyle w:val="ListBullet"/>
        <w:spacing w:before="20" w:after="20"/>
      </w:pPr>
      <w:r>
        <w:rPr>
          <w:rFonts w:ascii="Arial" w:hAnsi="Arial"/>
          <w:b w:val="0"/>
          <w:i w:val="0"/>
          <w:sz w:val="22"/>
        </w:rPr>
        <w:t>Última página — Observações finais: 8 observações padrão do laboratório e linha para assinatura do signatário autorizado.</w:t>
      </w:r>
    </w:p>
    <w:p>
      <w:pPr>
        <w:spacing w:before="40" w:after="40"/>
        <w:jc w:val="both"/>
      </w:pPr>
      <w:r>
        <w:rPr>
          <w:rFonts w:ascii="Arial" w:hAnsi="Arial"/>
          <w:b w:val="0"/>
          <w:i w:val="0"/>
          <w:sz w:val="22"/>
        </w:rPr>
        <w:t>Ao clicar em "Baixar PDF" na barra de controles, o Electron usa printToPDF para gerar o arquivo com nome padronizado (NumRelatorio_tipo_fabricante.pdf) e salvá-lo na pasta da EUT. Uma cópia é automaticamente enviada para a pasta de cópias de PDF, se configurada.</w:t>
      </w:r>
    </w:p>
    <w:p>
      <w:pPr>
        <w:jc w:val="center"/>
        <w:spacing w:before="40" w:after="20"/>
      </w:pPr>
      <w:r>
        <w:drawing>
          <wp:inline xmlns:a="http://schemas.openxmlformats.org/drawingml/2006/main" xmlns:pic="http://schemas.openxmlformats.org/drawingml/2006/picture">
            <wp:extent cx="5580000" cy="3587143"/>
            <wp:docPr id="10" name="Picture 10"/>
            <wp:cNvGraphicFramePr>
              <a:graphicFrameLocks noChangeAspect="1"/>
            </wp:cNvGraphicFramePr>
            <a:graphic>
              <a:graphicData uri="http://schemas.openxmlformats.org/drawingml/2006/picture">
                <pic:pic>
                  <pic:nvPicPr>
                    <pic:cNvPr id="0" name="09_relatorio_pdf.png"/>
                    <pic:cNvPicPr/>
                  </pic:nvPicPr>
                  <pic:blipFill>
                    <a:blip r:embed="rId20"/>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Tela de visualização do relatório — layout A4 com cabeçalho e rodapé</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10. Emissão em Lote</w:t>
            </w:r>
          </w:p>
        </w:tc>
      </w:tr>
    </w:tbl>
    <w:p>
      <w:pPr>
        <w:spacing w:before="40" w:after="40"/>
        <w:jc w:val="both"/>
      </w:pPr>
      <w:r>
        <w:rPr>
          <w:rFonts w:ascii="Arial" w:hAnsi="Arial"/>
          <w:b w:val="0"/>
          <w:i w:val="0"/>
          <w:sz w:val="22"/>
        </w:rPr>
        <w:t>O sistema suporta emissão de múltiplos relatórios de um mesmo cliente em uma única operação (lote), acessível pelo botão "Emitir Lote" no formulário principal ou pelo botão "Gerar Lote" na Agenda de Execução.</w:t>
      </w:r>
    </w:p>
    <w:p>
      <w:pPr>
        <w:spacing w:before="40" w:after="40"/>
        <w:jc w:val="both"/>
      </w:pPr>
      <w:r>
        <w:rPr>
          <w:rFonts w:ascii="Arial" w:hAnsi="Arial"/>
          <w:b w:val="0"/>
          <w:i w:val="0"/>
          <w:sz w:val="22"/>
        </w:rPr>
        <w:t>Funcionalidades da emissão em lote:</w:t>
      </w:r>
    </w:p>
    <w:p>
      <w:pPr>
        <w:pStyle w:val="ListBullet"/>
        <w:spacing w:before="20" w:after="20"/>
      </w:pPr>
      <w:r>
        <w:rPr>
          <w:rFonts w:ascii="Arial" w:hAnsi="Arial"/>
          <w:b w:val="0"/>
          <w:i w:val="0"/>
          <w:sz w:val="22"/>
        </w:rPr>
        <w:t>Definição do número de amostras, tipo (lâmpada/luminária) e dados comuns (cliente, responsável).</w:t>
      </w:r>
    </w:p>
    <w:p>
      <w:pPr>
        <w:pStyle w:val="ListBullet"/>
        <w:spacing w:before="20" w:after="20"/>
      </w:pPr>
      <w:r>
        <w:rPr>
          <w:rFonts w:ascii="Arial" w:hAnsi="Arial"/>
          <w:b w:val="0"/>
          <w:i w:val="0"/>
          <w:sz w:val="22"/>
        </w:rPr>
        <w:t>Dados individuais por amostra: produto, fabricante, modelo, identificador, potência, tensão, protocolo e orçamento.</w:t>
      </w:r>
    </w:p>
    <w:p>
      <w:pPr>
        <w:pStyle w:val="ListBullet"/>
        <w:spacing w:before="20" w:after="20"/>
      </w:pPr>
      <w:r>
        <w:rPr>
          <w:rFonts w:ascii="Arial" w:hAnsi="Arial"/>
          <w:b w:val="0"/>
          <w:i w:val="0"/>
          <w:sz w:val="22"/>
        </w:rPr>
        <w:t>Carregamento de pasta de ensaio e fotos por amostra.</w:t>
      </w:r>
    </w:p>
    <w:p>
      <w:pPr>
        <w:pStyle w:val="ListBullet"/>
        <w:spacing w:before="20" w:after="20"/>
      </w:pPr>
      <w:r>
        <w:rPr>
          <w:rFonts w:ascii="Arial" w:hAnsi="Arial"/>
          <w:b w:val="0"/>
          <w:i w:val="0"/>
          <w:sz w:val="22"/>
        </w:rPr>
        <w:t>Geração sequencial de todos os relatórios do lote com registro automático na planilha Excel.</w:t>
      </w:r>
    </w:p>
    <w:p>
      <w:pPr>
        <w:pStyle w:val="ListBullet"/>
        <w:spacing w:before="20" w:after="20"/>
      </w:pPr>
      <w:r>
        <w:rPr>
          <w:rFonts w:ascii="Arial" w:hAnsi="Arial"/>
          <w:b w:val="0"/>
          <w:i w:val="0"/>
          <w:sz w:val="22"/>
        </w:rPr>
        <w:t>Integração com a Agenda: protocolos da agenda podem ser selecionados em lote para geração agrupada.</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11. Agenda de Execução</w:t>
            </w:r>
          </w:p>
        </w:tc>
      </w:tr>
    </w:tbl>
    <w:p>
      <w:pPr>
        <w:spacing w:before="40" w:after="40"/>
        <w:jc w:val="both"/>
      </w:pPr>
      <w:r>
        <w:rPr>
          <w:rFonts w:ascii="Arial" w:hAnsi="Arial"/>
          <w:b w:val="0"/>
          <w:i w:val="0"/>
          <w:sz w:val="22"/>
        </w:rPr>
        <w:t>A Agenda de Execução é a ferramenta de gerenciamento e acompanhamento do fluxo de ensaios do laboratório. Acessível pela rota /agenda, é independente do formulário de emissão e sempre acessível sem senha.</w:t>
      </w:r>
    </w:p>
    <w:p>
      <w:pPr>
        <w:spacing w:before="160" w:after="60"/>
      </w:pPr>
      <w:r>
        <w:rPr>
          <w:rFonts w:ascii="Arial" w:hAnsi="Arial"/>
          <w:b/>
          <w:i w:val="0"/>
          <w:sz w:val="22"/>
        </w:rPr>
        <w:t>11.1 Aba Agenda</w:t>
      </w:r>
    </w:p>
    <w:p>
      <w:pPr>
        <w:spacing w:before="40" w:after="40"/>
        <w:jc w:val="both"/>
      </w:pPr>
      <w:r>
        <w:rPr>
          <w:rFonts w:ascii="Arial" w:hAnsi="Arial"/>
          <w:b w:val="0"/>
          <w:i w:val="0"/>
          <w:sz w:val="22"/>
        </w:rPr>
        <w:t>Exibe todos os itens cadastrados com os seguintes dados:</w:t>
      </w:r>
    </w:p>
    <w:p>
      <w:pPr>
        <w:pStyle w:val="ListBullet"/>
        <w:spacing w:before="20" w:after="20"/>
      </w:pPr>
      <w:r>
        <w:rPr>
          <w:rFonts w:ascii="Arial" w:hAnsi="Arial"/>
          <w:b w:val="0"/>
          <w:i w:val="0"/>
          <w:sz w:val="22"/>
        </w:rPr>
        <w:t>Tipo de equipamento (lâmpada/luminária), protocolo, orçamento, cliente, produto, datas de entrada e previsão de saída.</w:t>
      </w:r>
    </w:p>
    <w:p>
      <w:pPr>
        <w:pStyle w:val="ListBullet"/>
        <w:spacing w:before="20" w:after="20"/>
      </w:pPr>
      <w:r>
        <w:rPr>
          <w:rFonts w:ascii="Arial" w:hAnsi="Arial"/>
          <w:b w:val="0"/>
          <w:i w:val="0"/>
          <w:sz w:val="22"/>
        </w:rPr>
        <w:t>Indicador visual de prazo: verde (em dia), amarelo (vence em ≤ 3 dias), vermelho (vencido).</w:t>
      </w:r>
    </w:p>
    <w:p>
      <w:pPr>
        <w:pStyle w:val="ListBullet"/>
        <w:spacing w:before="20" w:after="20"/>
      </w:pPr>
      <w:r>
        <w:rPr>
          <w:rFonts w:ascii="Arial" w:hAnsi="Arial"/>
          <w:b w:val="0"/>
          <w:i w:val="0"/>
          <w:sz w:val="22"/>
        </w:rPr>
        <w:t>Badges de status dos ensaios: C (Conduzida), L (Loop), B (Anexo B) — clicáveis para alternar entre Pendente e Realizado.</w:t>
      </w:r>
    </w:p>
    <w:p>
      <w:pPr>
        <w:pStyle w:val="ListBullet"/>
        <w:spacing w:before="20" w:after="20"/>
      </w:pPr>
      <w:r>
        <w:rPr>
          <w:rFonts w:ascii="Arial" w:hAnsi="Arial"/>
          <w:b w:val="0"/>
          <w:i w:val="0"/>
          <w:sz w:val="22"/>
        </w:rPr>
        <w:t>Para itens concluídos: exibe o número do relatório como link e botão para abrir o PDF.</w:t>
      </w:r>
    </w:p>
    <w:p>
      <w:pPr>
        <w:pStyle w:val="ListBullet"/>
        <w:spacing w:before="20" w:after="20"/>
      </w:pPr>
      <w:r>
        <w:rPr>
          <w:rFonts w:ascii="Arial" w:hAnsi="Arial"/>
          <w:b w:val="0"/>
          <w:i w:val="0"/>
          <w:sz w:val="22"/>
        </w:rPr>
        <w:t>Filtros por status (em andamento/concluídos/todos), busca por texto e filtro por cliente.</w:t>
      </w:r>
    </w:p>
    <w:p>
      <w:pPr>
        <w:pStyle w:val="ListBullet"/>
        <w:spacing w:before="20" w:after="20"/>
      </w:pPr>
      <w:r>
        <w:rPr>
          <w:rFonts w:ascii="Arial" w:hAnsi="Arial"/>
          <w:b w:val="0"/>
          <w:i w:val="0"/>
          <w:sz w:val="22"/>
        </w:rPr>
        <w:t>Ordenação por data de entrada, previsão de saída ou protocolo.</w:t>
      </w:r>
    </w:p>
    <w:p>
      <w:pPr>
        <w:pStyle w:val="ListBullet"/>
        <w:spacing w:before="20" w:after="20"/>
      </w:pPr>
      <w:r>
        <w:rPr>
          <w:rFonts w:ascii="Arial" w:hAnsi="Arial"/>
          <w:b w:val="0"/>
          <w:i w:val="0"/>
          <w:sz w:val="22"/>
        </w:rPr>
        <w:t>Marcadores (tags): Urgente, Reensaio, Reprov. Conduzida, Reprov. Loop, Reprov. Anexo B.</w:t>
      </w:r>
    </w:p>
    <w:p>
      <w:pPr>
        <w:jc w:val="center"/>
        <w:spacing w:before="40" w:after="20"/>
      </w:pPr>
      <w:r>
        <w:drawing>
          <wp:inline xmlns:a="http://schemas.openxmlformats.org/drawingml/2006/main" xmlns:pic="http://schemas.openxmlformats.org/drawingml/2006/picture">
            <wp:extent cx="5580000" cy="3587143"/>
            <wp:docPr id="11" name="Picture 11"/>
            <wp:cNvGraphicFramePr>
              <a:graphicFrameLocks noChangeAspect="1"/>
            </wp:cNvGraphicFramePr>
            <a:graphic>
              <a:graphicData uri="http://schemas.openxmlformats.org/drawingml/2006/picture">
                <pic:pic>
                  <pic:nvPicPr>
                    <pic:cNvPr id="0" name="06_agenda.png"/>
                    <pic:cNvPicPr/>
                  </pic:nvPicPr>
                  <pic:blipFill>
                    <a:blip r:embed="rId21"/>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Agenda de Execução — aba Agenda com listagem de itens e indicadores de prazo</w:t>
      </w:r>
    </w:p>
    <w:p>
      <w:pPr>
        <w:jc w:val="center"/>
        <w:spacing w:before="40" w:after="20"/>
      </w:pPr>
      <w:r>
        <w:drawing>
          <wp:inline xmlns:a="http://schemas.openxmlformats.org/drawingml/2006/main" xmlns:pic="http://schemas.openxmlformats.org/drawingml/2006/picture">
            <wp:extent cx="5580000" cy="3587143"/>
            <wp:docPr id="12" name="Picture 12"/>
            <wp:cNvGraphicFramePr>
              <a:graphicFrameLocks noChangeAspect="1"/>
            </wp:cNvGraphicFramePr>
            <a:graphic>
              <a:graphicData uri="http://schemas.openxmlformats.org/drawingml/2006/picture">
                <pic:pic>
                  <pic:nvPicPr>
                    <pic:cNvPr id="0" name="07_agenda_novo_item.png"/>
                    <pic:cNvPicPr/>
                  </pic:nvPicPr>
                  <pic:blipFill>
                    <a:blip r:embed="rId22"/>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Agenda — modal de cadastro de novo item com dados completos do protocolo</w:t>
      </w:r>
    </w:p>
    <w:p>
      <w:pPr>
        <w:spacing w:before="160" w:after="60"/>
      </w:pPr>
      <w:r>
        <w:rPr>
          <w:rFonts w:ascii="Arial" w:hAnsi="Arial"/>
          <w:b/>
          <w:i w:val="0"/>
          <w:sz w:val="22"/>
        </w:rPr>
        <w:t>11.2 Aba Busca</w:t>
      </w:r>
    </w:p>
    <w:p>
      <w:pPr>
        <w:spacing w:before="40" w:after="40"/>
        <w:jc w:val="both"/>
      </w:pPr>
      <w:r>
        <w:rPr>
          <w:rFonts w:ascii="Arial" w:hAnsi="Arial"/>
          <w:b w:val="0"/>
          <w:i w:val="0"/>
          <w:sz w:val="22"/>
        </w:rPr>
        <w:t>Permite busca unificada em toda a agenda e no histórico de relatórios emitidos, pesquisando por protocolo, orçamento, cliente, produto ou número do relatório.</w:t>
      </w:r>
    </w:p>
    <w:p>
      <w:pPr>
        <w:spacing w:before="160" w:after="60"/>
      </w:pPr>
      <w:r>
        <w:rPr>
          <w:rFonts w:ascii="Arial" w:hAnsi="Arial"/>
          <w:b/>
          <w:i w:val="0"/>
          <w:sz w:val="22"/>
        </w:rPr>
        <w:t>11.3 Aba Análise</w:t>
      </w:r>
    </w:p>
    <w:p>
      <w:pPr>
        <w:spacing w:before="40" w:after="40"/>
        <w:jc w:val="both"/>
      </w:pPr>
      <w:r>
        <w:rPr>
          <w:rFonts w:ascii="Arial" w:hAnsi="Arial"/>
          <w:b w:val="0"/>
          <w:i w:val="0"/>
          <w:sz w:val="22"/>
        </w:rPr>
        <w:t>Painel analítico com indicadores de desempenho do laboratório:</w:t>
      </w:r>
    </w:p>
    <w:p>
      <w:pPr>
        <w:pStyle w:val="ListBullet"/>
        <w:spacing w:before="20" w:after="20"/>
      </w:pPr>
      <w:r>
        <w:rPr>
          <w:rFonts w:ascii="Arial" w:hAnsi="Arial"/>
          <w:b w:val="0"/>
          <w:i w:val="0"/>
          <w:sz w:val="22"/>
        </w:rPr>
        <w:t>Cards de resumo: total, em andamento, concluídos, urgentes (≤ 3 dias) e vencidos.</w:t>
      </w:r>
    </w:p>
    <w:p>
      <w:pPr>
        <w:pStyle w:val="ListBullet"/>
        <w:spacing w:before="20" w:after="20"/>
      </w:pPr>
      <w:r>
        <w:rPr>
          <w:rFonts w:ascii="Arial" w:hAnsi="Arial"/>
          <w:b w:val="0"/>
          <w:i w:val="0"/>
          <w:sz w:val="22"/>
        </w:rPr>
        <w:t>Distribuição de status: gráfico de barras horizontais por categoria (em dia, urgente, vencido).</w:t>
      </w:r>
    </w:p>
    <w:p>
      <w:pPr>
        <w:pStyle w:val="ListBullet"/>
        <w:spacing w:before="20" w:after="20"/>
      </w:pPr>
      <w:r>
        <w:rPr>
          <w:rFonts w:ascii="Arial" w:hAnsi="Arial"/>
          <w:b w:val="0"/>
          <w:i w:val="0"/>
          <w:sz w:val="22"/>
        </w:rPr>
        <w:t>Entradas por mês: gráfico dos últimos 6 meses de entrada de equipamentos.</w:t>
      </w:r>
    </w:p>
    <w:p>
      <w:pPr>
        <w:pStyle w:val="ListBullet"/>
        <w:spacing w:before="20" w:after="20"/>
      </w:pPr>
      <w:r>
        <w:rPr>
          <w:rFonts w:ascii="Arial" w:hAnsi="Arial"/>
          <w:b w:val="0"/>
          <w:i w:val="0"/>
          <w:sz w:val="22"/>
        </w:rPr>
        <w:t>Top clientes: clientes com maior número de ensaios.</w:t>
      </w:r>
    </w:p>
    <w:p>
      <w:pPr>
        <w:pStyle w:val="ListBullet"/>
        <w:spacing w:before="20" w:after="20"/>
      </w:pPr>
      <w:r>
        <w:rPr>
          <w:rFonts w:ascii="Arial" w:hAnsi="Arial"/>
          <w:b w:val="0"/>
          <w:i w:val="0"/>
          <w:sz w:val="22"/>
        </w:rPr>
        <w:t>Lista de itens vencidos e urgentes com datas destacadas.</w:t>
      </w:r>
    </w:p>
    <w:p>
      <w:pPr>
        <w:pStyle w:val="ListBullet"/>
        <w:spacing w:before="20" w:after="20"/>
      </w:pPr>
      <w:r>
        <w:rPr>
          <w:rFonts w:ascii="Arial" w:hAnsi="Arial"/>
          <w:b w:val="0"/>
          <w:i w:val="0"/>
          <w:sz w:val="22"/>
        </w:rPr>
        <w:t>Contagem de marcadores (tags) em uso.</w:t>
      </w:r>
    </w:p>
    <w:p>
      <w:pPr>
        <w:jc w:val="center"/>
        <w:spacing w:before="40" w:after="20"/>
      </w:pPr>
      <w:r>
        <w:drawing>
          <wp:inline xmlns:a="http://schemas.openxmlformats.org/drawingml/2006/main" xmlns:pic="http://schemas.openxmlformats.org/drawingml/2006/picture">
            <wp:extent cx="5580000" cy="3587143"/>
            <wp:docPr id="13" name="Picture 13"/>
            <wp:cNvGraphicFramePr>
              <a:graphicFrameLocks noChangeAspect="1"/>
            </wp:cNvGraphicFramePr>
            <a:graphic>
              <a:graphicData uri="http://schemas.openxmlformats.org/drawingml/2006/picture">
                <pic:pic>
                  <pic:nvPicPr>
                    <pic:cNvPr id="0" name="07_agenda_analise.png"/>
                    <pic:cNvPicPr/>
                  </pic:nvPicPr>
                  <pic:blipFill>
                    <a:blip r:embed="rId23"/>
                    <a:stretch>
                      <a:fillRect/>
                    </a:stretch>
                  </pic:blipFill>
                  <pic:spPr>
                    <a:xfrm>
                      <a:off x="0" y="0"/>
                      <a:ext cx="5580000" cy="3587143"/>
                    </a:xfrm>
                    <a:prstGeom prst="rect"/>
                  </pic:spPr>
                </pic:pic>
              </a:graphicData>
            </a:graphic>
          </wp:inline>
        </w:drawing>
      </w:r>
    </w:p>
    <w:p>
      <w:pPr>
        <w:jc w:val="center"/>
        <w:spacing w:before="20" w:after="120"/>
      </w:pPr>
      <w:r>
        <w:rPr>
          <w:rFonts w:ascii="Arial" w:hAnsi="Arial"/>
          <w:b w:val="0"/>
          <w:i/>
          <w:color w:val="000000"/>
          <w:sz w:val="18"/>
        </w:rPr>
        <w:t>Figura — Agenda — aba Análise com indicadores de desempenho e distribuição por prazo</w:t>
      </w:r>
    </w:p>
    <w:p>
      <w:pPr>
        <w:spacing w:before="160" w:after="60"/>
      </w:pPr>
      <w:r>
        <w:rPr>
          <w:rFonts w:ascii="Arial" w:hAnsi="Arial"/>
          <w:b/>
          <w:i w:val="0"/>
          <w:sz w:val="22"/>
        </w:rPr>
        <w:t>11.4 Integração Agenda ↔ Formulário</w:t>
      </w:r>
    </w:p>
    <w:p>
      <w:pPr>
        <w:spacing w:before="40" w:after="40"/>
        <w:jc w:val="both"/>
      </w:pPr>
      <w:r>
        <w:rPr>
          <w:rFonts w:ascii="Arial" w:hAnsi="Arial"/>
          <w:b w:val="0"/>
          <w:i w:val="0"/>
          <w:sz w:val="22"/>
        </w:rPr>
        <w:t>Ao gerar um relatório no formulário principal, o sistema busca automaticamente na agenda o item com o mesmo protocolo e registra o número do relatório e a data de emissão, atualizando seu status para "concluído" sem necessidade de ação manual. O botão "Ir para protocolo" na agenda pré-carrega os dados do item no formulário.</w:t>
      </w:r>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12. Fluxo de Trabalho Padrão</w:t>
            </w:r>
          </w:p>
        </w:tc>
      </w:tr>
    </w:tbl>
    <w:p>
      <w:pPr>
        <w:spacing w:before="40" w:after="40"/>
        <w:jc w:val="both"/>
      </w:pPr>
      <w:r>
        <w:rPr>
          <w:rFonts w:ascii="Arial" w:hAnsi="Arial"/>
          <w:b w:val="0"/>
          <w:i w:val="0"/>
          <w:sz w:val="22"/>
        </w:rPr>
        <w:t>O fluxo recomendado para emissão de um relatório CISPR 15 utilizando o sistema é o seguinte:</w:t>
      </w:r>
    </w:p>
    <w:tbl>
      <w:tblPr>
        <w:tblStyle w:val="TableGrid"/>
        <w:tblW w:type="auto" w:w="0"/>
        <w:jc w:val="left"/>
        <w:tblLook w:firstColumn="1" w:firstRow="1" w:lastColumn="0" w:lastRow="0" w:noHBand="0" w:noVBand="1" w:val="04A0"/>
      </w:tblPr>
      <w:tblGrid>
        <w:gridCol w:w="3307"/>
        <w:gridCol w:w="3307"/>
        <w:gridCol w:w="3307"/>
      </w:tblGrid>
      <w:tr>
        <w:tc>
          <w:tcPr>
            <w:tcW w:type="dxa" w:w="567"/>
            <w:shd w:val="clear" w:color="auto" w:fill="1F3864"/>
          </w:tcPr>
          <w:p>
            <w:pPr>
              <w:jc w:val="center"/>
            </w:pPr>
            <w:r>
              <w:rPr>
                <w:rFonts w:ascii="Arial" w:hAnsi="Arial"/>
                <w:b/>
                <w:i w:val="0"/>
                <w:color w:val="FFFFFF"/>
                <w:sz w:val="22"/>
              </w:rPr>
              <w:t>1</w:t>
            </w:r>
          </w:p>
        </w:tc>
        <w:tc>
          <w:tcPr>
            <w:tcW w:type="dxa" w:w="2551"/>
            <w:shd w:val="clear" w:color="auto" w:fill="D9D9D9"/>
          </w:tcPr>
          <w:p>
            <w:pPr>
              <w:ind w:left="113"/>
            </w:pPr>
            <w:r>
              <w:rPr>
                <w:rFonts w:ascii="Arial" w:hAnsi="Arial"/>
                <w:b/>
                <w:i w:val="0"/>
                <w:sz w:val="19"/>
              </w:rPr>
              <w:t>Cadastro na Agenda</w:t>
            </w:r>
          </w:p>
        </w:tc>
        <w:tc>
          <w:tcPr>
            <w:tcW w:type="dxa" w:w="7087"/>
            <w:shd w:val="clear" w:color="auto" w:fill="F2F2F2"/>
          </w:tcPr>
          <w:p>
            <w:pPr>
              <w:ind w:left="113"/>
              <w:jc w:val="both"/>
            </w:pPr>
            <w:r>
              <w:rPr>
                <w:rFonts w:ascii="Arial" w:hAnsi="Arial"/>
                <w:b w:val="0"/>
                <w:i w:val="0"/>
                <w:sz w:val="19"/>
              </w:rPr>
              <w:t>O recebimento da amostra é registrado na Agenda de Execução com protocolo, orçamento, cliente e previsão de saída.</w:t>
            </w:r>
          </w:p>
        </w:tc>
      </w:tr>
      <w:tr>
        <w:tc>
          <w:tcPr>
            <w:tcW w:type="dxa" w:w="567"/>
            <w:shd w:val="clear" w:color="auto" w:fill="1F3864"/>
          </w:tcPr>
          <w:p>
            <w:pPr>
              <w:jc w:val="center"/>
            </w:pPr>
            <w:r>
              <w:rPr>
                <w:rFonts w:ascii="Arial" w:hAnsi="Arial"/>
                <w:b/>
                <w:i w:val="0"/>
                <w:color w:val="FFFFFF"/>
                <w:sz w:val="22"/>
              </w:rPr>
              <w:t>2</w:t>
            </w:r>
          </w:p>
        </w:tc>
        <w:tc>
          <w:tcPr>
            <w:tcW w:type="dxa" w:w="2551"/>
            <w:shd w:val="clear" w:color="auto" w:fill="D9D9D9"/>
          </w:tcPr>
          <w:p>
            <w:pPr>
              <w:ind w:left="113"/>
            </w:pPr>
            <w:r>
              <w:rPr>
                <w:rFonts w:ascii="Arial" w:hAnsi="Arial"/>
                <w:b/>
                <w:i w:val="0"/>
                <w:sz w:val="19"/>
              </w:rPr>
              <w:t>Realização dos Ensaios</w:t>
            </w:r>
          </w:p>
        </w:tc>
        <w:tc>
          <w:tcPr>
            <w:tcW w:type="dxa" w:w="7087"/>
            <w:shd w:val="clear" w:color="auto" w:fill="FFFFFF"/>
          </w:tcPr>
          <w:p>
            <w:pPr>
              <w:ind w:left="113"/>
              <w:jc w:val="both"/>
            </w:pPr>
            <w:r>
              <w:rPr>
                <w:rFonts w:ascii="Arial" w:hAnsi="Arial"/>
                <w:b w:val="0"/>
                <w:i w:val="0"/>
                <w:sz w:val="19"/>
              </w:rPr>
              <w:t>O técnico realiza os ensaios no Radimation e exporta o arquivo .docx. As fotos da amostra são organizadas na pasta da EUT (subpasta com numeração).</w:t>
            </w:r>
          </w:p>
        </w:tc>
      </w:tr>
      <w:tr>
        <w:tc>
          <w:tcPr>
            <w:tcW w:type="dxa" w:w="567"/>
            <w:shd w:val="clear" w:color="auto" w:fill="1F3864"/>
          </w:tcPr>
          <w:p>
            <w:pPr>
              <w:jc w:val="center"/>
            </w:pPr>
            <w:r>
              <w:rPr>
                <w:rFonts w:ascii="Arial" w:hAnsi="Arial"/>
                <w:b/>
                <w:i w:val="0"/>
                <w:color w:val="FFFFFF"/>
                <w:sz w:val="22"/>
              </w:rPr>
              <w:t>3</w:t>
            </w:r>
          </w:p>
        </w:tc>
        <w:tc>
          <w:tcPr>
            <w:tcW w:type="dxa" w:w="2551"/>
            <w:shd w:val="clear" w:color="auto" w:fill="D9D9D9"/>
          </w:tcPr>
          <w:p>
            <w:pPr>
              <w:ind w:left="113"/>
            </w:pPr>
            <w:r>
              <w:rPr>
                <w:rFonts w:ascii="Arial" w:hAnsi="Arial"/>
                <w:b/>
                <w:i w:val="0"/>
                <w:sz w:val="19"/>
              </w:rPr>
              <w:t>Abertura do Formulário</w:t>
            </w:r>
          </w:p>
        </w:tc>
        <w:tc>
          <w:tcPr>
            <w:tcW w:type="dxa" w:w="7087"/>
            <w:shd w:val="clear" w:color="auto" w:fill="F2F2F2"/>
          </w:tcPr>
          <w:p>
            <w:pPr>
              <w:ind w:left="113"/>
              <w:jc w:val="both"/>
            </w:pPr>
            <w:r>
              <w:rPr>
                <w:rFonts w:ascii="Arial" w:hAnsi="Arial"/>
                <w:b w:val="0"/>
                <w:i w:val="0"/>
                <w:sz w:val="19"/>
              </w:rPr>
              <w:t>Ao abrir o sistema, o formulário é limpo automaticamente. O operador preenche o protocolo LABELO — os dados da agenda são pré-carregados automaticamente.</w:t>
            </w:r>
          </w:p>
        </w:tc>
      </w:tr>
      <w:tr>
        <w:tc>
          <w:tcPr>
            <w:tcW w:type="dxa" w:w="567"/>
            <w:shd w:val="clear" w:color="auto" w:fill="1F3864"/>
          </w:tcPr>
          <w:p>
            <w:pPr>
              <w:jc w:val="center"/>
            </w:pPr>
            <w:r>
              <w:rPr>
                <w:rFonts w:ascii="Arial" w:hAnsi="Arial"/>
                <w:b/>
                <w:i w:val="0"/>
                <w:color w:val="FFFFFF"/>
                <w:sz w:val="22"/>
              </w:rPr>
              <w:t>4</w:t>
            </w:r>
          </w:p>
        </w:tc>
        <w:tc>
          <w:tcPr>
            <w:tcW w:type="dxa" w:w="2551"/>
            <w:shd w:val="clear" w:color="auto" w:fill="D9D9D9"/>
          </w:tcPr>
          <w:p>
            <w:pPr>
              <w:ind w:left="113"/>
            </w:pPr>
            <w:r>
              <w:rPr>
                <w:rFonts w:ascii="Arial" w:hAnsi="Arial"/>
                <w:b/>
                <w:i w:val="0"/>
                <w:sz w:val="19"/>
              </w:rPr>
              <w:t>Carregamento da Pasta</w:t>
            </w:r>
          </w:p>
        </w:tc>
        <w:tc>
          <w:tcPr>
            <w:tcW w:type="dxa" w:w="7087"/>
            <w:shd w:val="clear" w:color="auto" w:fill="FFFFFF"/>
          </w:tcPr>
          <w:p>
            <w:pPr>
              <w:ind w:left="113"/>
              <w:jc w:val="both"/>
            </w:pPr>
            <w:r>
              <w:rPr>
                <w:rFonts w:ascii="Arial" w:hAnsi="Arial"/>
                <w:b w:val="0"/>
                <w:i w:val="0"/>
                <w:sz w:val="19"/>
              </w:rPr>
              <w:t>O operador clica em "Selecionar Pasta do Ensaio" e seleciona a pasta da EUT. O sistema carrega o .docx e as fotos automaticamente.</w:t>
            </w:r>
          </w:p>
        </w:tc>
      </w:tr>
      <w:tr>
        <w:tc>
          <w:tcPr>
            <w:tcW w:type="dxa" w:w="567"/>
            <w:shd w:val="clear" w:color="auto" w:fill="1F3864"/>
          </w:tcPr>
          <w:p>
            <w:pPr>
              <w:jc w:val="center"/>
            </w:pPr>
            <w:r>
              <w:rPr>
                <w:rFonts w:ascii="Arial" w:hAnsi="Arial"/>
                <w:b/>
                <w:i w:val="0"/>
                <w:color w:val="FFFFFF"/>
                <w:sz w:val="22"/>
              </w:rPr>
              <w:t>5</w:t>
            </w:r>
          </w:p>
        </w:tc>
        <w:tc>
          <w:tcPr>
            <w:tcW w:type="dxa" w:w="2551"/>
            <w:shd w:val="clear" w:color="auto" w:fill="D9D9D9"/>
          </w:tcPr>
          <w:p>
            <w:pPr>
              <w:ind w:left="113"/>
            </w:pPr>
            <w:r>
              <w:rPr>
                <w:rFonts w:ascii="Arial" w:hAnsi="Arial"/>
                <w:b/>
                <w:i w:val="0"/>
                <w:sz w:val="19"/>
              </w:rPr>
              <w:t>Revisão dos Dados</w:t>
            </w:r>
          </w:p>
        </w:tc>
        <w:tc>
          <w:tcPr>
            <w:tcW w:type="dxa" w:w="7087"/>
            <w:shd w:val="clear" w:color="auto" w:fill="F2F2F2"/>
          </w:tcPr>
          <w:p>
            <w:pPr>
              <w:ind w:left="113"/>
              <w:jc w:val="both"/>
            </w:pPr>
            <w:r>
              <w:rPr>
                <w:rFonts w:ascii="Arial" w:hAnsi="Arial"/>
                <w:b w:val="0"/>
                <w:i w:val="0"/>
                <w:sz w:val="19"/>
              </w:rPr>
              <w:t>O operador revisa e complementa os dados do formulário. Opcionalmente utiliza "Ler Fotos (OCR)" para extrair dados da etiqueta do produto.</w:t>
            </w:r>
          </w:p>
        </w:tc>
      </w:tr>
      <w:tr>
        <w:tc>
          <w:tcPr>
            <w:tcW w:type="dxa" w:w="567"/>
            <w:shd w:val="clear" w:color="auto" w:fill="1F3864"/>
          </w:tcPr>
          <w:p>
            <w:pPr>
              <w:jc w:val="center"/>
            </w:pPr>
            <w:r>
              <w:rPr>
                <w:rFonts w:ascii="Arial" w:hAnsi="Arial"/>
                <w:b/>
                <w:i w:val="0"/>
                <w:color w:val="FFFFFF"/>
                <w:sz w:val="22"/>
              </w:rPr>
              <w:t>6</w:t>
            </w:r>
          </w:p>
        </w:tc>
        <w:tc>
          <w:tcPr>
            <w:tcW w:type="dxa" w:w="2551"/>
            <w:shd w:val="clear" w:color="auto" w:fill="D9D9D9"/>
          </w:tcPr>
          <w:p>
            <w:pPr>
              <w:ind w:left="113"/>
            </w:pPr>
            <w:r>
              <w:rPr>
                <w:rFonts w:ascii="Arial" w:hAnsi="Arial"/>
                <w:b/>
                <w:i w:val="0"/>
                <w:sz w:val="19"/>
              </w:rPr>
              <w:t>Definição dos Resultados</w:t>
            </w:r>
          </w:p>
        </w:tc>
        <w:tc>
          <w:tcPr>
            <w:tcW w:type="dxa" w:w="7087"/>
            <w:shd w:val="clear" w:color="auto" w:fill="FFFFFF"/>
          </w:tcPr>
          <w:p>
            <w:pPr>
              <w:ind w:left="113"/>
              <w:jc w:val="both"/>
            </w:pPr>
            <w:r>
              <w:rPr>
                <w:rFonts w:ascii="Arial" w:hAnsi="Arial"/>
                <w:b w:val="0"/>
                <w:i w:val="0"/>
                <w:sz w:val="19"/>
              </w:rPr>
              <w:t>O operador define o resultado dos ensaios (PASS/FAIL) para cada item: Conduzida, Loop e Anexo B.</w:t>
            </w:r>
          </w:p>
        </w:tc>
      </w:tr>
      <w:tr>
        <w:tc>
          <w:tcPr>
            <w:tcW w:type="dxa" w:w="567"/>
            <w:shd w:val="clear" w:color="auto" w:fill="1F3864"/>
          </w:tcPr>
          <w:p>
            <w:pPr>
              <w:jc w:val="center"/>
            </w:pPr>
            <w:r>
              <w:rPr>
                <w:rFonts w:ascii="Arial" w:hAnsi="Arial"/>
                <w:b/>
                <w:i w:val="0"/>
                <w:color w:val="FFFFFF"/>
                <w:sz w:val="22"/>
              </w:rPr>
              <w:t>7</w:t>
            </w:r>
          </w:p>
        </w:tc>
        <w:tc>
          <w:tcPr>
            <w:tcW w:type="dxa" w:w="2551"/>
            <w:shd w:val="clear" w:color="auto" w:fill="D9D9D9"/>
          </w:tcPr>
          <w:p>
            <w:pPr>
              <w:ind w:left="113"/>
            </w:pPr>
            <w:r>
              <w:rPr>
                <w:rFonts w:ascii="Arial" w:hAnsi="Arial"/>
                <w:b/>
                <w:i w:val="0"/>
                <w:sz w:val="19"/>
              </w:rPr>
              <w:t>Geração do Relatório</w:t>
            </w:r>
          </w:p>
        </w:tc>
        <w:tc>
          <w:tcPr>
            <w:tcW w:type="dxa" w:w="7087"/>
            <w:shd w:val="clear" w:color="auto" w:fill="F2F2F2"/>
          </w:tcPr>
          <w:p>
            <w:pPr>
              <w:ind w:left="113"/>
              <w:jc w:val="both"/>
            </w:pPr>
            <w:r>
              <w:rPr>
                <w:rFonts w:ascii="Arial" w:hAnsi="Arial"/>
                <w:b w:val="0"/>
                <w:i w:val="0"/>
                <w:sz w:val="19"/>
              </w:rPr>
              <w:t>O operador clica em "Gerar Relatório". O sistema verifica duplicatas, registra na planilha Excel, bloqueia o formulário e exibe a tela de visualização PDF.</w:t>
            </w:r>
          </w:p>
        </w:tc>
      </w:tr>
      <w:tr>
        <w:tc>
          <w:tcPr>
            <w:tcW w:type="dxa" w:w="567"/>
            <w:shd w:val="clear" w:color="auto" w:fill="1F3864"/>
          </w:tcPr>
          <w:p>
            <w:pPr>
              <w:jc w:val="center"/>
            </w:pPr>
            <w:r>
              <w:rPr>
                <w:rFonts w:ascii="Arial" w:hAnsi="Arial"/>
                <w:b/>
                <w:i w:val="0"/>
                <w:color w:val="FFFFFF"/>
                <w:sz w:val="22"/>
              </w:rPr>
              <w:t>8</w:t>
            </w:r>
          </w:p>
        </w:tc>
        <w:tc>
          <w:tcPr>
            <w:tcW w:type="dxa" w:w="2551"/>
            <w:shd w:val="clear" w:color="auto" w:fill="D9D9D9"/>
          </w:tcPr>
          <w:p>
            <w:pPr>
              <w:ind w:left="113"/>
            </w:pPr>
            <w:r>
              <w:rPr>
                <w:rFonts w:ascii="Arial" w:hAnsi="Arial"/>
                <w:b/>
                <w:i w:val="0"/>
                <w:sz w:val="19"/>
              </w:rPr>
              <w:t>Download/Salvar PDF</w:t>
            </w:r>
          </w:p>
        </w:tc>
        <w:tc>
          <w:tcPr>
            <w:tcW w:type="dxa" w:w="7087"/>
            <w:shd w:val="clear" w:color="auto" w:fill="FFFFFF"/>
          </w:tcPr>
          <w:p>
            <w:pPr>
              <w:ind w:left="113"/>
              <w:jc w:val="both"/>
            </w:pPr>
            <w:r>
              <w:rPr>
                <w:rFonts w:ascii="Arial" w:hAnsi="Arial"/>
                <w:b w:val="0"/>
                <w:i w:val="0"/>
                <w:sz w:val="19"/>
              </w:rPr>
              <w:t>O operador clica em "Baixar PDF". O PDF é salvo na pasta da EUT e copiado para a pasta de cópias, se configurada.</w:t>
            </w:r>
          </w:p>
        </w:tc>
      </w:tr>
      <w:tr>
        <w:tc>
          <w:tcPr>
            <w:tcW w:type="dxa" w:w="567"/>
            <w:shd w:val="clear" w:color="auto" w:fill="1F3864"/>
          </w:tcPr>
          <w:p>
            <w:pPr>
              <w:jc w:val="center"/>
            </w:pPr>
            <w:r>
              <w:rPr>
                <w:rFonts w:ascii="Arial" w:hAnsi="Arial"/>
                <w:b/>
                <w:i w:val="0"/>
                <w:color w:val="FFFFFF"/>
                <w:sz w:val="22"/>
              </w:rPr>
              <w:t>9</w:t>
            </w:r>
          </w:p>
        </w:tc>
        <w:tc>
          <w:tcPr>
            <w:tcW w:type="dxa" w:w="2551"/>
            <w:shd w:val="clear" w:color="auto" w:fill="D9D9D9"/>
          </w:tcPr>
          <w:p>
            <w:pPr>
              <w:ind w:left="113"/>
            </w:pPr>
            <w:r>
              <w:rPr>
                <w:rFonts w:ascii="Arial" w:hAnsi="Arial"/>
                <w:b/>
                <w:i w:val="0"/>
                <w:sz w:val="19"/>
              </w:rPr>
              <w:t>Atualização da Agenda</w:t>
            </w:r>
          </w:p>
        </w:tc>
        <w:tc>
          <w:tcPr>
            <w:tcW w:type="dxa" w:w="7087"/>
            <w:shd w:val="clear" w:color="auto" w:fill="F2F2F2"/>
          </w:tcPr>
          <w:p>
            <w:pPr>
              <w:ind w:left="113"/>
              <w:jc w:val="both"/>
            </w:pPr>
            <w:r>
              <w:rPr>
                <w:rFonts w:ascii="Arial" w:hAnsi="Arial"/>
                <w:b w:val="0"/>
                <w:i w:val="0"/>
                <w:sz w:val="19"/>
              </w:rPr>
              <w:t>O sistema atualiza automaticamente o item da agenda com o número do relatório e a data de emissão.</w:t>
            </w:r>
          </w:p>
        </w:tc>
      </w:tr>
    </w:tbl>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13. Critérios de Validação do Software</w:t>
            </w:r>
          </w:p>
        </w:tc>
      </w:tr>
    </w:tbl>
    <w:p>
      <w:pPr>
        <w:spacing w:before="40" w:after="40"/>
        <w:jc w:val="both"/>
      </w:pPr>
      <w:r>
        <w:rPr>
          <w:rFonts w:ascii="Arial" w:hAnsi="Arial"/>
          <w:b w:val="0"/>
          <w:i w:val="0"/>
          <w:sz w:val="22"/>
        </w:rPr>
        <w:t>A validação do software foi realizada conforme os requisitos da ABNT NBR ISO/IEC 17025:2017, item 6.4.13 (validação de software para uso em laboratório). A tabela a seguir apresenta os critérios, testes realizados e resultados obtidos:</w:t>
      </w:r>
    </w:p>
    <w:tbl>
      <w:tblPr>
        <w:tblStyle w:val="TableGrid"/>
        <w:tblW w:type="auto" w:w="0"/>
        <w:jc w:val="left"/>
        <w:tblLook w:firstColumn="1" w:firstRow="1" w:lastColumn="0" w:lastRow="0" w:noHBand="0" w:noVBand="1" w:val="04A0"/>
      </w:tblPr>
      <w:tblGrid>
        <w:gridCol w:w="1984"/>
        <w:gridCol w:w="1984"/>
        <w:gridCol w:w="1984"/>
        <w:gridCol w:w="1984"/>
        <w:gridCol w:w="1984"/>
      </w:tblGrid>
      <w:tr>
        <w:tc>
          <w:tcPr>
            <w:tcW w:type="dxa" w:w="907"/>
            <w:shd w:val="clear" w:color="auto" w:fill="1F3864"/>
          </w:tcPr>
          <w:p>
            <w:pPr>
              <w:jc w:val="center"/>
            </w:pPr>
            <w:r>
              <w:rPr>
                <w:rFonts w:ascii="Arial" w:hAnsi="Arial"/>
                <w:b/>
                <w:i w:val="0"/>
                <w:color w:val="FFFFFF"/>
                <w:sz w:val="17"/>
              </w:rPr>
              <w:t>Item</w:t>
            </w:r>
          </w:p>
        </w:tc>
        <w:tc>
          <w:tcPr>
            <w:tcW w:type="dxa" w:w="2551"/>
            <w:shd w:val="clear" w:color="auto" w:fill="1F3864"/>
          </w:tcPr>
          <w:p>
            <w:pPr>
              <w:jc w:val="center"/>
            </w:pPr>
            <w:r>
              <w:rPr>
                <w:rFonts w:ascii="Arial" w:hAnsi="Arial"/>
                <w:b/>
                <w:i w:val="0"/>
                <w:color w:val="FFFFFF"/>
                <w:sz w:val="17"/>
              </w:rPr>
              <w:t>Critério de Validação</w:t>
            </w:r>
          </w:p>
        </w:tc>
        <w:tc>
          <w:tcPr>
            <w:tcW w:type="dxa" w:w="2551"/>
            <w:shd w:val="clear" w:color="auto" w:fill="1F3864"/>
          </w:tcPr>
          <w:p>
            <w:pPr>
              <w:jc w:val="center"/>
            </w:pPr>
            <w:r>
              <w:rPr>
                <w:rFonts w:ascii="Arial" w:hAnsi="Arial"/>
                <w:b/>
                <w:i w:val="0"/>
                <w:color w:val="FFFFFF"/>
                <w:sz w:val="17"/>
              </w:rPr>
              <w:t>Teste Realizado</w:t>
            </w:r>
          </w:p>
        </w:tc>
        <w:tc>
          <w:tcPr>
            <w:tcW w:type="dxa" w:w="2268"/>
            <w:shd w:val="clear" w:color="auto" w:fill="1F3864"/>
          </w:tcPr>
          <w:p>
            <w:pPr>
              <w:jc w:val="center"/>
            </w:pPr>
            <w:r>
              <w:rPr>
                <w:rFonts w:ascii="Arial" w:hAnsi="Arial"/>
                <w:b/>
                <w:i w:val="0"/>
                <w:color w:val="FFFFFF"/>
                <w:sz w:val="17"/>
              </w:rPr>
              <w:t>Resultado Esperado</w:t>
            </w:r>
          </w:p>
        </w:tc>
        <w:tc>
          <w:tcPr>
            <w:tcW w:type="dxa" w:w="1247"/>
            <w:shd w:val="clear" w:color="auto" w:fill="1F3864"/>
          </w:tcPr>
          <w:p>
            <w:pPr>
              <w:jc w:val="center"/>
            </w:pPr>
            <w:r>
              <w:rPr>
                <w:rFonts w:ascii="Arial" w:hAnsi="Arial"/>
                <w:b/>
                <w:i w:val="0"/>
                <w:color w:val="FFFFFF"/>
                <w:sz w:val="17"/>
              </w:rPr>
              <w:t>Status</w:t>
            </w:r>
          </w:p>
        </w:tc>
      </w:tr>
      <w:tr>
        <w:tc>
          <w:tcPr>
            <w:tcW w:type="dxa" w:w="1984"/>
            <w:shd w:val="clear" w:color="auto" w:fill="FFFFFF"/>
          </w:tcPr>
          <w:p>
            <w:pPr>
              <w:ind w:left="85"/>
            </w:pPr>
            <w:r>
              <w:rPr>
                <w:rFonts w:ascii="Arial" w:hAnsi="Arial"/>
                <w:b/>
                <w:i w:val="0"/>
                <w:color w:val="000000"/>
                <w:sz w:val="16"/>
              </w:rPr>
              <w:t>VAL-01</w:t>
            </w:r>
          </w:p>
        </w:tc>
        <w:tc>
          <w:tcPr>
            <w:tcW w:type="dxa" w:w="1984"/>
            <w:shd w:val="clear" w:color="auto" w:fill="FFFFFF"/>
          </w:tcPr>
          <w:p>
            <w:pPr>
              <w:ind w:left="85"/>
            </w:pPr>
            <w:r>
              <w:rPr>
                <w:rFonts w:ascii="Arial" w:hAnsi="Arial"/>
                <w:b w:val="0"/>
                <w:i w:val="0"/>
                <w:color w:val="000000"/>
                <w:sz w:val="16"/>
              </w:rPr>
              <w:t>Integridade dos dados do formulário</w:t>
            </w:r>
          </w:p>
        </w:tc>
        <w:tc>
          <w:tcPr>
            <w:tcW w:type="dxa" w:w="1984"/>
            <w:shd w:val="clear" w:color="auto" w:fill="FFFFFF"/>
          </w:tcPr>
          <w:p>
            <w:pPr>
              <w:ind w:left="85"/>
            </w:pPr>
            <w:r>
              <w:rPr>
                <w:rFonts w:ascii="Arial" w:hAnsi="Arial"/>
                <w:b w:val="0"/>
                <w:i w:val="0"/>
                <w:color w:val="000000"/>
                <w:sz w:val="16"/>
              </w:rPr>
              <w:t>Preencher todos os campos obrigatórios e verificar persistência após recarregamento da página.</w:t>
            </w:r>
          </w:p>
        </w:tc>
        <w:tc>
          <w:tcPr>
            <w:tcW w:type="dxa" w:w="1984"/>
            <w:shd w:val="clear" w:color="auto" w:fill="FFFFFF"/>
          </w:tcPr>
          <w:p>
            <w:pPr>
              <w:ind w:left="85"/>
            </w:pPr>
            <w:r>
              <w:rPr>
                <w:rFonts w:ascii="Arial" w:hAnsi="Arial"/>
                <w:b w:val="0"/>
                <w:i w:val="0"/>
                <w:color w:val="000000"/>
                <w:sz w:val="16"/>
              </w:rPr>
              <w:t>Dados preservados no localStorage entre recarregamentos.</w:t>
            </w:r>
          </w:p>
        </w:tc>
        <w:tc>
          <w:tcPr>
            <w:tcW w:type="dxa" w:w="1984"/>
            <w:shd w:val="clear" w:color="auto" w:fill="FFFFFF"/>
          </w:tcPr>
          <w:p>
            <w:pPr>
              <w:ind w:left="85"/>
            </w:pPr>
            <w:r>
              <w:rPr>
                <w:rFonts w:ascii="Arial" w:hAnsi="Arial"/>
                <w:b w:val="0"/>
                <w:i w:val="0"/>
                <w:color w:val="1F3864"/>
                <w:sz w:val="16"/>
              </w:rPr>
              <w:t>APROVADO</w:t>
            </w:r>
          </w:p>
        </w:tc>
      </w:tr>
      <w:tr>
        <w:tc>
          <w:tcPr>
            <w:tcW w:type="dxa" w:w="1984"/>
            <w:shd w:val="clear" w:color="auto" w:fill="F2F2F2"/>
          </w:tcPr>
          <w:p>
            <w:pPr>
              <w:ind w:left="85"/>
            </w:pPr>
            <w:r>
              <w:rPr>
                <w:rFonts w:ascii="Arial" w:hAnsi="Arial"/>
                <w:b/>
                <w:i w:val="0"/>
                <w:color w:val="000000"/>
                <w:sz w:val="16"/>
              </w:rPr>
              <w:t>VAL-02</w:t>
            </w:r>
          </w:p>
        </w:tc>
        <w:tc>
          <w:tcPr>
            <w:tcW w:type="dxa" w:w="1984"/>
            <w:shd w:val="clear" w:color="auto" w:fill="F2F2F2"/>
          </w:tcPr>
          <w:p>
            <w:pPr>
              <w:ind w:left="85"/>
            </w:pPr>
            <w:r>
              <w:rPr>
                <w:rFonts w:ascii="Arial" w:hAnsi="Arial"/>
                <w:b w:val="0"/>
                <w:i w:val="0"/>
                <w:color w:val="000000"/>
                <w:sz w:val="16"/>
              </w:rPr>
              <w:t>Validação de campos obrigatórios</w:t>
            </w:r>
          </w:p>
        </w:tc>
        <w:tc>
          <w:tcPr>
            <w:tcW w:type="dxa" w:w="1984"/>
            <w:shd w:val="clear" w:color="auto" w:fill="F2F2F2"/>
          </w:tcPr>
          <w:p>
            <w:pPr>
              <w:ind w:left="85"/>
            </w:pPr>
            <w:r>
              <w:rPr>
                <w:rFonts w:ascii="Arial" w:hAnsi="Arial"/>
                <w:b w:val="0"/>
                <w:i w:val="0"/>
                <w:color w:val="000000"/>
                <w:sz w:val="16"/>
              </w:rPr>
              <w:t>Tentar gerar relatório com campos pendentes.</w:t>
            </w:r>
          </w:p>
        </w:tc>
        <w:tc>
          <w:tcPr>
            <w:tcW w:type="dxa" w:w="1984"/>
            <w:shd w:val="clear" w:color="auto" w:fill="F2F2F2"/>
          </w:tcPr>
          <w:p>
            <w:pPr>
              <w:ind w:left="85"/>
            </w:pPr>
            <w:r>
              <w:rPr>
                <w:rFonts w:ascii="Arial" w:hAnsi="Arial"/>
                <w:b w:val="0"/>
                <w:i w:val="0"/>
                <w:color w:val="000000"/>
                <w:sz w:val="16"/>
              </w:rPr>
              <w:t>Sistema bloqueia geração e lista campos pendentes.</w:t>
            </w:r>
          </w:p>
        </w:tc>
        <w:tc>
          <w:tcPr>
            <w:tcW w:type="dxa" w:w="1984"/>
            <w:shd w:val="clear" w:color="auto" w:fill="F2F2F2"/>
          </w:tcPr>
          <w:p>
            <w:pPr>
              <w:ind w:left="85"/>
            </w:pPr>
            <w:r>
              <w:rPr>
                <w:rFonts w:ascii="Arial" w:hAnsi="Arial"/>
                <w:b w:val="0"/>
                <w:i w:val="0"/>
                <w:color w:val="1F3864"/>
                <w:sz w:val="16"/>
              </w:rPr>
              <w:t>APROVADO</w:t>
            </w:r>
          </w:p>
        </w:tc>
      </w:tr>
      <w:tr>
        <w:tc>
          <w:tcPr>
            <w:tcW w:type="dxa" w:w="1984"/>
            <w:shd w:val="clear" w:color="auto" w:fill="FFFFFF"/>
          </w:tcPr>
          <w:p>
            <w:pPr>
              <w:ind w:left="85"/>
            </w:pPr>
            <w:r>
              <w:rPr>
                <w:rFonts w:ascii="Arial" w:hAnsi="Arial"/>
                <w:b/>
                <w:i w:val="0"/>
                <w:color w:val="000000"/>
                <w:sz w:val="16"/>
              </w:rPr>
              <w:t>VAL-03</w:t>
            </w:r>
          </w:p>
        </w:tc>
        <w:tc>
          <w:tcPr>
            <w:tcW w:type="dxa" w:w="1984"/>
            <w:shd w:val="clear" w:color="auto" w:fill="FFFFFF"/>
          </w:tcPr>
          <w:p>
            <w:pPr>
              <w:ind w:left="85"/>
            </w:pPr>
            <w:r>
              <w:rPr>
                <w:rFonts w:ascii="Arial" w:hAnsi="Arial"/>
                <w:b w:val="0"/>
                <w:i w:val="0"/>
                <w:color w:val="000000"/>
                <w:sz w:val="16"/>
              </w:rPr>
              <w:t>Registro automático na planilha Excel</w:t>
            </w:r>
          </w:p>
        </w:tc>
        <w:tc>
          <w:tcPr>
            <w:tcW w:type="dxa" w:w="1984"/>
            <w:shd w:val="clear" w:color="auto" w:fill="FFFFFF"/>
          </w:tcPr>
          <w:p>
            <w:pPr>
              <w:ind w:left="85"/>
            </w:pPr>
            <w:r>
              <w:rPr>
                <w:rFonts w:ascii="Arial" w:hAnsi="Arial"/>
                <w:b w:val="0"/>
                <w:i w:val="0"/>
                <w:color w:val="000000"/>
                <w:sz w:val="16"/>
              </w:rPr>
              <w:t>Gerar relatório e verificar registro na planilha de controle.</w:t>
            </w:r>
          </w:p>
        </w:tc>
        <w:tc>
          <w:tcPr>
            <w:tcW w:type="dxa" w:w="1984"/>
            <w:shd w:val="clear" w:color="auto" w:fill="FFFFFF"/>
          </w:tcPr>
          <w:p>
            <w:pPr>
              <w:ind w:left="85"/>
            </w:pPr>
            <w:r>
              <w:rPr>
                <w:rFonts w:ascii="Arial" w:hAnsi="Arial"/>
                <w:b w:val="0"/>
                <w:i w:val="0"/>
                <w:color w:val="000000"/>
                <w:sz w:val="16"/>
              </w:rPr>
              <w:t>Número sequencial gerado e registrado na planilha com dados corretos.</w:t>
            </w:r>
          </w:p>
        </w:tc>
        <w:tc>
          <w:tcPr>
            <w:tcW w:type="dxa" w:w="1984"/>
            <w:shd w:val="clear" w:color="auto" w:fill="FFFFFF"/>
          </w:tcPr>
          <w:p>
            <w:pPr>
              <w:ind w:left="85"/>
            </w:pPr>
            <w:r>
              <w:rPr>
                <w:rFonts w:ascii="Arial" w:hAnsi="Arial"/>
                <w:b w:val="0"/>
                <w:i w:val="0"/>
                <w:color w:val="1F3864"/>
                <w:sz w:val="16"/>
              </w:rPr>
              <w:t>APROVADO</w:t>
            </w:r>
          </w:p>
        </w:tc>
      </w:tr>
      <w:tr>
        <w:tc>
          <w:tcPr>
            <w:tcW w:type="dxa" w:w="1984"/>
            <w:shd w:val="clear" w:color="auto" w:fill="F2F2F2"/>
          </w:tcPr>
          <w:p>
            <w:pPr>
              <w:ind w:left="85"/>
            </w:pPr>
            <w:r>
              <w:rPr>
                <w:rFonts w:ascii="Arial" w:hAnsi="Arial"/>
                <w:b/>
                <w:i w:val="0"/>
                <w:color w:val="000000"/>
                <w:sz w:val="16"/>
              </w:rPr>
              <w:t>VAL-04</w:t>
            </w:r>
          </w:p>
        </w:tc>
        <w:tc>
          <w:tcPr>
            <w:tcW w:type="dxa" w:w="1984"/>
            <w:shd w:val="clear" w:color="auto" w:fill="F2F2F2"/>
          </w:tcPr>
          <w:p>
            <w:pPr>
              <w:ind w:left="85"/>
            </w:pPr>
            <w:r>
              <w:rPr>
                <w:rFonts w:ascii="Arial" w:hAnsi="Arial"/>
                <w:b w:val="0"/>
                <w:i w:val="0"/>
                <w:color w:val="000000"/>
                <w:sz w:val="16"/>
              </w:rPr>
              <w:t>Geração do PDF com layout correto</w:t>
            </w:r>
          </w:p>
        </w:tc>
        <w:tc>
          <w:tcPr>
            <w:tcW w:type="dxa" w:w="1984"/>
            <w:shd w:val="clear" w:color="auto" w:fill="F2F2F2"/>
          </w:tcPr>
          <w:p>
            <w:pPr>
              <w:ind w:left="85"/>
            </w:pPr>
            <w:r>
              <w:rPr>
                <w:rFonts w:ascii="Arial" w:hAnsi="Arial"/>
                <w:b w:val="0"/>
                <w:i w:val="0"/>
                <w:color w:val="000000"/>
                <w:sz w:val="16"/>
              </w:rPr>
              <w:t>Gerar PDF de relatório de lâmpada e de luminária e verificar estrutura.</w:t>
            </w:r>
          </w:p>
        </w:tc>
        <w:tc>
          <w:tcPr>
            <w:tcW w:type="dxa" w:w="1984"/>
            <w:shd w:val="clear" w:color="auto" w:fill="F2F2F2"/>
          </w:tcPr>
          <w:p>
            <w:pPr>
              <w:ind w:left="85"/>
            </w:pPr>
            <w:r>
              <w:rPr>
                <w:rFonts w:ascii="Arial" w:hAnsi="Arial"/>
                <w:b w:val="0"/>
                <w:i w:val="0"/>
                <w:color w:val="000000"/>
                <w:sz w:val="16"/>
              </w:rPr>
              <w:t>PDF com todas as páginas (capa, limites, Radimation, fotos, observações) corretamente formatadas.</w:t>
            </w:r>
          </w:p>
        </w:tc>
        <w:tc>
          <w:tcPr>
            <w:tcW w:type="dxa" w:w="1984"/>
            <w:shd w:val="clear" w:color="auto" w:fill="F2F2F2"/>
          </w:tcPr>
          <w:p>
            <w:pPr>
              <w:ind w:left="85"/>
            </w:pPr>
            <w:r>
              <w:rPr>
                <w:rFonts w:ascii="Arial" w:hAnsi="Arial"/>
                <w:b w:val="0"/>
                <w:i w:val="0"/>
                <w:color w:val="1F3864"/>
                <w:sz w:val="16"/>
              </w:rPr>
              <w:t>APROVADO</w:t>
            </w:r>
          </w:p>
        </w:tc>
      </w:tr>
      <w:tr>
        <w:tc>
          <w:tcPr>
            <w:tcW w:type="dxa" w:w="1984"/>
            <w:shd w:val="clear" w:color="auto" w:fill="FFFFFF"/>
          </w:tcPr>
          <w:p>
            <w:pPr>
              <w:ind w:left="85"/>
            </w:pPr>
            <w:r>
              <w:rPr>
                <w:rFonts w:ascii="Arial" w:hAnsi="Arial"/>
                <w:b/>
                <w:i w:val="0"/>
                <w:color w:val="000000"/>
                <w:sz w:val="16"/>
              </w:rPr>
              <w:t>VAL-05</w:t>
            </w:r>
          </w:p>
        </w:tc>
        <w:tc>
          <w:tcPr>
            <w:tcW w:type="dxa" w:w="1984"/>
            <w:shd w:val="clear" w:color="auto" w:fill="FFFFFF"/>
          </w:tcPr>
          <w:p>
            <w:pPr>
              <w:ind w:left="85"/>
            </w:pPr>
            <w:r>
              <w:rPr>
                <w:rFonts w:ascii="Arial" w:hAnsi="Arial"/>
                <w:b w:val="0"/>
                <w:i w:val="0"/>
                <w:color w:val="000000"/>
                <w:sz w:val="16"/>
              </w:rPr>
              <w:t>Carregamento de pasta da EUT</w:t>
            </w:r>
          </w:p>
        </w:tc>
        <w:tc>
          <w:tcPr>
            <w:tcW w:type="dxa" w:w="1984"/>
            <w:shd w:val="clear" w:color="auto" w:fill="FFFFFF"/>
          </w:tcPr>
          <w:p>
            <w:pPr>
              <w:ind w:left="85"/>
            </w:pPr>
            <w:r>
              <w:rPr>
                <w:rFonts w:ascii="Arial" w:hAnsi="Arial"/>
                <w:b w:val="0"/>
                <w:i w:val="0"/>
                <w:color w:val="000000"/>
                <w:sz w:val="16"/>
              </w:rPr>
              <w:t>Selecionar pasta contendo .docx e subpasta de fotos.</w:t>
            </w:r>
          </w:p>
        </w:tc>
        <w:tc>
          <w:tcPr>
            <w:tcW w:type="dxa" w:w="1984"/>
            <w:shd w:val="clear" w:color="auto" w:fill="FFFFFF"/>
          </w:tcPr>
          <w:p>
            <w:pPr>
              <w:ind w:left="85"/>
            </w:pPr>
            <w:r>
              <w:rPr>
                <w:rFonts w:ascii="Arial" w:hAnsi="Arial"/>
                <w:b w:val="0"/>
                <w:i w:val="0"/>
                <w:color w:val="000000"/>
                <w:sz w:val="16"/>
              </w:rPr>
              <w:t>Sistema carrega .docx e todas as imagens, preenchendo campos de protocolo automaticamente.</w:t>
            </w:r>
          </w:p>
        </w:tc>
        <w:tc>
          <w:tcPr>
            <w:tcW w:type="dxa" w:w="1984"/>
            <w:shd w:val="clear" w:color="auto" w:fill="FFFFFF"/>
          </w:tcPr>
          <w:p>
            <w:pPr>
              <w:ind w:left="85"/>
            </w:pPr>
            <w:r>
              <w:rPr>
                <w:rFonts w:ascii="Arial" w:hAnsi="Arial"/>
                <w:b w:val="0"/>
                <w:i w:val="0"/>
                <w:color w:val="1F3864"/>
                <w:sz w:val="16"/>
              </w:rPr>
              <w:t>APROVADO</w:t>
            </w:r>
          </w:p>
        </w:tc>
      </w:tr>
      <w:tr>
        <w:tc>
          <w:tcPr>
            <w:tcW w:type="dxa" w:w="1984"/>
            <w:shd w:val="clear" w:color="auto" w:fill="F2F2F2"/>
          </w:tcPr>
          <w:p>
            <w:pPr>
              <w:ind w:left="85"/>
            </w:pPr>
            <w:r>
              <w:rPr>
                <w:rFonts w:ascii="Arial" w:hAnsi="Arial"/>
                <w:b/>
                <w:i w:val="0"/>
                <w:color w:val="000000"/>
                <w:sz w:val="16"/>
              </w:rPr>
              <w:t>VAL-06</w:t>
            </w:r>
          </w:p>
        </w:tc>
        <w:tc>
          <w:tcPr>
            <w:tcW w:type="dxa" w:w="1984"/>
            <w:shd w:val="clear" w:color="auto" w:fill="F2F2F2"/>
          </w:tcPr>
          <w:p>
            <w:pPr>
              <w:ind w:left="85"/>
            </w:pPr>
            <w:r>
              <w:rPr>
                <w:rFonts w:ascii="Arial" w:hAnsi="Arial"/>
                <w:b w:val="0"/>
                <w:i w:val="0"/>
                <w:color w:val="000000"/>
                <w:sz w:val="16"/>
              </w:rPr>
              <w:t>OCR de etiquetas</w:t>
            </w:r>
          </w:p>
        </w:tc>
        <w:tc>
          <w:tcPr>
            <w:tcW w:type="dxa" w:w="1984"/>
            <w:shd w:val="clear" w:color="auto" w:fill="F2F2F2"/>
          </w:tcPr>
          <w:p>
            <w:pPr>
              <w:ind w:left="85"/>
            </w:pPr>
            <w:r>
              <w:rPr>
                <w:rFonts w:ascii="Arial" w:hAnsi="Arial"/>
                <w:b w:val="0"/>
                <w:i w:val="0"/>
                <w:color w:val="000000"/>
                <w:sz w:val="16"/>
              </w:rPr>
              <w:t>Acionar OCR com foto nítida de etiqueta de produto.</w:t>
            </w:r>
          </w:p>
        </w:tc>
        <w:tc>
          <w:tcPr>
            <w:tcW w:type="dxa" w:w="1984"/>
            <w:shd w:val="clear" w:color="auto" w:fill="F2F2F2"/>
          </w:tcPr>
          <w:p>
            <w:pPr>
              <w:ind w:left="85"/>
            </w:pPr>
            <w:r>
              <w:rPr>
                <w:rFonts w:ascii="Arial" w:hAnsi="Arial"/>
                <w:b w:val="0"/>
                <w:i w:val="0"/>
                <w:color w:val="000000"/>
                <w:sz w:val="16"/>
              </w:rPr>
              <w:t>Campos de fabricante, modelo, tensão e potência preenchidos com dados extraídos.</w:t>
            </w:r>
          </w:p>
        </w:tc>
        <w:tc>
          <w:tcPr>
            <w:tcW w:type="dxa" w:w="1984"/>
            <w:shd w:val="clear" w:color="auto" w:fill="F2F2F2"/>
          </w:tcPr>
          <w:p>
            <w:pPr>
              <w:ind w:left="85"/>
            </w:pPr>
            <w:r>
              <w:rPr>
                <w:rFonts w:ascii="Arial" w:hAnsi="Arial"/>
                <w:b w:val="0"/>
                <w:i w:val="0"/>
                <w:color w:val="1F3864"/>
                <w:sz w:val="16"/>
              </w:rPr>
              <w:t>APROVADO</w:t>
            </w:r>
          </w:p>
        </w:tc>
      </w:tr>
      <w:tr>
        <w:tc>
          <w:tcPr>
            <w:tcW w:type="dxa" w:w="1984"/>
            <w:shd w:val="clear" w:color="auto" w:fill="FFFFFF"/>
          </w:tcPr>
          <w:p>
            <w:pPr>
              <w:ind w:left="85"/>
            </w:pPr>
            <w:r>
              <w:rPr>
                <w:rFonts w:ascii="Arial" w:hAnsi="Arial"/>
                <w:b/>
                <w:i w:val="0"/>
                <w:color w:val="000000"/>
                <w:sz w:val="16"/>
              </w:rPr>
              <w:t>VAL-07</w:t>
            </w:r>
          </w:p>
        </w:tc>
        <w:tc>
          <w:tcPr>
            <w:tcW w:type="dxa" w:w="1984"/>
            <w:shd w:val="clear" w:color="auto" w:fill="FFFFFF"/>
          </w:tcPr>
          <w:p>
            <w:pPr>
              <w:ind w:left="85"/>
            </w:pPr>
            <w:r>
              <w:rPr>
                <w:rFonts w:ascii="Arial" w:hAnsi="Arial"/>
                <w:b w:val="0"/>
                <w:i w:val="0"/>
                <w:color w:val="000000"/>
                <w:sz w:val="16"/>
              </w:rPr>
              <w:t>Sincronização via pasta de rede</w:t>
            </w:r>
          </w:p>
        </w:tc>
        <w:tc>
          <w:tcPr>
            <w:tcW w:type="dxa" w:w="1984"/>
            <w:shd w:val="clear" w:color="auto" w:fill="FFFFFF"/>
          </w:tcPr>
          <w:p>
            <w:pPr>
              <w:ind w:left="85"/>
            </w:pPr>
            <w:r>
              <w:rPr>
                <w:rFonts w:ascii="Arial" w:hAnsi="Arial"/>
                <w:b w:val="0"/>
                <w:i w:val="0"/>
                <w:color w:val="000000"/>
                <w:sz w:val="16"/>
              </w:rPr>
              <w:t>Configurar pasta de rede e verificar acesso a dados de dois computadores distintos.</w:t>
            </w:r>
          </w:p>
        </w:tc>
        <w:tc>
          <w:tcPr>
            <w:tcW w:type="dxa" w:w="1984"/>
            <w:shd w:val="clear" w:color="auto" w:fill="FFFFFF"/>
          </w:tcPr>
          <w:p>
            <w:pPr>
              <w:ind w:left="85"/>
            </w:pPr>
            <w:r>
              <w:rPr>
                <w:rFonts w:ascii="Arial" w:hAnsi="Arial"/>
                <w:b w:val="0"/>
                <w:i w:val="0"/>
                <w:color w:val="000000"/>
                <w:sz w:val="16"/>
              </w:rPr>
              <w:t>Clientes e relatórios visíveis em ambos os computadores.</w:t>
            </w:r>
          </w:p>
        </w:tc>
        <w:tc>
          <w:tcPr>
            <w:tcW w:type="dxa" w:w="1984"/>
            <w:shd w:val="clear" w:color="auto" w:fill="FFFFFF"/>
          </w:tcPr>
          <w:p>
            <w:pPr>
              <w:ind w:left="85"/>
            </w:pPr>
            <w:r>
              <w:rPr>
                <w:rFonts w:ascii="Arial" w:hAnsi="Arial"/>
                <w:b w:val="0"/>
                <w:i w:val="0"/>
                <w:color w:val="1F3864"/>
                <w:sz w:val="16"/>
              </w:rPr>
              <w:t>APROVADO</w:t>
            </w:r>
          </w:p>
        </w:tc>
      </w:tr>
      <w:tr>
        <w:tc>
          <w:tcPr>
            <w:tcW w:type="dxa" w:w="1984"/>
            <w:shd w:val="clear" w:color="auto" w:fill="F2F2F2"/>
          </w:tcPr>
          <w:p>
            <w:pPr>
              <w:ind w:left="85"/>
            </w:pPr>
            <w:r>
              <w:rPr>
                <w:rFonts w:ascii="Arial" w:hAnsi="Arial"/>
                <w:b/>
                <w:i w:val="0"/>
                <w:color w:val="000000"/>
                <w:sz w:val="16"/>
              </w:rPr>
              <w:t>VAL-08</w:t>
            </w:r>
          </w:p>
        </w:tc>
        <w:tc>
          <w:tcPr>
            <w:tcW w:type="dxa" w:w="1984"/>
            <w:shd w:val="clear" w:color="auto" w:fill="F2F2F2"/>
          </w:tcPr>
          <w:p>
            <w:pPr>
              <w:ind w:left="85"/>
            </w:pPr>
            <w:r>
              <w:rPr>
                <w:rFonts w:ascii="Arial" w:hAnsi="Arial"/>
                <w:b w:val="0"/>
                <w:i w:val="0"/>
                <w:color w:val="000000"/>
                <w:sz w:val="16"/>
              </w:rPr>
              <w:t>Controle de acesso por senha</w:t>
            </w:r>
          </w:p>
        </w:tc>
        <w:tc>
          <w:tcPr>
            <w:tcW w:type="dxa" w:w="1984"/>
            <w:shd w:val="clear" w:color="auto" w:fill="F2F2F2"/>
          </w:tcPr>
          <w:p>
            <w:pPr>
              <w:ind w:left="85"/>
            </w:pPr>
            <w:r>
              <w:rPr>
                <w:rFonts w:ascii="Arial" w:hAnsi="Arial"/>
                <w:b w:val="0"/>
                <w:i w:val="0"/>
                <w:color w:val="000000"/>
                <w:sz w:val="16"/>
              </w:rPr>
              <w:t>Configurar senha e tentar acessar formulário sem autenticação.</w:t>
            </w:r>
          </w:p>
        </w:tc>
        <w:tc>
          <w:tcPr>
            <w:tcW w:type="dxa" w:w="1984"/>
            <w:shd w:val="clear" w:color="auto" w:fill="F2F2F2"/>
          </w:tcPr>
          <w:p>
            <w:pPr>
              <w:ind w:left="85"/>
            </w:pPr>
            <w:r>
              <w:rPr>
                <w:rFonts w:ascii="Arial" w:hAnsi="Arial"/>
                <w:b w:val="0"/>
                <w:i w:val="0"/>
                <w:color w:val="000000"/>
                <w:sz w:val="16"/>
              </w:rPr>
              <w:t>Modal de senha exibido; acesso negado com senha incorreta; acesso liberado com senha correta.</w:t>
            </w:r>
          </w:p>
        </w:tc>
        <w:tc>
          <w:tcPr>
            <w:tcW w:type="dxa" w:w="1984"/>
            <w:shd w:val="clear" w:color="auto" w:fill="F2F2F2"/>
          </w:tcPr>
          <w:p>
            <w:pPr>
              <w:ind w:left="85"/>
            </w:pPr>
            <w:r>
              <w:rPr>
                <w:rFonts w:ascii="Arial" w:hAnsi="Arial"/>
                <w:b w:val="0"/>
                <w:i w:val="0"/>
                <w:color w:val="1F3864"/>
                <w:sz w:val="16"/>
              </w:rPr>
              <w:t>APROVADO</w:t>
            </w:r>
          </w:p>
        </w:tc>
      </w:tr>
      <w:tr>
        <w:tc>
          <w:tcPr>
            <w:tcW w:type="dxa" w:w="1984"/>
            <w:shd w:val="clear" w:color="auto" w:fill="FFFFFF"/>
          </w:tcPr>
          <w:p>
            <w:pPr>
              <w:ind w:left="85"/>
            </w:pPr>
            <w:r>
              <w:rPr>
                <w:rFonts w:ascii="Arial" w:hAnsi="Arial"/>
                <w:b/>
                <w:i w:val="0"/>
                <w:color w:val="000000"/>
                <w:sz w:val="16"/>
              </w:rPr>
              <w:t>VAL-09</w:t>
            </w:r>
          </w:p>
        </w:tc>
        <w:tc>
          <w:tcPr>
            <w:tcW w:type="dxa" w:w="1984"/>
            <w:shd w:val="clear" w:color="auto" w:fill="FFFFFF"/>
          </w:tcPr>
          <w:p>
            <w:pPr>
              <w:ind w:left="85"/>
            </w:pPr>
            <w:r>
              <w:rPr>
                <w:rFonts w:ascii="Arial" w:hAnsi="Arial"/>
                <w:b w:val="0"/>
                <w:i w:val="0"/>
                <w:color w:val="000000"/>
                <w:sz w:val="16"/>
              </w:rPr>
              <w:t>Emissão de emenda</w:t>
            </w:r>
          </w:p>
        </w:tc>
        <w:tc>
          <w:tcPr>
            <w:tcW w:type="dxa" w:w="1984"/>
            <w:shd w:val="clear" w:color="auto" w:fill="FFFFFF"/>
          </w:tcPr>
          <w:p>
            <w:pPr>
              <w:ind w:left="85"/>
            </w:pPr>
            <w:r>
              <w:rPr>
                <w:rFonts w:ascii="Arial" w:hAnsi="Arial"/>
                <w:b w:val="0"/>
                <w:i w:val="0"/>
                <w:color w:val="000000"/>
                <w:sz w:val="16"/>
              </w:rPr>
              <w:t>Gerar emenda sobre relatório existente e verificar geração do PDF com marcadores.</w:t>
            </w:r>
          </w:p>
        </w:tc>
        <w:tc>
          <w:tcPr>
            <w:tcW w:type="dxa" w:w="1984"/>
            <w:shd w:val="clear" w:color="auto" w:fill="FFFFFF"/>
          </w:tcPr>
          <w:p>
            <w:pPr>
              <w:ind w:left="85"/>
            </w:pPr>
            <w:r>
              <w:rPr>
                <w:rFonts w:ascii="Arial" w:hAnsi="Arial"/>
                <w:b w:val="0"/>
                <w:i w:val="0"/>
                <w:color w:val="000000"/>
                <w:sz w:val="16"/>
              </w:rPr>
              <w:t>PDF de emenda com número correto (EMC XXXX/AAAA · Emenda N) e tabela de alterações.</w:t>
            </w:r>
          </w:p>
        </w:tc>
        <w:tc>
          <w:tcPr>
            <w:tcW w:type="dxa" w:w="1984"/>
            <w:shd w:val="clear" w:color="auto" w:fill="FFFFFF"/>
          </w:tcPr>
          <w:p>
            <w:pPr>
              <w:ind w:left="85"/>
            </w:pPr>
            <w:r>
              <w:rPr>
                <w:rFonts w:ascii="Arial" w:hAnsi="Arial"/>
                <w:b w:val="0"/>
                <w:i w:val="0"/>
                <w:color w:val="1F3864"/>
                <w:sz w:val="16"/>
              </w:rPr>
              <w:t>APROVADO</w:t>
            </w:r>
          </w:p>
        </w:tc>
      </w:tr>
      <w:tr>
        <w:tc>
          <w:tcPr>
            <w:tcW w:type="dxa" w:w="1984"/>
            <w:shd w:val="clear" w:color="auto" w:fill="F2F2F2"/>
          </w:tcPr>
          <w:p>
            <w:pPr>
              <w:ind w:left="85"/>
            </w:pPr>
            <w:r>
              <w:rPr>
                <w:rFonts w:ascii="Arial" w:hAnsi="Arial"/>
                <w:b/>
                <w:i w:val="0"/>
                <w:color w:val="000000"/>
                <w:sz w:val="16"/>
              </w:rPr>
              <w:t>VAL-10</w:t>
            </w:r>
          </w:p>
        </w:tc>
        <w:tc>
          <w:tcPr>
            <w:tcW w:type="dxa" w:w="1984"/>
            <w:shd w:val="clear" w:color="auto" w:fill="F2F2F2"/>
          </w:tcPr>
          <w:p>
            <w:pPr>
              <w:ind w:left="85"/>
            </w:pPr>
            <w:r>
              <w:rPr>
                <w:rFonts w:ascii="Arial" w:hAnsi="Arial"/>
                <w:b w:val="0"/>
                <w:i w:val="0"/>
                <w:color w:val="000000"/>
                <w:sz w:val="16"/>
              </w:rPr>
              <w:t>Bloqueio de formulário após emissão</w:t>
            </w:r>
          </w:p>
        </w:tc>
        <w:tc>
          <w:tcPr>
            <w:tcW w:type="dxa" w:w="1984"/>
            <w:shd w:val="clear" w:color="auto" w:fill="F2F2F2"/>
          </w:tcPr>
          <w:p>
            <w:pPr>
              <w:ind w:left="85"/>
            </w:pPr>
            <w:r>
              <w:rPr>
                <w:rFonts w:ascii="Arial" w:hAnsi="Arial"/>
                <w:b w:val="0"/>
                <w:i w:val="0"/>
                <w:color w:val="000000"/>
                <w:sz w:val="16"/>
              </w:rPr>
              <w:t>Gerar relatório e tentar editar campos.</w:t>
            </w:r>
          </w:p>
        </w:tc>
        <w:tc>
          <w:tcPr>
            <w:tcW w:type="dxa" w:w="1984"/>
            <w:shd w:val="clear" w:color="auto" w:fill="F2F2F2"/>
          </w:tcPr>
          <w:p>
            <w:pPr>
              <w:ind w:left="85"/>
            </w:pPr>
            <w:r>
              <w:rPr>
                <w:rFonts w:ascii="Arial" w:hAnsi="Arial"/>
                <w:b w:val="0"/>
                <w:i w:val="0"/>
                <w:color w:val="000000"/>
                <w:sz w:val="16"/>
              </w:rPr>
              <w:t>Formulário bloqueado (banner laranja) após geração; campos não editáveis.</w:t>
            </w:r>
          </w:p>
        </w:tc>
        <w:tc>
          <w:tcPr>
            <w:tcW w:type="dxa" w:w="1984"/>
            <w:shd w:val="clear" w:color="auto" w:fill="F2F2F2"/>
          </w:tcPr>
          <w:p>
            <w:pPr>
              <w:ind w:left="85"/>
            </w:pPr>
            <w:r>
              <w:rPr>
                <w:rFonts w:ascii="Arial" w:hAnsi="Arial"/>
                <w:b w:val="0"/>
                <w:i w:val="0"/>
                <w:color w:val="1F3864"/>
                <w:sz w:val="16"/>
              </w:rPr>
              <w:t>APROVADO</w:t>
            </w:r>
          </w:p>
        </w:tc>
      </w:tr>
      <w:tr>
        <w:tc>
          <w:tcPr>
            <w:tcW w:type="dxa" w:w="1984"/>
            <w:shd w:val="clear" w:color="auto" w:fill="FFFFFF"/>
          </w:tcPr>
          <w:p>
            <w:pPr>
              <w:ind w:left="85"/>
            </w:pPr>
            <w:r>
              <w:rPr>
                <w:rFonts w:ascii="Arial" w:hAnsi="Arial"/>
                <w:b/>
                <w:i w:val="0"/>
                <w:color w:val="000000"/>
                <w:sz w:val="16"/>
              </w:rPr>
              <w:t>VAL-11</w:t>
            </w:r>
          </w:p>
        </w:tc>
        <w:tc>
          <w:tcPr>
            <w:tcW w:type="dxa" w:w="1984"/>
            <w:shd w:val="clear" w:color="auto" w:fill="FFFFFF"/>
          </w:tcPr>
          <w:p>
            <w:pPr>
              <w:ind w:left="85"/>
            </w:pPr>
            <w:r>
              <w:rPr>
                <w:rFonts w:ascii="Arial" w:hAnsi="Arial"/>
                <w:b w:val="0"/>
                <w:i w:val="0"/>
                <w:color w:val="000000"/>
                <w:sz w:val="16"/>
              </w:rPr>
              <w:t>Verificação de protocolo duplicado</w:t>
            </w:r>
          </w:p>
        </w:tc>
        <w:tc>
          <w:tcPr>
            <w:tcW w:type="dxa" w:w="1984"/>
            <w:shd w:val="clear" w:color="auto" w:fill="FFFFFF"/>
          </w:tcPr>
          <w:p>
            <w:pPr>
              <w:ind w:left="85"/>
            </w:pPr>
            <w:r>
              <w:rPr>
                <w:rFonts w:ascii="Arial" w:hAnsi="Arial"/>
                <w:b w:val="0"/>
                <w:i w:val="0"/>
                <w:color w:val="000000"/>
                <w:sz w:val="16"/>
              </w:rPr>
              <w:t>Tentar registrar protocolo já existente na planilha.</w:t>
            </w:r>
          </w:p>
        </w:tc>
        <w:tc>
          <w:tcPr>
            <w:tcW w:type="dxa" w:w="1984"/>
            <w:shd w:val="clear" w:color="auto" w:fill="FFFFFF"/>
          </w:tcPr>
          <w:p>
            <w:pPr>
              <w:ind w:left="85"/>
            </w:pPr>
            <w:r>
              <w:rPr>
                <w:rFonts w:ascii="Arial" w:hAnsi="Arial"/>
                <w:b w:val="0"/>
                <w:i w:val="0"/>
                <w:color w:val="000000"/>
                <w:sz w:val="16"/>
              </w:rPr>
              <w:t>Sistema exibe aviso de duplicata com número do relatório anterior; operador confirma ou cancela.</w:t>
            </w:r>
          </w:p>
        </w:tc>
        <w:tc>
          <w:tcPr>
            <w:tcW w:type="dxa" w:w="1984"/>
            <w:shd w:val="clear" w:color="auto" w:fill="FFFFFF"/>
          </w:tcPr>
          <w:p>
            <w:pPr>
              <w:ind w:left="85"/>
            </w:pPr>
            <w:r>
              <w:rPr>
                <w:rFonts w:ascii="Arial" w:hAnsi="Arial"/>
                <w:b w:val="0"/>
                <w:i w:val="0"/>
                <w:color w:val="1F3864"/>
                <w:sz w:val="16"/>
              </w:rPr>
              <w:t>APROVADO</w:t>
            </w:r>
          </w:p>
        </w:tc>
      </w:tr>
      <w:tr>
        <w:tc>
          <w:tcPr>
            <w:tcW w:type="dxa" w:w="1984"/>
            <w:shd w:val="clear" w:color="auto" w:fill="F2F2F2"/>
          </w:tcPr>
          <w:p>
            <w:pPr>
              <w:ind w:left="85"/>
            </w:pPr>
            <w:r>
              <w:rPr>
                <w:rFonts w:ascii="Arial" w:hAnsi="Arial"/>
                <w:b/>
                <w:i w:val="0"/>
                <w:color w:val="000000"/>
                <w:sz w:val="16"/>
              </w:rPr>
              <w:t>VAL-12</w:t>
            </w:r>
          </w:p>
        </w:tc>
        <w:tc>
          <w:tcPr>
            <w:tcW w:type="dxa" w:w="1984"/>
            <w:shd w:val="clear" w:color="auto" w:fill="F2F2F2"/>
          </w:tcPr>
          <w:p>
            <w:pPr>
              <w:ind w:left="85"/>
            </w:pPr>
            <w:r>
              <w:rPr>
                <w:rFonts w:ascii="Arial" w:hAnsi="Arial"/>
                <w:b w:val="0"/>
                <w:i w:val="0"/>
                <w:color w:val="000000"/>
                <w:sz w:val="16"/>
              </w:rPr>
              <w:t>Pré-carregamento da Agenda</w:t>
            </w:r>
          </w:p>
        </w:tc>
        <w:tc>
          <w:tcPr>
            <w:tcW w:type="dxa" w:w="1984"/>
            <w:shd w:val="clear" w:color="auto" w:fill="F2F2F2"/>
          </w:tcPr>
          <w:p>
            <w:pPr>
              <w:ind w:left="85"/>
            </w:pPr>
            <w:r>
              <w:rPr>
                <w:rFonts w:ascii="Arial" w:hAnsi="Arial"/>
                <w:b w:val="0"/>
                <w:i w:val="0"/>
                <w:color w:val="000000"/>
                <w:sz w:val="16"/>
              </w:rPr>
              <w:t>Cadastrar item na agenda e preencher protocolo no formulário.</w:t>
            </w:r>
          </w:p>
        </w:tc>
        <w:tc>
          <w:tcPr>
            <w:tcW w:type="dxa" w:w="1984"/>
            <w:shd w:val="clear" w:color="auto" w:fill="F2F2F2"/>
          </w:tcPr>
          <w:p>
            <w:pPr>
              <w:ind w:left="85"/>
            </w:pPr>
            <w:r>
              <w:rPr>
                <w:rFonts w:ascii="Arial" w:hAnsi="Arial"/>
                <w:b w:val="0"/>
                <w:i w:val="0"/>
                <w:color w:val="000000"/>
                <w:sz w:val="16"/>
              </w:rPr>
              <w:t>Dados do item (cliente, produto, fabricante, etc.) carregados automaticamente.</w:t>
            </w:r>
          </w:p>
        </w:tc>
        <w:tc>
          <w:tcPr>
            <w:tcW w:type="dxa" w:w="1984"/>
            <w:shd w:val="clear" w:color="auto" w:fill="F2F2F2"/>
          </w:tcPr>
          <w:p>
            <w:pPr>
              <w:ind w:left="85"/>
            </w:pPr>
            <w:r>
              <w:rPr>
                <w:rFonts w:ascii="Arial" w:hAnsi="Arial"/>
                <w:b w:val="0"/>
                <w:i w:val="0"/>
                <w:color w:val="1F3864"/>
                <w:sz w:val="16"/>
              </w:rPr>
              <w:t>APROVADO</w:t>
            </w:r>
          </w:p>
        </w:tc>
      </w:tr>
      <w:tr>
        <w:tc>
          <w:tcPr>
            <w:tcW w:type="dxa" w:w="1984"/>
            <w:shd w:val="clear" w:color="auto" w:fill="FFFFFF"/>
          </w:tcPr>
          <w:p>
            <w:pPr>
              <w:ind w:left="85"/>
            </w:pPr>
            <w:r>
              <w:rPr>
                <w:rFonts w:ascii="Arial" w:hAnsi="Arial"/>
                <w:b/>
                <w:i w:val="0"/>
                <w:color w:val="000000"/>
                <w:sz w:val="16"/>
              </w:rPr>
              <w:t>VAL-13</w:t>
            </w:r>
          </w:p>
        </w:tc>
        <w:tc>
          <w:tcPr>
            <w:tcW w:type="dxa" w:w="1984"/>
            <w:shd w:val="clear" w:color="auto" w:fill="FFFFFF"/>
          </w:tcPr>
          <w:p>
            <w:pPr>
              <w:ind w:left="85"/>
            </w:pPr>
            <w:r>
              <w:rPr>
                <w:rFonts w:ascii="Arial" w:hAnsi="Arial"/>
                <w:b w:val="0"/>
                <w:i w:val="0"/>
                <w:color w:val="000000"/>
                <w:sz w:val="16"/>
              </w:rPr>
              <w:t>Emissão em lote</w:t>
            </w:r>
          </w:p>
        </w:tc>
        <w:tc>
          <w:tcPr>
            <w:tcW w:type="dxa" w:w="1984"/>
            <w:shd w:val="clear" w:color="auto" w:fill="FFFFFF"/>
          </w:tcPr>
          <w:p>
            <w:pPr>
              <w:ind w:left="85"/>
            </w:pPr>
            <w:r>
              <w:rPr>
                <w:rFonts w:ascii="Arial" w:hAnsi="Arial"/>
                <w:b w:val="0"/>
                <w:i w:val="0"/>
                <w:color w:val="000000"/>
                <w:sz w:val="16"/>
              </w:rPr>
              <w:t>Gerar lote com 3 amostras de mesmo cliente.</w:t>
            </w:r>
          </w:p>
        </w:tc>
        <w:tc>
          <w:tcPr>
            <w:tcW w:type="dxa" w:w="1984"/>
            <w:shd w:val="clear" w:color="auto" w:fill="FFFFFF"/>
          </w:tcPr>
          <w:p>
            <w:pPr>
              <w:ind w:left="85"/>
            </w:pPr>
            <w:r>
              <w:rPr>
                <w:rFonts w:ascii="Arial" w:hAnsi="Arial"/>
                <w:b w:val="0"/>
                <w:i w:val="0"/>
                <w:color w:val="000000"/>
                <w:sz w:val="16"/>
              </w:rPr>
              <w:t>Três relatórios gerados com numeração sequencial e registro correto na planilha.</w:t>
            </w:r>
          </w:p>
        </w:tc>
        <w:tc>
          <w:tcPr>
            <w:tcW w:type="dxa" w:w="1984"/>
            <w:shd w:val="clear" w:color="auto" w:fill="FFFFFF"/>
          </w:tcPr>
          <w:p>
            <w:pPr>
              <w:ind w:left="85"/>
            </w:pPr>
            <w:r>
              <w:rPr>
                <w:rFonts w:ascii="Arial" w:hAnsi="Arial"/>
                <w:b w:val="0"/>
                <w:i w:val="0"/>
                <w:color w:val="1F3864"/>
                <w:sz w:val="16"/>
              </w:rPr>
              <w:t>APROVADO</w:t>
            </w:r>
          </w:p>
        </w:tc>
      </w:tr>
      <w:tr>
        <w:tc>
          <w:tcPr>
            <w:tcW w:type="dxa" w:w="1984"/>
            <w:shd w:val="clear" w:color="auto" w:fill="F2F2F2"/>
          </w:tcPr>
          <w:p>
            <w:pPr>
              <w:ind w:left="85"/>
            </w:pPr>
            <w:r>
              <w:rPr>
                <w:rFonts w:ascii="Arial" w:hAnsi="Arial"/>
                <w:b/>
                <w:i w:val="0"/>
                <w:color w:val="000000"/>
                <w:sz w:val="16"/>
              </w:rPr>
              <w:t>VAL-14</w:t>
            </w:r>
          </w:p>
        </w:tc>
        <w:tc>
          <w:tcPr>
            <w:tcW w:type="dxa" w:w="1984"/>
            <w:shd w:val="clear" w:color="auto" w:fill="F2F2F2"/>
          </w:tcPr>
          <w:p>
            <w:pPr>
              <w:ind w:left="85"/>
            </w:pPr>
            <w:r>
              <w:rPr>
                <w:rFonts w:ascii="Arial" w:hAnsi="Arial"/>
                <w:b w:val="0"/>
                <w:i w:val="0"/>
                <w:color w:val="000000"/>
                <w:sz w:val="16"/>
              </w:rPr>
              <w:t>Cópia automática de PDF</w:t>
            </w:r>
          </w:p>
        </w:tc>
        <w:tc>
          <w:tcPr>
            <w:tcW w:type="dxa" w:w="1984"/>
            <w:shd w:val="clear" w:color="auto" w:fill="F2F2F2"/>
          </w:tcPr>
          <w:p>
            <w:pPr>
              <w:ind w:left="85"/>
            </w:pPr>
            <w:r>
              <w:rPr>
                <w:rFonts w:ascii="Arial" w:hAnsi="Arial"/>
                <w:b w:val="0"/>
                <w:i w:val="0"/>
                <w:color w:val="000000"/>
                <w:sz w:val="16"/>
              </w:rPr>
              <w:t>Gerar relatório com pasta de cópias configurada.</w:t>
            </w:r>
          </w:p>
        </w:tc>
        <w:tc>
          <w:tcPr>
            <w:tcW w:type="dxa" w:w="1984"/>
            <w:shd w:val="clear" w:color="auto" w:fill="F2F2F2"/>
          </w:tcPr>
          <w:p>
            <w:pPr>
              <w:ind w:left="85"/>
            </w:pPr>
            <w:r>
              <w:rPr>
                <w:rFonts w:ascii="Arial" w:hAnsi="Arial"/>
                <w:b w:val="0"/>
                <w:i w:val="0"/>
                <w:color w:val="000000"/>
                <w:sz w:val="16"/>
              </w:rPr>
              <w:t>Cópia do PDF salva automaticamente na pasta configurada.</w:t>
            </w:r>
          </w:p>
        </w:tc>
        <w:tc>
          <w:tcPr>
            <w:tcW w:type="dxa" w:w="1984"/>
            <w:shd w:val="clear" w:color="auto" w:fill="F2F2F2"/>
          </w:tcPr>
          <w:p>
            <w:pPr>
              <w:ind w:left="85"/>
            </w:pPr>
            <w:r>
              <w:rPr>
                <w:rFonts w:ascii="Arial" w:hAnsi="Arial"/>
                <w:b w:val="0"/>
                <w:i w:val="0"/>
                <w:color w:val="1F3864"/>
                <w:sz w:val="16"/>
              </w:rPr>
              <w:t>APROVADO</w:t>
            </w:r>
          </w:p>
        </w:tc>
      </w:tr>
      <w:tr>
        <w:tc>
          <w:tcPr>
            <w:tcW w:type="dxa" w:w="1984"/>
            <w:shd w:val="clear" w:color="auto" w:fill="FFFFFF"/>
          </w:tcPr>
          <w:p>
            <w:pPr>
              <w:ind w:left="85"/>
            </w:pPr>
            <w:r>
              <w:rPr>
                <w:rFonts w:ascii="Arial" w:hAnsi="Arial"/>
                <w:b/>
                <w:i w:val="0"/>
                <w:color w:val="000000"/>
                <w:sz w:val="16"/>
              </w:rPr>
              <w:t>VAL-15</w:t>
            </w:r>
          </w:p>
        </w:tc>
        <w:tc>
          <w:tcPr>
            <w:tcW w:type="dxa" w:w="1984"/>
            <w:shd w:val="clear" w:color="auto" w:fill="FFFFFF"/>
          </w:tcPr>
          <w:p>
            <w:pPr>
              <w:ind w:left="85"/>
            </w:pPr>
            <w:r>
              <w:rPr>
                <w:rFonts w:ascii="Arial" w:hAnsi="Arial"/>
                <w:b w:val="0"/>
                <w:i w:val="0"/>
                <w:color w:val="000000"/>
                <w:sz w:val="16"/>
              </w:rPr>
              <w:t>Integridade do banco de clientes</w:t>
            </w:r>
          </w:p>
        </w:tc>
        <w:tc>
          <w:tcPr>
            <w:tcW w:type="dxa" w:w="1984"/>
            <w:shd w:val="clear" w:color="auto" w:fill="FFFFFF"/>
          </w:tcPr>
          <w:p>
            <w:pPr>
              <w:ind w:left="85"/>
            </w:pPr>
            <w:r>
              <w:rPr>
                <w:rFonts w:ascii="Arial" w:hAnsi="Arial"/>
                <w:b w:val="0"/>
                <w:i w:val="0"/>
                <w:color w:val="000000"/>
                <w:sz w:val="16"/>
              </w:rPr>
              <w:t>Cadastrar, editar e excluir clientes; verificar persistência na pasta de rede.</w:t>
            </w:r>
          </w:p>
        </w:tc>
        <w:tc>
          <w:tcPr>
            <w:tcW w:type="dxa" w:w="1984"/>
            <w:shd w:val="clear" w:color="auto" w:fill="FFFFFF"/>
          </w:tcPr>
          <w:p>
            <w:pPr>
              <w:ind w:left="85"/>
            </w:pPr>
            <w:r>
              <w:rPr>
                <w:rFonts w:ascii="Arial" w:hAnsi="Arial"/>
                <w:b w:val="0"/>
                <w:i w:val="0"/>
                <w:color w:val="000000"/>
                <w:sz w:val="16"/>
              </w:rPr>
              <w:t>Dados de clientes atualizados corretamente no JSON compartilhado.</w:t>
            </w:r>
          </w:p>
        </w:tc>
        <w:tc>
          <w:tcPr>
            <w:tcW w:type="dxa" w:w="1984"/>
            <w:shd w:val="clear" w:color="auto" w:fill="FFFFFF"/>
          </w:tcPr>
          <w:p>
            <w:pPr>
              <w:ind w:left="85"/>
            </w:pPr>
            <w:r>
              <w:rPr>
                <w:rFonts w:ascii="Arial" w:hAnsi="Arial"/>
                <w:b w:val="0"/>
                <w:i w:val="0"/>
                <w:color w:val="1F3864"/>
                <w:sz w:val="16"/>
              </w:rPr>
              <w:t>APROVADO</w:t>
            </w:r>
          </w:p>
        </w:tc>
      </w:tr>
    </w:tbl>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14. Arquitetura de Armazenamento de Dados</w:t>
            </w:r>
          </w:p>
        </w:tc>
      </w:tr>
    </w:tbl>
    <w:p>
      <w:pPr>
        <w:spacing w:before="40" w:after="40"/>
        <w:jc w:val="both"/>
      </w:pPr>
      <w:r>
        <w:rPr>
          <w:rFonts w:ascii="Arial" w:hAnsi="Arial"/>
          <w:b w:val="0"/>
          <w:i w:val="0"/>
          <w:sz w:val="22"/>
        </w:rPr>
        <w:t>O sistema utiliza uma arquitetura híbrida de armazenamento, combinando armazenamento local (localStorage do Electron / navegador) com arquivos JSON em pasta de rede compartilhada:</w:t>
      </w:r>
    </w:p>
    <w:tbl>
      <w:tblPr>
        <w:tblStyle w:val="TableGrid"/>
        <w:tblW w:type="auto" w:w="0"/>
        <w:tblLook w:firstColumn="1" w:firstRow="1" w:lastColumn="0" w:lastRow="0" w:noHBand="0" w:noVBand="1" w:val="04A0"/>
      </w:tblPr>
      <w:tblGrid>
        <w:gridCol w:w="3307"/>
        <w:gridCol w:w="3307"/>
        <w:gridCol w:w="3307"/>
      </w:tblGrid>
      <w:tr>
        <w:tc>
          <w:tcPr>
            <w:tcW w:type="dxa" w:w="3307"/>
            <w:shd w:val="clear" w:color="auto" w:fill="1F3864"/>
          </w:tcPr>
          <w:p>
            <w:pPr>
              <w:ind w:left="113"/>
            </w:pPr>
            <w:r>
              <w:rPr>
                <w:rFonts w:ascii="Arial" w:hAnsi="Arial"/>
                <w:b/>
                <w:i w:val="0"/>
                <w:color w:val="FFFFFF"/>
                <w:sz w:val="19"/>
              </w:rPr>
              <w:t>Arquivo / Local</w:t>
            </w:r>
          </w:p>
        </w:tc>
        <w:tc>
          <w:tcPr>
            <w:tcW w:type="dxa" w:w="3307"/>
            <w:shd w:val="clear" w:color="auto" w:fill="1F3864"/>
          </w:tcPr>
          <w:p>
            <w:pPr>
              <w:ind w:left="113"/>
            </w:pPr>
            <w:r>
              <w:rPr>
                <w:rFonts w:ascii="Arial" w:hAnsi="Arial"/>
                <w:b/>
                <w:i w:val="0"/>
                <w:color w:val="FFFFFF"/>
                <w:sz w:val="19"/>
              </w:rPr>
              <w:t>Localização</w:t>
            </w:r>
          </w:p>
        </w:tc>
        <w:tc>
          <w:tcPr>
            <w:tcW w:type="dxa" w:w="3307"/>
            <w:shd w:val="clear" w:color="auto" w:fill="1F3864"/>
          </w:tcPr>
          <w:p>
            <w:pPr>
              <w:ind w:left="113"/>
            </w:pPr>
            <w:r>
              <w:rPr>
                <w:rFonts w:ascii="Arial" w:hAnsi="Arial"/>
                <w:b/>
                <w:i w:val="0"/>
                <w:color w:val="FFFFFF"/>
                <w:sz w:val="19"/>
              </w:rPr>
              <w:t>Conteúdo</w:t>
            </w:r>
          </w:p>
        </w:tc>
      </w:tr>
      <w:tr>
        <w:tc>
          <w:tcPr>
            <w:tcW w:type="dxa" w:w="3307"/>
            <w:shd w:val="clear" w:color="auto" w:fill="FFFFFF"/>
          </w:tcPr>
          <w:p>
            <w:pPr>
              <w:ind w:left="113"/>
            </w:pPr>
            <w:r>
              <w:rPr>
                <w:rFonts w:ascii="Arial" w:hAnsi="Arial"/>
                <w:b/>
                <w:i w:val="0"/>
                <w:sz w:val="18"/>
              </w:rPr>
              <w:t>settings.json</w:t>
            </w:r>
          </w:p>
        </w:tc>
        <w:tc>
          <w:tcPr>
            <w:tcW w:type="dxa" w:w="3307"/>
            <w:shd w:val="clear" w:color="auto" w:fill="FFFFFF"/>
          </w:tcPr>
          <w:p>
            <w:pPr>
              <w:ind w:left="113"/>
            </w:pPr>
            <w:r>
              <w:rPr>
                <w:rFonts w:ascii="Arial" w:hAnsi="Arial"/>
                <w:b w:val="0"/>
                <w:i w:val="0"/>
                <w:sz w:val="18"/>
              </w:rPr>
              <w:t>%AppData%\CISPR15-LABELO\</w:t>
            </w:r>
          </w:p>
        </w:tc>
        <w:tc>
          <w:tcPr>
            <w:tcW w:type="dxa" w:w="3307"/>
            <w:shd w:val="clear" w:color="auto" w:fill="FFFFFF"/>
          </w:tcPr>
          <w:p>
            <w:pPr>
              <w:ind w:left="113"/>
            </w:pPr>
            <w:r>
              <w:rPr>
                <w:rFonts w:ascii="Arial" w:hAnsi="Arial"/>
                <w:b w:val="0"/>
                <w:i w:val="0"/>
                <w:sz w:val="18"/>
              </w:rPr>
              <w:t>Configurações do sistema (caminhos, senha). Local por computador.</w:t>
            </w:r>
          </w:p>
        </w:tc>
      </w:tr>
      <w:tr>
        <w:tc>
          <w:tcPr>
            <w:tcW w:type="dxa" w:w="3307"/>
            <w:shd w:val="clear" w:color="auto" w:fill="F2F2F2"/>
          </w:tcPr>
          <w:p>
            <w:pPr>
              <w:ind w:left="113"/>
            </w:pPr>
            <w:r>
              <w:rPr>
                <w:rFonts w:ascii="Arial" w:hAnsi="Arial"/>
                <w:b/>
                <w:i w:val="0"/>
                <w:sz w:val="18"/>
              </w:rPr>
              <w:t>cispr15_clientes.json</w:t>
            </w:r>
          </w:p>
        </w:tc>
        <w:tc>
          <w:tcPr>
            <w:tcW w:type="dxa" w:w="3307"/>
            <w:shd w:val="clear" w:color="auto" w:fill="F2F2F2"/>
          </w:tcPr>
          <w:p>
            <w:pPr>
              <w:ind w:left="113"/>
            </w:pPr>
            <w:r>
              <w:rPr>
                <w:rFonts w:ascii="Arial" w:hAnsi="Arial"/>
                <w:b w:val="0"/>
                <w:i w:val="0"/>
                <w:sz w:val="18"/>
              </w:rPr>
              <w:t>Pasta de rede configurada</w:t>
            </w:r>
          </w:p>
        </w:tc>
        <w:tc>
          <w:tcPr>
            <w:tcW w:type="dxa" w:w="3307"/>
            <w:shd w:val="clear" w:color="auto" w:fill="F2F2F2"/>
          </w:tcPr>
          <w:p>
            <w:pPr>
              <w:ind w:left="113"/>
            </w:pPr>
            <w:r>
              <w:rPr>
                <w:rFonts w:ascii="Arial" w:hAnsi="Arial"/>
                <w:b w:val="0"/>
                <w:i w:val="0"/>
                <w:sz w:val="18"/>
              </w:rPr>
              <w:t>Banco de dados de clientes. Compartilhado entre todos os PCs.</w:t>
            </w:r>
          </w:p>
        </w:tc>
      </w:tr>
      <w:tr>
        <w:tc>
          <w:tcPr>
            <w:tcW w:type="dxa" w:w="3307"/>
            <w:shd w:val="clear" w:color="auto" w:fill="FFFFFF"/>
          </w:tcPr>
          <w:p>
            <w:pPr>
              <w:ind w:left="113"/>
            </w:pPr>
            <w:r>
              <w:rPr>
                <w:rFonts w:ascii="Arial" w:hAnsi="Arial"/>
                <w:b/>
                <w:i w:val="0"/>
                <w:sz w:val="18"/>
              </w:rPr>
              <w:t>cispr15_relatorios.json</w:t>
            </w:r>
          </w:p>
        </w:tc>
        <w:tc>
          <w:tcPr>
            <w:tcW w:type="dxa" w:w="3307"/>
            <w:shd w:val="clear" w:color="auto" w:fill="FFFFFF"/>
          </w:tcPr>
          <w:p>
            <w:pPr>
              <w:ind w:left="113"/>
            </w:pPr>
            <w:r>
              <w:rPr>
                <w:rFonts w:ascii="Arial" w:hAnsi="Arial"/>
                <w:b w:val="0"/>
                <w:i w:val="0"/>
                <w:sz w:val="18"/>
              </w:rPr>
              <w:t>Pasta de rede configurada</w:t>
            </w:r>
          </w:p>
        </w:tc>
        <w:tc>
          <w:tcPr>
            <w:tcW w:type="dxa" w:w="3307"/>
            <w:shd w:val="clear" w:color="auto" w:fill="FFFFFF"/>
          </w:tcPr>
          <w:p>
            <w:pPr>
              <w:ind w:left="113"/>
            </w:pPr>
            <w:r>
              <w:rPr>
                <w:rFonts w:ascii="Arial" w:hAnsi="Arial"/>
                <w:b w:val="0"/>
                <w:i w:val="0"/>
                <w:sz w:val="18"/>
              </w:rPr>
              <w:t>Metadados de relatórios (sem fotos e sem HTML do docx). Compartilhado.</w:t>
            </w:r>
          </w:p>
        </w:tc>
      </w:tr>
      <w:tr>
        <w:tc>
          <w:tcPr>
            <w:tcW w:type="dxa" w:w="3307"/>
            <w:shd w:val="clear" w:color="auto" w:fill="F2F2F2"/>
          </w:tcPr>
          <w:p>
            <w:pPr>
              <w:ind w:left="113"/>
            </w:pPr>
            <w:r>
              <w:rPr>
                <w:rFonts w:ascii="Arial" w:hAnsi="Arial"/>
                <w:b/>
                <w:i w:val="0"/>
                <w:sz w:val="18"/>
              </w:rPr>
              <w:t>cispr15_agenda.json</w:t>
            </w:r>
          </w:p>
        </w:tc>
        <w:tc>
          <w:tcPr>
            <w:tcW w:type="dxa" w:w="3307"/>
            <w:shd w:val="clear" w:color="auto" w:fill="F2F2F2"/>
          </w:tcPr>
          <w:p>
            <w:pPr>
              <w:ind w:left="113"/>
            </w:pPr>
            <w:r>
              <w:rPr>
                <w:rFonts w:ascii="Arial" w:hAnsi="Arial"/>
                <w:b w:val="0"/>
                <w:i w:val="0"/>
                <w:sz w:val="18"/>
              </w:rPr>
              <w:t>Pasta da agenda configurada</w:t>
            </w:r>
          </w:p>
        </w:tc>
        <w:tc>
          <w:tcPr>
            <w:tcW w:type="dxa" w:w="3307"/>
            <w:shd w:val="clear" w:color="auto" w:fill="F2F2F2"/>
          </w:tcPr>
          <w:p>
            <w:pPr>
              <w:ind w:left="113"/>
            </w:pPr>
            <w:r>
              <w:rPr>
                <w:rFonts w:ascii="Arial" w:hAnsi="Arial"/>
                <w:b w:val="0"/>
                <w:i w:val="0"/>
                <w:sz w:val="18"/>
              </w:rPr>
              <w:t>Itens da agenda de execução. Compartilhado.</w:t>
            </w:r>
          </w:p>
        </w:tc>
      </w:tr>
      <w:tr>
        <w:tc>
          <w:tcPr>
            <w:tcW w:type="dxa" w:w="3307"/>
            <w:shd w:val="clear" w:color="auto" w:fill="FFFFFF"/>
          </w:tcPr>
          <w:p>
            <w:pPr>
              <w:ind w:left="113"/>
            </w:pPr>
            <w:r>
              <w:rPr>
                <w:rFonts w:ascii="Arial" w:hAnsi="Arial"/>
                <w:b/>
                <w:i w:val="0"/>
                <w:sz w:val="18"/>
              </w:rPr>
              <w:t>localStorage</w:t>
            </w:r>
          </w:p>
        </w:tc>
        <w:tc>
          <w:tcPr>
            <w:tcW w:type="dxa" w:w="3307"/>
            <w:shd w:val="clear" w:color="auto" w:fill="FFFFFF"/>
          </w:tcPr>
          <w:p>
            <w:pPr>
              <w:ind w:left="113"/>
            </w:pPr>
            <w:r>
              <w:rPr>
                <w:rFonts w:ascii="Arial" w:hAnsi="Arial"/>
                <w:b w:val="0"/>
                <w:i w:val="0"/>
                <w:sz w:val="18"/>
              </w:rPr>
              <w:t>Computador local</w:t>
            </w:r>
          </w:p>
        </w:tc>
        <w:tc>
          <w:tcPr>
            <w:tcW w:type="dxa" w:w="3307"/>
            <w:shd w:val="clear" w:color="auto" w:fill="FFFFFF"/>
          </w:tcPr>
          <w:p>
            <w:pPr>
              <w:ind w:left="113"/>
            </w:pPr>
            <w:r>
              <w:rPr>
                <w:rFonts w:ascii="Arial" w:hAnsi="Arial"/>
                <w:b w:val="0"/>
                <w:i w:val="0"/>
                <w:sz w:val="18"/>
              </w:rPr>
              <w:t>Formulário atual (cfg), fotos (base64), HTML do docx, histórico local completo.</w:t>
            </w:r>
          </w:p>
        </w:tc>
      </w:tr>
      <w:tr>
        <w:tc>
          <w:tcPr>
            <w:tcW w:type="dxa" w:w="3307"/>
            <w:shd w:val="clear" w:color="auto" w:fill="F2F2F2"/>
          </w:tcPr>
          <w:p>
            <w:pPr>
              <w:ind w:left="113"/>
            </w:pPr>
            <w:r>
              <w:rPr>
                <w:rFonts w:ascii="Arial" w:hAnsi="Arial"/>
                <w:b/>
                <w:i w:val="0"/>
                <w:sz w:val="18"/>
              </w:rPr>
              <w:t>[numRelatorio]_tipo_fab.pdf</w:t>
            </w:r>
          </w:p>
        </w:tc>
        <w:tc>
          <w:tcPr>
            <w:tcW w:type="dxa" w:w="3307"/>
            <w:shd w:val="clear" w:color="auto" w:fill="F2F2F2"/>
          </w:tcPr>
          <w:p>
            <w:pPr>
              <w:ind w:left="113"/>
            </w:pPr>
            <w:r>
              <w:rPr>
                <w:rFonts w:ascii="Arial" w:hAnsi="Arial"/>
                <w:b w:val="0"/>
                <w:i w:val="0"/>
                <w:sz w:val="18"/>
              </w:rPr>
              <w:t>Pasta da EUT + Pasta cópias</w:t>
            </w:r>
          </w:p>
        </w:tc>
        <w:tc>
          <w:tcPr>
            <w:tcW w:type="dxa" w:w="3307"/>
            <w:shd w:val="clear" w:color="auto" w:fill="F2F2F2"/>
          </w:tcPr>
          <w:p>
            <w:pPr>
              <w:ind w:left="113"/>
            </w:pPr>
            <w:r>
              <w:rPr>
                <w:rFonts w:ascii="Arial" w:hAnsi="Arial"/>
                <w:b w:val="0"/>
                <w:i w:val="0"/>
                <w:sz w:val="18"/>
              </w:rPr>
              <w:t>PDF do relatório. Salvo na pasta do ensaio e copiado para pasta de cópias.</w:t>
            </w:r>
          </w:p>
        </w:tc>
      </w:tr>
    </w:tbl>
    <w:p/>
    <w:p>
      <w:r>
        <w:br w:type="page"/>
      </w:r>
    </w:p>
    <w:tbl>
      <w:tblPr>
        <w:tblW w:type="auto" w:w="0"/>
        <w:jc w:val="left"/>
        <w:tblLook w:firstColumn="1" w:firstRow="1" w:lastColumn="0" w:lastRow="0" w:noHBand="0" w:noVBand="1" w:val="04A0"/>
      </w:tblPr>
      <w:tblGrid>
        <w:gridCol w:w="9922"/>
      </w:tblGrid>
      <w:tr>
        <w:tc>
          <w:tcPr>
            <w:tcW w:type="dxa" w:w="9922"/>
            <w:shd w:val="clear" w:color="auto" w:fill="1F3864"/>
          </w:tcPr>
          <w:p>
            <w:pPr>
              <w:spacing w:before="40" w:after="40"/>
              <w:ind w:left="170"/>
            </w:pPr>
            <w:r>
              <w:rPr>
                <w:rFonts w:ascii="Arial" w:hAnsi="Arial"/>
                <w:b/>
                <w:color w:val="FFFFFF"/>
                <w:sz w:val="23"/>
              </w:rPr>
              <w:t>15. Declaração de Validação e Assinaturas</w:t>
            </w:r>
          </w:p>
        </w:tc>
      </w:tr>
    </w:tbl>
    <w:p>
      <w:pPr>
        <w:spacing w:before="40" w:after="40"/>
        <w:jc w:val="both"/>
      </w:pPr>
      <w:r>
        <w:rPr>
          <w:rFonts w:ascii="Arial" w:hAnsi="Arial"/>
          <w:b w:val="0"/>
          <w:i w:val="0"/>
          <w:sz w:val="22"/>
        </w:rPr>
        <w:t>Com base nos testes realizados e documentados neste manual, declara-se que o software CISPR 15 LABELO atende aos requisitos operacionais do laboratório e está em conformidade com os critérios de validação de software estabelecidos pela ABNT NBR ISO/IEC 17025:2017, sendo adequado para uso na geração de relatórios de ensaio de compatibilidade eletromagnética conforme a norma NBR IEC/CISPR 15/2014.</w:t>
      </w:r>
    </w:p>
    <w:p>
      <w:pPr>
        <w:spacing w:before="200" w:after="200"/>
      </w:pPr>
      <w:r>
        <w:rPr>
          <w:rFonts w:ascii="Arial" w:hAnsi="Arial"/>
          <w:b w:val="0"/>
          <w:i w:val="0"/>
          <w:sz w:val="22"/>
        </w:rPr>
        <w:t>Porto Alegre, 20/05/2026.</w:t>
      </w:r>
    </w:p>
    <w:tbl>
      <w:tblPr>
        <w:tblW w:type="auto" w:w="0"/>
        <w:jc w:val="center"/>
        <w:tblLook w:firstColumn="1" w:firstRow="1" w:lastColumn="0" w:lastRow="0" w:noHBand="0" w:noVBand="1" w:val="04A0"/>
      </w:tblPr>
      <w:tblGrid>
        <w:gridCol w:w="3307"/>
        <w:gridCol w:w="3307"/>
        <w:gridCol w:w="3307"/>
      </w:tblGrid>
      <w:tr>
        <w:tc>
          <w:tcPr>
            <w:tcW w:type="dxa" w:w="3307"/>
            <w:shd w:val="clear" w:color="auto" w:fill="1F3864"/>
          </w:tcPr>
          <w:p>
            <w:pPr>
              <w:jc w:val="center"/>
            </w:pPr>
            <w:r>
              <w:rPr>
                <w:rFonts w:ascii="Arial" w:hAnsi="Arial"/>
                <w:b/>
                <w:i w:val="0"/>
                <w:color w:val="FFFFFF"/>
                <w:sz w:val="18"/>
              </w:rPr>
              <w:t>Elaborado por</w:t>
            </w:r>
          </w:p>
        </w:tc>
        <w:tc>
          <w:tcPr>
            <w:tcW w:type="dxa" w:w="3307"/>
            <w:shd w:val="clear" w:color="auto" w:fill="1F3864"/>
          </w:tcPr>
          <w:p>
            <w:pPr>
              <w:jc w:val="center"/>
            </w:pPr>
            <w:r>
              <w:rPr>
                <w:rFonts w:ascii="Arial" w:hAnsi="Arial"/>
                <w:b/>
                <w:i w:val="0"/>
                <w:color w:val="FFFFFF"/>
                <w:sz w:val="18"/>
              </w:rPr>
              <w:t>Revisado por</w:t>
            </w:r>
          </w:p>
        </w:tc>
        <w:tc>
          <w:tcPr>
            <w:tcW w:type="dxa" w:w="3307"/>
            <w:shd w:val="clear" w:color="auto" w:fill="1F3864"/>
          </w:tcPr>
          <w:p>
            <w:pPr>
              <w:jc w:val="center"/>
            </w:pPr>
            <w:r>
              <w:rPr>
                <w:rFonts w:ascii="Arial" w:hAnsi="Arial"/>
                <w:b/>
                <w:i w:val="0"/>
                <w:color w:val="FFFFFF"/>
                <w:sz w:val="18"/>
              </w:rPr>
              <w:t>Aprovado por</w:t>
            </w:r>
          </w:p>
        </w:tc>
      </w:tr>
      <w:tr>
        <w:tc>
          <w:tcPr>
            <w:tcW w:type="dxa" w:w="3307"/>
          </w:tcPr>
          <w:p>
            <w:pPr>
              <w:spacing w:before="400" w:after="80"/>
              <w:jc w:val="center"/>
            </w:pPr>
            <w:r>
              <w:rPr>
                <w:rFonts w:ascii="Arial" w:hAnsi="Arial"/>
                <w:b w:val="0"/>
                <w:i w:val="0"/>
                <w:sz w:val="18"/>
              </w:rPr>
              <w:t>Dionata Rafael Blauth</w:t>
              <w:br/>
              <w:t>da Paixão Nunes</w:t>
            </w:r>
          </w:p>
        </w:tc>
        <w:tc>
          <w:tcPr>
            <w:tcW w:type="dxa" w:w="3307"/>
          </w:tcPr>
          <w:p>
            <w:pPr>
              <w:spacing w:before="400" w:after="80"/>
              <w:jc w:val="center"/>
            </w:pPr>
            <w:r>
              <w:rPr>
                <w:rFonts w:ascii="Arial" w:hAnsi="Arial"/>
                <w:b w:val="0"/>
                <w:i w:val="0"/>
                <w:sz w:val="18"/>
              </w:rPr>
              <w:t>Jonathan Culau</w:t>
            </w:r>
          </w:p>
        </w:tc>
        <w:tc>
          <w:tcPr>
            <w:tcW w:type="dxa" w:w="3307"/>
          </w:tcPr>
          <w:p>
            <w:pPr>
              <w:spacing w:before="400" w:after="80"/>
              <w:jc w:val="center"/>
            </w:pPr>
            <w:r>
              <w:rPr>
                <w:rFonts w:ascii="Arial" w:hAnsi="Arial"/>
                <w:b w:val="0"/>
                <w:i w:val="0"/>
                <w:sz w:val="18"/>
              </w:rPr>
              <w:t>Laboratório</w:t>
              <w:br/>
              <w:t>LABELO-PUCRS</w:t>
            </w:r>
          </w:p>
        </w:tc>
      </w:tr>
    </w:tbl>
    <w:p/>
    <w:sectPr w:rsidR="00FC693F" w:rsidRPr="0006063C" w:rsidSect="00034616">
      <w:headerReference w:type="default" r:id="rId9"/>
      <w:footerReference w:type="default" r:id="rId10"/>
      <w:pgSz w:w="11906" w:h="16838"/>
      <w:pgMar w:top="1417" w:right="850" w:bottom="1134" w:left="113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Pr>
    <w:tblGrid>
      <w:gridCol w:w="3477"/>
      <w:gridCol w:w="3477"/>
      <w:gridCol w:w="3477"/>
    </w:tblGrid>
    <w:tr>
      <w:tc>
        <w:tcPr>
          <w:tcW w:type="dxa" w:w="1417"/>
          <w:shd w:val="clear" w:color="auto" w:fill="F2F2F2"/>
        </w:tcPr>
        <w:p>
          <w:pPr>
            <w:spacing w:before="60"/>
            <w:ind w:left="113"/>
          </w:pPr>
          <w:r>
            <w:rPr>
              <w:rFonts w:ascii="Arial" w:hAnsi="Arial"/>
              <w:b/>
              <w:color w:val="000000"/>
              <w:sz w:val="14"/>
            </w:rPr>
            <w:t>LABELO</w:t>
            <w:br/>
            <w:t>PUCRS</w:t>
          </w:r>
        </w:p>
      </w:tc>
      <w:tc>
        <w:tcPr>
          <w:tcW w:type="dxa" w:w="7597"/>
          <w:shd w:val="clear" w:color="auto" w:fill="F2F2F2"/>
        </w:tcPr>
        <w:p>
          <w:pPr>
            <w:spacing w:before="60"/>
            <w:jc w:val="center"/>
          </w:pPr>
          <w:r>
            <w:rPr>
              <w:rFonts w:ascii="Arial" w:hAnsi="Arial"/>
              <w:color w:val="000000"/>
              <w:sz w:val="13"/>
            </w:rPr>
            <w:t>Av. Ipiranga n° 6681, Prédio 30 Bloco A, Sala 210 – Partenon · CEP 90619-900 – Porto Alegre – RS – Brasil</w:t>
            <w:br/>
            <w:t>Tel.: (51) 3320 3551 · labelo@pucrs.br · www.labelo.com.br</w:t>
          </w:r>
        </w:p>
      </w:tc>
      <w:tc>
        <w:tcPr>
          <w:tcW w:type="dxa" w:w="1417"/>
          <w:shd w:val="clear" w:color="auto" w:fill="F2F2F2"/>
        </w:tcPr>
        <w:p>
          <w:pPr>
            <w:spacing w:before="60"/>
            <w:ind w:right="113"/>
            <w:jc w:val="right"/>
          </w:pPr>
          <w:r>
            <w:rPr>
              <w:rFonts w:ascii="Arial" w:hAnsi="Arial"/>
              <w:color w:val="000000"/>
              <w:sz w:val="13"/>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Pr>
    <w:tblGrid>
      <w:gridCol w:w="3477"/>
      <w:gridCol w:w="3477"/>
      <w:gridCol w:w="3477"/>
    </w:tblGrid>
    <w:tr>
      <w:tc>
        <w:tcPr>
          <w:tcW w:type="dxa" w:w="1247"/>
          <w:shd w:val="clear" w:color="auto" w:fill="1F3864"/>
        </w:tcPr>
        <w:p>
          <w:pPr>
            <w:spacing w:before="60" w:after="60"/>
            <w:jc w:val="center"/>
          </w:pPr>
          <w:r>
            <w:drawing>
              <wp:inline xmlns:a="http://schemas.openxmlformats.org/drawingml/2006/main" xmlns:pic="http://schemas.openxmlformats.org/drawingml/2006/picture">
                <wp:extent cx="192649" cy="324000"/>
                <wp:docPr id="1" name="Picture 1"/>
                <wp:cNvGraphicFramePr>
                  <a:graphicFrameLocks noChangeAspect="1"/>
                </wp:cNvGraphicFramePr>
                <a:graphic>
                  <a:graphicData uri="http://schemas.openxmlformats.org/drawingml/2006/picture">
                    <pic:pic>
                      <pic:nvPicPr>
                        <pic:cNvPr id="0" name="pucrs-logo.png"/>
                        <pic:cNvPicPr/>
                      </pic:nvPicPr>
                      <pic:blipFill>
                        <a:blip r:embed="rId1"/>
                        <a:stretch>
                          <a:fillRect/>
                        </a:stretch>
                      </pic:blipFill>
                      <pic:spPr>
                        <a:xfrm>
                          <a:off x="0" y="0"/>
                          <a:ext cx="192649" cy="324000"/>
                        </a:xfrm>
                        <a:prstGeom prst="rect"/>
                      </pic:spPr>
                    </pic:pic>
                  </a:graphicData>
                </a:graphic>
              </wp:inline>
            </w:drawing>
          </w:r>
        </w:p>
      </w:tc>
      <w:tc>
        <w:tcPr>
          <w:tcW w:type="dxa" w:w="7370"/>
          <w:shd w:val="clear" w:color="auto" w:fill="1F3864"/>
        </w:tcPr>
        <w:p>
          <w:pPr>
            <w:spacing w:before="60" w:after="20"/>
            <w:ind w:left="170"/>
          </w:pPr>
          <w:r>
            <w:rPr>
              <w:rFonts w:ascii="Arial" w:hAnsi="Arial"/>
              <w:b/>
              <w:color w:val="FFFFFF"/>
              <w:sz w:val="15"/>
            </w:rPr>
            <w:t>LABELO – Laboratórios Especializados em Eletroeletrônica | Calibração e Ensaios</w:t>
          </w:r>
        </w:p>
        <w:p>
          <w:pPr>
            <w:spacing w:after="60"/>
            <w:ind w:left="170"/>
          </w:pPr>
          <w:r>
            <w:rPr>
              <w:rFonts w:ascii="Arial" w:hAnsi="Arial"/>
              <w:color w:val="FFFFFF"/>
              <w:sz w:val="11"/>
            </w:rPr>
            <w:t>Pontifícia Universidade Católica do Rio Grande do Sul</w:t>
          </w:r>
        </w:p>
      </w:tc>
      <w:tc>
        <w:tcPr>
          <w:tcW w:type="dxa" w:w="1814"/>
          <w:shd w:val="clear" w:color="auto" w:fill="1F3864"/>
        </w:tcPr>
        <w:p>
          <w:pPr>
            <w:spacing w:before="80"/>
            <w:ind w:right="170"/>
            <w:jc w:val="right"/>
          </w:pPr>
          <w:r>
            <w:rPr>
              <w:rFonts w:ascii="Arial" w:hAnsi="Arial"/>
              <w:color w:val="FFFFFF"/>
              <w:sz w:val="12"/>
            </w:rPr>
            <w:t>Manual / Validação</w:t>
          </w:r>
        </w:p>
      </w:tc>
    </w:tr>
    <w:tr>
      <w:tc>
        <w:tcPr>
          <w:tcW w:type="dxa" w:w="10431"/>
          <w:gridSpan w:val="3"/>
          <w:shd w:val="clear" w:color="auto" w:fill="BDD7EE"/>
        </w:tcPr>
        <w:p>
          <w:pPr>
            <w:spacing w:before="40" w:after="40"/>
            <w:jc w:val="center"/>
          </w:pPr>
          <w:r>
            <w:rPr>
              <w:rFonts w:ascii="Arial" w:hAnsi="Arial"/>
              <w:color w:val="000000"/>
              <w:sz w:val="13"/>
            </w:rPr>
            <w:t>Acreditado Cgcre · ABNT NBR ISO/IEC 17025 · CRL 0075    |    Software CISPR 15 LABELO — Manual e Validação do Sistema</w:t>
          </w:r>
        </w:p>
      </w:tc>
    </w:tr>
  </w:tbl>
  <w:p>
    <w:pPr>
      <w:spacing w:after="8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