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Imagem a ser gravada no equipamento para orientação ao usuário: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Gravada na face externa da barreira de madeira que fica no interior da estrutura;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Gravada na superfície externa do equipamento.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Partes componentes do sistema, do ponto de vista do usuário: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1 - Porta para acesso ao sistema de descontaminação.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2 - Gancho para fixação da máscara.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3 - Botão para acionar o sistema de descontaminação.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4 - Led Verde, para indicação de operação do sistema de descontaminação.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5 - Led Vermelho, para indicar falha do equipamento.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Instruções de Operação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1 - Pendure a máscara nos fixadores.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2 - Aperte o botão LIGAR.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3 - A máscara vai se movimentar para a câmara interna e será descontaminada em 5 minutos.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4 - O luz indicadora verde começará a piscar, indicando o início do processo de descontaminação. Ao final do processo ela ficará acesa até a máscara ser trazida até a porta do equipamento, podendo ser retirada.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Orientações Gerais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1 - A luz indicadora vermelha representa uma falha do equipamento, podendo indicar que uma lâmpada queimou.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2 - Nunca coloque a mão no interior da câmara, pois a luz ultravioleta UVC é nociva aos tecidos humanos.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