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b w:val="1"/>
          <w:sz w:val="24"/>
          <w:szCs w:val="24"/>
          <w:shd w:fill="88d75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VPC - Value Proposition Canvas</w:t>
      </w:r>
    </w:p>
    <w:p w:rsidR="00000000" w:rsidDel="00000000" w:rsidP="00000000" w:rsidRDefault="00000000" w:rsidRPr="00000000" w14:paraId="00000004">
      <w:pPr>
        <w:tabs>
          <w:tab w:val="right" w:leader="none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6281547" cy="3297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47" cy="32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Técnico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Criadores de 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Divulgação para contratantes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Divulgação do seu currículo, mini bio e contatos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Network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Produtos e Serviços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Blog com informações sobre o Setor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Observatório com notícias, documentos e pesquisas sobre o setor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Cadastro de perfil como trabalhador da Cultura para atuar em qualquer estado do Brasil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Busca por estado, ocupação, etc.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Aliviadores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Informação atualizada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local para divulgar trabalho e fazer contatos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Diversificar as áreas de atuação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Ser contratade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Networking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Saber sobre oportunidades de emprego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Ter informações úteis organizadas para a visualização do contratante de suas principais skills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Funções do Cliente (Trabalhos a serem feitos pelo produto para o cliente)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Acesso a internet, dispositivo e tempo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Fazer o cadastro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Literacia Tecnológica - saber navegar e entender os processos e conteúdos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Conhecer ou encontrar pessoas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Desemprego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ter nome no mercado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ter currículo ou portfólio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conhecer pessoas no mercado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conhecer contratantes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iniciante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pessoa com deficiência e quer ingressar no mercado da cultura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 que é o VPC?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right" w:leader="none" w:pos="12000"/>
        </w:tabs>
        <w:spacing w:after="160" w:lineRule="auto"/>
        <w:rPr>
          <w:rFonts w:ascii="Montserrat" w:cs="Montserrat" w:eastAsia="Montserrat" w:hAnsi="Montserrat"/>
          <w:color w:val="192a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Veja a seguir uma explicação detalhada de seus principais elementos e benefícios: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w7w6k11qq88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‍Segmentos de clientes (lado direito)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Funções do Cliente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Representa as tarefas ou os problemas que os clientes estão tendo que o produto vai resolver ou ajudar a resolver. Pense em “tarefas necessárias para chegar nos meus objetivos”.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Dores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desafios, obstáculos, frustrações e riscos que os clientes enfrentam ao tentar realizar seus trabalhos. Pense em “quais são os problemas que me impedem de realizar meus objetivos”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tabs>
          <w:tab w:val="right" w:leader="none" w:pos="12000"/>
        </w:tabs>
        <w:spacing w:after="1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Ganhos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resultados desejados, os benefícios ou as aspirações que os clientes esperam alcançar ou experimentar quando realizam seus trabalhos com sucesso.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‍ 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Pense em “quais são os benefícios que eu ganharei quando alcançar meus objetivos”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fvvkx9h3zpo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Proposta de valor (lado esquerdo)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Produtos e serviços: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Listas as diferentes partes, sub-produtos ou serviços que oferecemos ao cliente.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Alívio da dor: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Como os sub-produtos e serviços que oferecemos minimizam ou removem as dores do cliente.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tabs>
          <w:tab w:val="right" w:leader="none" w:pos="12000"/>
        </w:tabs>
        <w:spacing w:after="1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Criadores de ganhos: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São as maneiras pelas quais os produtos ou serviços da organização proporcionam os resultados ou benefícios desejados que os clientes estão buscando.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4educacao.com/portal/value-proposition-canva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EbOszr-tagAeGyjD5ISWXKw6R04umnZc/edit#heading=h.1z8hfnhnsvj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9XTsmoGCnvyha3lrDigDv4u/A==">CgMxLjAaHwoBMBIaChgICVIUChJ0YWJsZS4xYm82cHVmaHAzdXoyCGguZ2pkZ3hzMg5oLnc3dzZrMTFxcTg4ZjIOaC5mdnZreDloM3pwbzE4AHIhMXVMX0NjTEtELUdWcEdBR2ZsQmwxd2VaZS1RWTh1REQy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