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9A5" w:rsidRPr="004A60E4" w:rsidRDefault="008F79A5" w:rsidP="009A12B5">
      <w:pPr>
        <w:shd w:val="clear" w:color="auto" w:fill="FFFFFF"/>
        <w:spacing w:after="0" w:line="240" w:lineRule="atLeast"/>
        <w:textAlignment w:val="baseline"/>
        <w:outlineLvl w:val="1"/>
        <w:rPr>
          <w:rFonts w:ascii="Arial" w:eastAsia="Times New Roman" w:hAnsi="Arial" w:cs="Arial"/>
          <w:b/>
          <w:bCs/>
          <w:color w:val="002060"/>
          <w:sz w:val="54"/>
          <w:szCs w:val="54"/>
          <w:bdr w:val="none" w:sz="0" w:space="0" w:color="auto" w:frame="1"/>
          <w:lang w:eastAsia="es-PE"/>
        </w:rPr>
      </w:pPr>
      <w:r w:rsidRPr="004A60E4">
        <w:rPr>
          <w:rFonts w:ascii="Arial" w:eastAsia="Times New Roman" w:hAnsi="Arial" w:cs="Arial"/>
          <w:b/>
          <w:bCs/>
          <w:color w:val="002060"/>
          <w:sz w:val="54"/>
          <w:szCs w:val="54"/>
          <w:bdr w:val="none" w:sz="0" w:space="0" w:color="auto" w:frame="1"/>
          <w:lang w:eastAsia="es-PE"/>
        </w:rPr>
        <w:t>La documentación del proyecto</w:t>
      </w:r>
      <w:r w:rsidR="00ED0A62">
        <w:rPr>
          <w:rFonts w:ascii="Arial" w:eastAsia="Times New Roman" w:hAnsi="Arial" w:cs="Arial"/>
          <w:b/>
          <w:bCs/>
          <w:color w:val="002060"/>
          <w:sz w:val="54"/>
          <w:szCs w:val="54"/>
          <w:bdr w:val="none" w:sz="0" w:space="0" w:color="auto" w:frame="1"/>
          <w:lang w:eastAsia="es-PE"/>
        </w:rPr>
        <w:t xml:space="preserve"> Dorkon</w:t>
      </w:r>
    </w:p>
    <w:p w:rsidR="00AB5EB4" w:rsidRDefault="00AB5EB4"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 xml:space="preserve">Más del 60% de la población peruana tiene conexión a internet fijo o móvil </w:t>
      </w:r>
      <w:r w:rsidR="00E7724D">
        <w:rPr>
          <w:rFonts w:ascii="Arial" w:eastAsia="Times New Roman" w:hAnsi="Arial" w:cs="Arial"/>
          <w:color w:val="555555"/>
          <w:sz w:val="21"/>
          <w:szCs w:val="21"/>
          <w:lang w:eastAsia="es-PE"/>
        </w:rPr>
        <w:t>y el mercado digital cada vez se hace más fuerte.</w:t>
      </w:r>
    </w:p>
    <w:p w:rsidR="00FD4D9E" w:rsidRDefault="00E7724D"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Necesidades</w:t>
      </w:r>
      <w:r w:rsidR="00F154B7">
        <w:rPr>
          <w:rFonts w:ascii="Arial" w:eastAsia="Times New Roman" w:hAnsi="Arial" w:cs="Arial"/>
          <w:color w:val="555555"/>
          <w:sz w:val="21"/>
          <w:szCs w:val="21"/>
          <w:lang w:eastAsia="es-PE"/>
        </w:rPr>
        <w:t>:</w:t>
      </w:r>
      <w:r>
        <w:rPr>
          <w:rFonts w:ascii="Arial" w:eastAsia="Times New Roman" w:hAnsi="Arial" w:cs="Arial"/>
          <w:color w:val="555555"/>
          <w:sz w:val="21"/>
          <w:szCs w:val="21"/>
          <w:lang w:eastAsia="es-PE"/>
        </w:rPr>
        <w:t xml:space="preserve"> </w:t>
      </w:r>
      <w:r w:rsidR="00FD4D9E">
        <w:rPr>
          <w:rFonts w:ascii="Arial" w:eastAsia="Times New Roman" w:hAnsi="Arial" w:cs="Arial"/>
          <w:color w:val="555555"/>
          <w:sz w:val="21"/>
          <w:szCs w:val="21"/>
          <w:lang w:eastAsia="es-PE"/>
        </w:rPr>
        <w:t>donde los usuarios se sienten identificado por no contar estas opciones en las páginas web.</w:t>
      </w:r>
    </w:p>
    <w:p w:rsidR="00FD4D9E" w:rsidRPr="00FD4D9E" w:rsidRDefault="00DE51BD" w:rsidP="00C04E4F">
      <w:pPr>
        <w:pStyle w:val="Prrafodelista"/>
        <w:numPr>
          <w:ilvl w:val="2"/>
          <w:numId w:val="6"/>
        </w:numPr>
        <w:shd w:val="clear" w:color="auto" w:fill="FFFFFF"/>
        <w:spacing w:before="384" w:after="384" w:line="240" w:lineRule="auto"/>
        <w:jc w:val="both"/>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E</w:t>
      </w:r>
      <w:r w:rsidR="003B3B2D">
        <w:rPr>
          <w:rFonts w:ascii="Arial" w:eastAsia="Times New Roman" w:hAnsi="Arial" w:cs="Arial"/>
          <w:color w:val="555555"/>
          <w:sz w:val="21"/>
          <w:szCs w:val="21"/>
          <w:lang w:eastAsia="es-PE"/>
        </w:rPr>
        <w:t xml:space="preserve">l mapa de google con cuenta las calles por cuadras.  </w:t>
      </w:r>
    </w:p>
    <w:p w:rsidR="00F154B7" w:rsidRPr="00FD4D9E" w:rsidRDefault="00DE51BD" w:rsidP="00C04E4F">
      <w:pPr>
        <w:pStyle w:val="Prrafodelista"/>
        <w:numPr>
          <w:ilvl w:val="2"/>
          <w:numId w:val="6"/>
        </w:numPr>
        <w:shd w:val="clear" w:color="auto" w:fill="FFFFFF"/>
        <w:spacing w:before="384" w:after="384" w:line="240" w:lineRule="auto"/>
        <w:jc w:val="both"/>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L</w:t>
      </w:r>
      <w:r w:rsidR="003B3B2D">
        <w:rPr>
          <w:rFonts w:ascii="Arial" w:eastAsia="Times New Roman" w:hAnsi="Arial" w:cs="Arial"/>
          <w:color w:val="555555"/>
          <w:sz w:val="21"/>
          <w:szCs w:val="21"/>
          <w:lang w:eastAsia="es-PE"/>
        </w:rPr>
        <w:t xml:space="preserve">as </w:t>
      </w:r>
      <w:r w:rsidR="00FD4D9E" w:rsidRPr="00FD4D9E">
        <w:rPr>
          <w:rFonts w:ascii="Arial" w:eastAsia="Times New Roman" w:hAnsi="Arial" w:cs="Arial"/>
          <w:color w:val="555555"/>
          <w:sz w:val="21"/>
          <w:szCs w:val="21"/>
          <w:lang w:eastAsia="es-PE"/>
        </w:rPr>
        <w:t xml:space="preserve"> recompensas </w:t>
      </w:r>
      <w:r w:rsidR="003B3B2D">
        <w:rPr>
          <w:rFonts w:ascii="Arial" w:eastAsia="Times New Roman" w:hAnsi="Arial" w:cs="Arial"/>
          <w:color w:val="555555"/>
          <w:sz w:val="21"/>
          <w:szCs w:val="21"/>
          <w:lang w:eastAsia="es-PE"/>
        </w:rPr>
        <w:t>de las personas por visitar un sitio web.</w:t>
      </w:r>
    </w:p>
    <w:p w:rsidR="00F154B7" w:rsidRPr="00FD4D9E" w:rsidRDefault="00FD4D9E" w:rsidP="00C04E4F">
      <w:pPr>
        <w:pStyle w:val="Prrafodelista"/>
        <w:numPr>
          <w:ilvl w:val="2"/>
          <w:numId w:val="6"/>
        </w:numPr>
        <w:shd w:val="clear" w:color="auto" w:fill="FFFFFF"/>
        <w:spacing w:before="384" w:after="384" w:line="240" w:lineRule="auto"/>
        <w:jc w:val="both"/>
        <w:textAlignment w:val="baseline"/>
        <w:rPr>
          <w:rFonts w:ascii="Arial" w:eastAsia="Times New Roman" w:hAnsi="Arial" w:cs="Arial"/>
          <w:color w:val="555555"/>
          <w:sz w:val="21"/>
          <w:szCs w:val="21"/>
          <w:lang w:eastAsia="es-PE"/>
        </w:rPr>
      </w:pPr>
      <w:r w:rsidRPr="00FD4D9E">
        <w:rPr>
          <w:rFonts w:ascii="Arial" w:eastAsia="Times New Roman" w:hAnsi="Arial" w:cs="Arial"/>
          <w:color w:val="555555"/>
          <w:sz w:val="21"/>
          <w:szCs w:val="21"/>
          <w:lang w:eastAsia="es-PE"/>
        </w:rPr>
        <w:t xml:space="preserve"> </w:t>
      </w:r>
      <w:r w:rsidR="00DE51BD">
        <w:rPr>
          <w:rFonts w:ascii="Arial" w:eastAsia="Times New Roman" w:hAnsi="Arial" w:cs="Arial"/>
          <w:color w:val="555555"/>
          <w:sz w:val="21"/>
          <w:szCs w:val="21"/>
          <w:lang w:eastAsia="es-PE"/>
        </w:rPr>
        <w:t>A</w:t>
      </w:r>
      <w:r w:rsidRPr="00FD4D9E">
        <w:rPr>
          <w:rFonts w:ascii="Arial" w:eastAsia="Times New Roman" w:hAnsi="Arial" w:cs="Arial"/>
          <w:color w:val="555555"/>
          <w:sz w:val="21"/>
          <w:szCs w:val="21"/>
          <w:lang w:eastAsia="es-PE"/>
        </w:rPr>
        <w:t>juste de usuario</w:t>
      </w:r>
      <w:r w:rsidR="003B3B2D">
        <w:rPr>
          <w:rFonts w:ascii="Arial" w:eastAsia="Times New Roman" w:hAnsi="Arial" w:cs="Arial"/>
          <w:color w:val="555555"/>
          <w:sz w:val="21"/>
          <w:szCs w:val="21"/>
          <w:lang w:eastAsia="es-PE"/>
        </w:rPr>
        <w:t xml:space="preserve"> donde los usuarios son capaces de cambiar la interfaz de la página web.   </w:t>
      </w:r>
      <w:r w:rsidRPr="00FD4D9E">
        <w:rPr>
          <w:rFonts w:ascii="Arial" w:eastAsia="Times New Roman" w:hAnsi="Arial" w:cs="Arial"/>
          <w:color w:val="555555"/>
          <w:sz w:val="21"/>
          <w:szCs w:val="21"/>
          <w:lang w:eastAsia="es-PE"/>
        </w:rPr>
        <w:t xml:space="preserve"> </w:t>
      </w:r>
    </w:p>
    <w:p w:rsidR="00F154B7" w:rsidRPr="00FD4D9E" w:rsidRDefault="00FD4D9E" w:rsidP="00C04E4F">
      <w:pPr>
        <w:pStyle w:val="Prrafodelista"/>
        <w:numPr>
          <w:ilvl w:val="2"/>
          <w:numId w:val="6"/>
        </w:numPr>
        <w:shd w:val="clear" w:color="auto" w:fill="FFFFFF"/>
        <w:spacing w:before="384" w:after="384" w:line="240" w:lineRule="auto"/>
        <w:jc w:val="both"/>
        <w:textAlignment w:val="baseline"/>
        <w:rPr>
          <w:rFonts w:ascii="Arial" w:eastAsia="Times New Roman" w:hAnsi="Arial" w:cs="Arial"/>
          <w:color w:val="555555"/>
          <w:sz w:val="21"/>
          <w:szCs w:val="21"/>
          <w:lang w:eastAsia="es-PE"/>
        </w:rPr>
      </w:pPr>
      <w:r w:rsidRPr="00FD4D9E">
        <w:rPr>
          <w:rFonts w:ascii="Arial" w:eastAsia="Times New Roman" w:hAnsi="Arial" w:cs="Arial"/>
          <w:color w:val="555555"/>
          <w:sz w:val="21"/>
          <w:szCs w:val="21"/>
          <w:lang w:eastAsia="es-PE"/>
        </w:rPr>
        <w:t xml:space="preserve"> Galería </w:t>
      </w:r>
      <w:r w:rsidR="003B3B2D">
        <w:rPr>
          <w:rFonts w:ascii="Arial" w:eastAsia="Times New Roman" w:hAnsi="Arial" w:cs="Arial"/>
          <w:color w:val="555555"/>
          <w:sz w:val="21"/>
          <w:szCs w:val="21"/>
          <w:lang w:eastAsia="es-PE"/>
        </w:rPr>
        <w:t xml:space="preserve">mostrar las informaciones de lugares de viajes de cómo llegar donde alojarse y cuánto cuesta los pasajes y las estadías </w:t>
      </w:r>
    </w:p>
    <w:p w:rsidR="00F154B7" w:rsidRDefault="003B3B2D" w:rsidP="00C04E4F">
      <w:pPr>
        <w:pStyle w:val="Prrafodelista"/>
        <w:numPr>
          <w:ilvl w:val="2"/>
          <w:numId w:val="6"/>
        </w:numPr>
        <w:shd w:val="clear" w:color="auto" w:fill="FFFFFF"/>
        <w:spacing w:before="384" w:after="384" w:line="240" w:lineRule="auto"/>
        <w:jc w:val="both"/>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 xml:space="preserve">Precios y </w:t>
      </w:r>
      <w:r w:rsidR="00FD4D9E" w:rsidRPr="00FD4D9E">
        <w:rPr>
          <w:rFonts w:ascii="Arial" w:eastAsia="Times New Roman" w:hAnsi="Arial" w:cs="Arial"/>
          <w:color w:val="555555"/>
          <w:sz w:val="21"/>
          <w:szCs w:val="21"/>
          <w:lang w:eastAsia="es-PE"/>
        </w:rPr>
        <w:t>oferta</w:t>
      </w:r>
      <w:r>
        <w:rPr>
          <w:rFonts w:ascii="Arial" w:eastAsia="Times New Roman" w:hAnsi="Arial" w:cs="Arial"/>
          <w:color w:val="555555"/>
          <w:sz w:val="21"/>
          <w:szCs w:val="21"/>
          <w:lang w:eastAsia="es-PE"/>
        </w:rPr>
        <w:t xml:space="preserve"> la gran mayorías de las marcas ponen los precios de los productos.</w:t>
      </w:r>
    </w:p>
    <w:p w:rsidR="00DE51BD" w:rsidRDefault="00DE51BD" w:rsidP="00DE51BD">
      <w:p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 xml:space="preserve">Dorkon es una empresa de recursos humanos </w:t>
      </w:r>
      <w:r w:rsidR="008753E5">
        <w:rPr>
          <w:rFonts w:ascii="Arial" w:eastAsia="Times New Roman" w:hAnsi="Arial" w:cs="Arial"/>
          <w:color w:val="555555"/>
          <w:sz w:val="21"/>
          <w:szCs w:val="21"/>
          <w:lang w:eastAsia="es-PE"/>
        </w:rPr>
        <w:t xml:space="preserve">de </w:t>
      </w:r>
      <w:r>
        <w:rPr>
          <w:rFonts w:ascii="Arial" w:eastAsia="Times New Roman" w:hAnsi="Arial" w:cs="Arial"/>
          <w:color w:val="555555"/>
          <w:sz w:val="21"/>
          <w:szCs w:val="21"/>
          <w:lang w:eastAsia="es-PE"/>
        </w:rPr>
        <w:t xml:space="preserve">desempleados en el mundo basándose en el trabajo por horas </w:t>
      </w:r>
      <w:r w:rsidR="008753E5">
        <w:rPr>
          <w:rFonts w:ascii="Arial" w:eastAsia="Times New Roman" w:hAnsi="Arial" w:cs="Arial"/>
          <w:color w:val="555555"/>
          <w:sz w:val="21"/>
          <w:szCs w:val="21"/>
          <w:lang w:eastAsia="es-PE"/>
        </w:rPr>
        <w:t xml:space="preserve">que las empresas pequeñas </w:t>
      </w:r>
      <w:r>
        <w:rPr>
          <w:rFonts w:ascii="Arial" w:eastAsia="Times New Roman" w:hAnsi="Arial" w:cs="Arial"/>
          <w:color w:val="555555"/>
          <w:sz w:val="21"/>
          <w:szCs w:val="21"/>
          <w:lang w:eastAsia="es-PE"/>
        </w:rPr>
        <w:t xml:space="preserve">o las empresas grandes  solo desean trabajadores por temporadas. Y nuestra empresa </w:t>
      </w:r>
      <w:r w:rsidR="008753E5">
        <w:rPr>
          <w:rFonts w:ascii="Arial" w:eastAsia="Times New Roman" w:hAnsi="Arial" w:cs="Arial"/>
          <w:color w:val="555555"/>
          <w:sz w:val="21"/>
          <w:szCs w:val="21"/>
          <w:lang w:eastAsia="es-PE"/>
        </w:rPr>
        <w:t xml:space="preserve">basándose en el mundo digital trabajaría por su cuenta. </w:t>
      </w:r>
    </w:p>
    <w:p w:rsidR="008753E5" w:rsidRPr="00C04E4F" w:rsidRDefault="008753E5" w:rsidP="008753E5">
      <w:pPr>
        <w:shd w:val="clear" w:color="auto" w:fill="FFFFFF"/>
        <w:spacing w:after="100" w:afterAutospacing="1" w:line="720" w:lineRule="atLeast"/>
        <w:outlineLvl w:val="0"/>
        <w:rPr>
          <w:rFonts w:ascii="Helvetica" w:eastAsia="Times New Roman" w:hAnsi="Helvetica" w:cs="Helvetica"/>
          <w:color w:val="002060"/>
          <w:spacing w:val="-5"/>
          <w:kern w:val="36"/>
          <w:sz w:val="54"/>
          <w:szCs w:val="54"/>
          <w:lang w:eastAsia="es-PE"/>
        </w:rPr>
      </w:pPr>
      <w:r w:rsidRPr="00C04E4F">
        <w:rPr>
          <w:rFonts w:ascii="Helvetica" w:eastAsia="Times New Roman" w:hAnsi="Helvetica" w:cs="Helvetica"/>
          <w:color w:val="002060"/>
          <w:spacing w:val="-5"/>
          <w:kern w:val="36"/>
          <w:sz w:val="54"/>
          <w:szCs w:val="54"/>
          <w:lang w:eastAsia="es-PE"/>
        </w:rPr>
        <w:t>¿Cómo funciona Dorkon?</w:t>
      </w:r>
    </w:p>
    <w:p w:rsidR="008753E5" w:rsidRDefault="008753E5" w:rsidP="008753E5">
      <w:p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Helvetica" w:eastAsia="Times New Roman" w:hAnsi="Helvetica" w:cs="Helvetica"/>
          <w:color w:val="000000"/>
          <w:sz w:val="21"/>
          <w:szCs w:val="21"/>
          <w:lang w:eastAsia="es-PE"/>
        </w:rPr>
        <w:t xml:space="preserve">Dorkon </w:t>
      </w:r>
      <w:r w:rsidRPr="00A55191">
        <w:rPr>
          <w:rFonts w:ascii="Helvetica" w:eastAsia="Times New Roman" w:hAnsi="Helvetica" w:cs="Helvetica"/>
          <w:color w:val="000000"/>
          <w:sz w:val="21"/>
          <w:szCs w:val="21"/>
          <w:lang w:eastAsia="es-PE"/>
        </w:rPr>
        <w:t>es una plataforma tecnológica que pone en contacto con</w:t>
      </w:r>
      <w:r>
        <w:rPr>
          <w:rFonts w:ascii="Helvetica" w:eastAsia="Times New Roman" w:hAnsi="Helvetica" w:cs="Helvetica"/>
          <w:color w:val="000000"/>
          <w:sz w:val="21"/>
          <w:szCs w:val="21"/>
          <w:lang w:eastAsia="es-PE"/>
        </w:rPr>
        <w:t xml:space="preserve"> el</w:t>
      </w:r>
      <w:r w:rsidRPr="00A55191">
        <w:rPr>
          <w:rFonts w:ascii="Helvetica" w:eastAsia="Times New Roman" w:hAnsi="Helvetica" w:cs="Helvetica"/>
          <w:color w:val="000000"/>
          <w:sz w:val="21"/>
          <w:szCs w:val="21"/>
          <w:lang w:eastAsia="es-PE"/>
        </w:rPr>
        <w:t xml:space="preserve"> </w:t>
      </w:r>
      <w:r>
        <w:rPr>
          <w:rFonts w:ascii="Helvetica" w:eastAsia="Times New Roman" w:hAnsi="Helvetica" w:cs="Helvetica"/>
          <w:color w:val="000000"/>
          <w:sz w:val="21"/>
          <w:szCs w:val="21"/>
          <w:lang w:eastAsia="es-PE"/>
        </w:rPr>
        <w:t xml:space="preserve">profesional </w:t>
      </w:r>
      <w:r w:rsidRPr="00A55191">
        <w:rPr>
          <w:rFonts w:ascii="Helvetica" w:eastAsia="Times New Roman" w:hAnsi="Helvetica" w:cs="Helvetica"/>
          <w:color w:val="000000"/>
          <w:sz w:val="21"/>
          <w:szCs w:val="21"/>
          <w:lang w:eastAsia="es-PE"/>
        </w:rPr>
        <w:t>socios gracias a una aplicación móvil</w:t>
      </w:r>
      <w:r>
        <w:rPr>
          <w:rFonts w:ascii="Helvetica" w:eastAsia="Times New Roman" w:hAnsi="Helvetica" w:cs="Helvetica"/>
          <w:color w:val="000000"/>
          <w:sz w:val="21"/>
          <w:szCs w:val="21"/>
          <w:lang w:eastAsia="es-PE"/>
        </w:rPr>
        <w:t xml:space="preserve"> y web</w:t>
      </w:r>
      <w:r w:rsidRPr="00A55191">
        <w:rPr>
          <w:rFonts w:ascii="Helvetica" w:eastAsia="Times New Roman" w:hAnsi="Helvetica" w:cs="Helvetica"/>
          <w:color w:val="000000"/>
          <w:sz w:val="21"/>
          <w:szCs w:val="21"/>
          <w:lang w:eastAsia="es-PE"/>
        </w:rPr>
        <w:t>.</w:t>
      </w:r>
      <w:r w:rsidRPr="00A55191">
        <w:rPr>
          <w:rFonts w:ascii="Helvetica" w:eastAsia="Times New Roman" w:hAnsi="Helvetica" w:cs="Helvetica"/>
          <w:color w:val="000000"/>
          <w:sz w:val="21"/>
          <w:szCs w:val="21"/>
          <w:lang w:eastAsia="es-PE"/>
        </w:rPr>
        <w:br/>
      </w:r>
      <w:r w:rsidRPr="00A55191">
        <w:rPr>
          <w:rFonts w:ascii="Helvetica" w:eastAsia="Times New Roman" w:hAnsi="Helvetica" w:cs="Helvetica"/>
          <w:color w:val="000000"/>
          <w:sz w:val="21"/>
          <w:szCs w:val="21"/>
          <w:lang w:eastAsia="es-PE"/>
        </w:rPr>
        <w:br/>
        <w:t>Funciona de la siguiente manera. Primero, solicitas un</w:t>
      </w:r>
      <w:r>
        <w:rPr>
          <w:rFonts w:ascii="Helvetica" w:eastAsia="Times New Roman" w:hAnsi="Helvetica" w:cs="Helvetica"/>
          <w:color w:val="000000"/>
          <w:sz w:val="21"/>
          <w:szCs w:val="21"/>
          <w:lang w:eastAsia="es-PE"/>
        </w:rPr>
        <w:t xml:space="preserve"> profesional</w:t>
      </w:r>
      <w:r w:rsidRPr="00A55191">
        <w:rPr>
          <w:rFonts w:ascii="Helvetica" w:eastAsia="Times New Roman" w:hAnsi="Helvetica" w:cs="Helvetica"/>
          <w:color w:val="000000"/>
          <w:sz w:val="21"/>
          <w:szCs w:val="21"/>
          <w:lang w:eastAsia="es-PE"/>
        </w:rPr>
        <w:t xml:space="preserve"> desde la aplicación en cualquier ciudad donde </w:t>
      </w:r>
      <w:r>
        <w:rPr>
          <w:rFonts w:ascii="Helvetica" w:eastAsia="Times New Roman" w:hAnsi="Helvetica" w:cs="Helvetica"/>
          <w:color w:val="000000"/>
          <w:sz w:val="21"/>
          <w:szCs w:val="21"/>
          <w:lang w:eastAsia="es-PE"/>
        </w:rPr>
        <w:t>Dorkon</w:t>
      </w:r>
      <w:r w:rsidRPr="00A55191">
        <w:rPr>
          <w:rFonts w:ascii="Helvetica" w:eastAsia="Times New Roman" w:hAnsi="Helvetica" w:cs="Helvetica"/>
          <w:color w:val="000000"/>
          <w:sz w:val="21"/>
          <w:szCs w:val="21"/>
          <w:lang w:eastAsia="es-PE"/>
        </w:rPr>
        <w:t xml:space="preserve"> esté activo. Tu solicitud se enviará a los socios </w:t>
      </w:r>
      <w:r>
        <w:rPr>
          <w:rFonts w:ascii="Helvetica" w:eastAsia="Times New Roman" w:hAnsi="Helvetica" w:cs="Helvetica"/>
          <w:color w:val="000000"/>
          <w:sz w:val="21"/>
          <w:szCs w:val="21"/>
          <w:lang w:eastAsia="es-PE"/>
        </w:rPr>
        <w:t xml:space="preserve">profesional </w:t>
      </w:r>
      <w:r w:rsidRPr="00A55191">
        <w:rPr>
          <w:rFonts w:ascii="Helvetica" w:eastAsia="Times New Roman" w:hAnsi="Helvetica" w:cs="Helvetica"/>
          <w:color w:val="000000"/>
          <w:sz w:val="21"/>
          <w:szCs w:val="21"/>
          <w:lang w:eastAsia="es-PE"/>
        </w:rPr>
        <w:t xml:space="preserve">más cercano. </w:t>
      </w:r>
      <w:r w:rsidRPr="00A55191">
        <w:rPr>
          <w:rFonts w:ascii="Helvetica" w:eastAsia="Times New Roman" w:hAnsi="Helvetica" w:cs="Helvetica"/>
          <w:color w:val="000000"/>
          <w:sz w:val="21"/>
          <w:szCs w:val="21"/>
          <w:lang w:eastAsia="es-PE"/>
        </w:rPr>
        <w:br/>
      </w:r>
    </w:p>
    <w:p w:rsidR="00DE51BD" w:rsidRDefault="00DE51BD" w:rsidP="00DE51BD">
      <w:pPr>
        <w:pStyle w:val="Ttulo3"/>
        <w:shd w:val="clear" w:color="auto" w:fill="FFFFFF"/>
        <w:spacing w:before="450"/>
        <w:rPr>
          <w:rFonts w:ascii="Helvetica" w:hAnsi="Helvetica"/>
          <w:color w:val="E40046"/>
        </w:rPr>
      </w:pPr>
      <w:r w:rsidRPr="00DE51BD">
        <w:rPr>
          <w:rFonts w:ascii="Helvetica" w:hAnsi="Helvetica"/>
          <w:b/>
          <w:bCs/>
          <w:color w:val="002060"/>
        </w:rPr>
        <w:t>África del Norte</w:t>
      </w:r>
    </w:p>
    <w:p w:rsidR="00DE51BD" w:rsidRDefault="00DE51BD" w:rsidP="00DE51BD">
      <w:pPr>
        <w:numPr>
          <w:ilvl w:val="0"/>
          <w:numId w:val="7"/>
        </w:numPr>
        <w:spacing w:before="100" w:beforeAutospacing="1" w:after="150" w:line="240" w:lineRule="auto"/>
        <w:rPr>
          <w:rFonts w:ascii="Helvetica" w:hAnsi="Helvetica"/>
          <w:color w:val="4B4B4B"/>
          <w:sz w:val="23"/>
          <w:szCs w:val="23"/>
        </w:rPr>
      </w:pPr>
      <w:r>
        <w:rPr>
          <w:rFonts w:ascii="Helvetica" w:hAnsi="Helvetica"/>
          <w:color w:val="4B4B4B"/>
          <w:sz w:val="23"/>
          <w:szCs w:val="23"/>
        </w:rPr>
        <w:t>La tasa de desempleo debería disminuir de 11,7 por ciento en 2017 a 11,5 por ciento en 2018.</w:t>
      </w:r>
    </w:p>
    <w:p w:rsidR="00DE51BD" w:rsidRDefault="00DE51BD" w:rsidP="00DE51BD">
      <w:pPr>
        <w:numPr>
          <w:ilvl w:val="0"/>
          <w:numId w:val="7"/>
        </w:numPr>
        <w:spacing w:before="100" w:beforeAutospacing="1" w:after="150" w:line="240" w:lineRule="auto"/>
        <w:rPr>
          <w:rFonts w:ascii="Helvetica" w:hAnsi="Helvetica"/>
          <w:color w:val="4B4B4B"/>
          <w:sz w:val="23"/>
          <w:szCs w:val="23"/>
        </w:rPr>
      </w:pPr>
      <w:r>
        <w:rPr>
          <w:rFonts w:ascii="Helvetica" w:hAnsi="Helvetica"/>
          <w:color w:val="4B4B4B"/>
          <w:sz w:val="23"/>
          <w:szCs w:val="23"/>
        </w:rPr>
        <w:t>El número de personas desempleadas se mantiene estable en 8,7 millones en el contexto de un fuerte crecimiento de la mano de obra.</w:t>
      </w:r>
    </w:p>
    <w:p w:rsidR="00DE51BD" w:rsidRDefault="00DE51BD" w:rsidP="00DE51BD">
      <w:pPr>
        <w:numPr>
          <w:ilvl w:val="0"/>
          <w:numId w:val="7"/>
        </w:numPr>
        <w:spacing w:before="100" w:beforeAutospacing="1" w:after="150" w:line="240" w:lineRule="auto"/>
        <w:rPr>
          <w:rFonts w:ascii="Helvetica" w:hAnsi="Helvetica"/>
          <w:color w:val="4B4B4B"/>
          <w:sz w:val="23"/>
          <w:szCs w:val="23"/>
        </w:rPr>
      </w:pPr>
      <w:r>
        <w:rPr>
          <w:rFonts w:ascii="Helvetica" w:hAnsi="Helvetica"/>
          <w:color w:val="4B4B4B"/>
          <w:sz w:val="23"/>
          <w:szCs w:val="23"/>
        </w:rPr>
        <w:t>A nivel mundial, la región registra la tasa de desempleo más alta debido a las grandes carencias de empleo para los jóvenes y las mujeres, quienes están significativamente sobrerrepresentados entre los desempleados.</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lastRenderedPageBreak/>
        <w:t>África Subsahariana</w:t>
      </w:r>
    </w:p>
    <w:p w:rsidR="00DE51BD" w:rsidRDefault="00DE51BD" w:rsidP="00DE51BD">
      <w:pPr>
        <w:numPr>
          <w:ilvl w:val="0"/>
          <w:numId w:val="8"/>
        </w:numPr>
        <w:spacing w:before="100" w:beforeAutospacing="1" w:after="150" w:line="240" w:lineRule="auto"/>
        <w:rPr>
          <w:rFonts w:ascii="Helvetica" w:hAnsi="Helvetica"/>
          <w:color w:val="4B4B4B"/>
          <w:sz w:val="23"/>
          <w:szCs w:val="23"/>
        </w:rPr>
      </w:pPr>
      <w:r>
        <w:rPr>
          <w:rFonts w:ascii="Helvetica" w:hAnsi="Helvetica"/>
          <w:color w:val="4B4B4B"/>
          <w:sz w:val="23"/>
          <w:szCs w:val="23"/>
        </w:rPr>
        <w:t>La tasa de desempleo debería llegar a 7,2 por ciento, permaneciendo básicamente inalterada.</w:t>
      </w:r>
    </w:p>
    <w:p w:rsidR="00DE51BD" w:rsidRDefault="00DE51BD" w:rsidP="00DE51BD">
      <w:pPr>
        <w:numPr>
          <w:ilvl w:val="0"/>
          <w:numId w:val="8"/>
        </w:numPr>
        <w:spacing w:before="100" w:beforeAutospacing="1" w:after="150" w:line="240" w:lineRule="auto"/>
        <w:rPr>
          <w:rFonts w:ascii="Helvetica" w:hAnsi="Helvetica"/>
          <w:color w:val="4B4B4B"/>
          <w:sz w:val="23"/>
          <w:szCs w:val="23"/>
        </w:rPr>
      </w:pPr>
      <w:r>
        <w:rPr>
          <w:rFonts w:ascii="Helvetica" w:hAnsi="Helvetica"/>
          <w:color w:val="4B4B4B"/>
          <w:sz w:val="23"/>
          <w:szCs w:val="23"/>
        </w:rPr>
        <w:t>El número de desempleados debería aumentar en 1 millón debido a las altas de crecimiento de la fuerza de trabajo en la región.</w:t>
      </w:r>
    </w:p>
    <w:p w:rsidR="00DE51BD" w:rsidRDefault="00DE51BD" w:rsidP="00DE51BD">
      <w:pPr>
        <w:numPr>
          <w:ilvl w:val="0"/>
          <w:numId w:val="8"/>
        </w:numPr>
        <w:spacing w:before="100" w:beforeAutospacing="1" w:after="150" w:line="240" w:lineRule="auto"/>
        <w:rPr>
          <w:rFonts w:ascii="Helvetica" w:hAnsi="Helvetica"/>
          <w:color w:val="4B4B4B"/>
          <w:sz w:val="23"/>
          <w:szCs w:val="23"/>
        </w:rPr>
      </w:pPr>
      <w:r>
        <w:rPr>
          <w:rFonts w:ascii="Helvetica" w:hAnsi="Helvetica"/>
          <w:color w:val="4B4B4B"/>
          <w:sz w:val="23"/>
          <w:szCs w:val="23"/>
        </w:rPr>
        <w:t>Más de uno de cada tres trabajadores vive en condiciones de pobreza extrema, mientras que casi tres de cada cuatro trabajadores ocupan un empleo vulnerable.</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América del Norte</w:t>
      </w:r>
    </w:p>
    <w:p w:rsidR="00DE51BD" w:rsidRDefault="00DE51BD" w:rsidP="00DE51BD">
      <w:pPr>
        <w:numPr>
          <w:ilvl w:val="0"/>
          <w:numId w:val="9"/>
        </w:numPr>
        <w:spacing w:before="100" w:beforeAutospacing="1" w:after="150" w:line="240" w:lineRule="auto"/>
        <w:rPr>
          <w:rFonts w:ascii="Helvetica" w:hAnsi="Helvetica"/>
          <w:color w:val="4B4B4B"/>
          <w:sz w:val="23"/>
          <w:szCs w:val="23"/>
        </w:rPr>
      </w:pPr>
      <w:r>
        <w:rPr>
          <w:rFonts w:ascii="Helvetica" w:hAnsi="Helvetica"/>
          <w:color w:val="4B4B4B"/>
          <w:sz w:val="23"/>
          <w:szCs w:val="23"/>
        </w:rPr>
        <w:t>El desempleo debería pasar de 4,7 por ciento en 2017 a 4,5 por ciento en 2018.</w:t>
      </w:r>
    </w:p>
    <w:p w:rsidR="00DE51BD" w:rsidRDefault="00DE51BD" w:rsidP="00DE51BD">
      <w:pPr>
        <w:numPr>
          <w:ilvl w:val="0"/>
          <w:numId w:val="9"/>
        </w:numPr>
        <w:spacing w:before="100" w:beforeAutospacing="1" w:after="150" w:line="240" w:lineRule="auto"/>
        <w:rPr>
          <w:rFonts w:ascii="Helvetica" w:hAnsi="Helvetica"/>
          <w:color w:val="4B4B4B"/>
          <w:sz w:val="23"/>
          <w:szCs w:val="23"/>
        </w:rPr>
      </w:pPr>
      <w:r>
        <w:rPr>
          <w:rFonts w:ascii="Helvetica" w:hAnsi="Helvetica"/>
          <w:color w:val="4B4B4B"/>
          <w:sz w:val="23"/>
          <w:szCs w:val="23"/>
        </w:rPr>
        <w:t>Este es el resultado de una disminución de las tasas de desempleo en Canadá y Estados Unidos.</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América Latina y el Caribe</w:t>
      </w:r>
    </w:p>
    <w:p w:rsidR="00DE51BD" w:rsidRDefault="00DE51BD" w:rsidP="00DE51BD">
      <w:pPr>
        <w:numPr>
          <w:ilvl w:val="0"/>
          <w:numId w:val="10"/>
        </w:numPr>
        <w:spacing w:before="100" w:beforeAutospacing="1" w:after="150" w:line="240" w:lineRule="auto"/>
        <w:rPr>
          <w:rFonts w:ascii="Helvetica" w:hAnsi="Helvetica"/>
          <w:color w:val="4B4B4B"/>
          <w:sz w:val="23"/>
          <w:szCs w:val="23"/>
        </w:rPr>
      </w:pPr>
      <w:r>
        <w:rPr>
          <w:rFonts w:ascii="Helvetica" w:hAnsi="Helvetica"/>
          <w:color w:val="4B4B4B"/>
          <w:sz w:val="23"/>
          <w:szCs w:val="23"/>
        </w:rPr>
        <w:t>La tasa de desempleo debería descender sólo marginalmente, pasando de 8,2 por ciento en 2017 a 7,7 por ciento de aquí a 2019.</w:t>
      </w:r>
    </w:p>
    <w:p w:rsidR="00DE51BD" w:rsidRDefault="00DE51BD" w:rsidP="00DE51BD">
      <w:pPr>
        <w:numPr>
          <w:ilvl w:val="0"/>
          <w:numId w:val="10"/>
        </w:numPr>
        <w:spacing w:before="100" w:beforeAutospacing="1" w:after="150" w:line="240" w:lineRule="auto"/>
        <w:rPr>
          <w:rFonts w:ascii="Helvetica" w:hAnsi="Helvetica"/>
          <w:color w:val="4B4B4B"/>
          <w:sz w:val="23"/>
          <w:szCs w:val="23"/>
        </w:rPr>
      </w:pPr>
      <w:r>
        <w:rPr>
          <w:rFonts w:ascii="Helvetica" w:hAnsi="Helvetica"/>
          <w:color w:val="4B4B4B"/>
          <w:sz w:val="23"/>
          <w:szCs w:val="23"/>
        </w:rPr>
        <w:t>Habida cuenta que la tasa regional de desempleo era tan sólo de 6,1 por ciento en 2014, la región todavía está lejos de recuperarse completamente de la pérdida de puestos de trabajo registradas en los últimos años.</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Estados Árabes</w:t>
      </w:r>
    </w:p>
    <w:p w:rsidR="00DE51BD" w:rsidRDefault="00DE51BD" w:rsidP="00DE51BD">
      <w:pPr>
        <w:numPr>
          <w:ilvl w:val="0"/>
          <w:numId w:val="11"/>
        </w:numPr>
        <w:spacing w:before="100" w:beforeAutospacing="1" w:after="150" w:line="240" w:lineRule="auto"/>
        <w:rPr>
          <w:rFonts w:ascii="Helvetica" w:hAnsi="Helvetica"/>
          <w:color w:val="4B4B4B"/>
          <w:sz w:val="23"/>
          <w:szCs w:val="23"/>
        </w:rPr>
      </w:pPr>
      <w:r>
        <w:rPr>
          <w:rFonts w:ascii="Helvetica" w:hAnsi="Helvetica"/>
          <w:color w:val="4B4B4B"/>
          <w:sz w:val="23"/>
          <w:szCs w:val="23"/>
        </w:rPr>
        <w:t>La situación del mercado laboral debería mantenerse relativamente estable, con una tasa de desempleo regional que debería disminuir ligeramente para llegar a 8,3 por ciento en 2018 y aumentar nuevamente en 2019.</w:t>
      </w:r>
    </w:p>
    <w:p w:rsidR="00DE51BD" w:rsidRDefault="00DE51BD" w:rsidP="00DE51BD">
      <w:pPr>
        <w:numPr>
          <w:ilvl w:val="0"/>
          <w:numId w:val="11"/>
        </w:numPr>
        <w:spacing w:before="100" w:beforeAutospacing="1" w:after="150" w:line="240" w:lineRule="auto"/>
        <w:rPr>
          <w:rFonts w:ascii="Helvetica" w:hAnsi="Helvetica"/>
          <w:color w:val="4B4B4B"/>
          <w:sz w:val="23"/>
          <w:szCs w:val="23"/>
        </w:rPr>
      </w:pPr>
      <w:r>
        <w:rPr>
          <w:rFonts w:ascii="Helvetica" w:hAnsi="Helvetica"/>
          <w:color w:val="4B4B4B"/>
          <w:sz w:val="23"/>
          <w:szCs w:val="23"/>
        </w:rPr>
        <w:t>Casi 5 millones de personas estarán desempleadas en 2018, con las mujeres representando casi una tercera parte de los desempleados a pesar que constituyen sólo 16 por ciento de la fuerza de trabajo regional.</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Asia y el Pacífico</w:t>
      </w:r>
    </w:p>
    <w:p w:rsidR="00DE51BD" w:rsidRDefault="00DE51BD" w:rsidP="00DE51BD">
      <w:pPr>
        <w:numPr>
          <w:ilvl w:val="0"/>
          <w:numId w:val="12"/>
        </w:numPr>
        <w:spacing w:before="100" w:beforeAutospacing="1" w:after="150" w:line="240" w:lineRule="auto"/>
        <w:rPr>
          <w:rFonts w:ascii="Helvetica" w:hAnsi="Helvetica"/>
          <w:color w:val="4B4B4B"/>
          <w:sz w:val="23"/>
          <w:szCs w:val="23"/>
        </w:rPr>
      </w:pPr>
      <w:r>
        <w:rPr>
          <w:rFonts w:ascii="Helvetica" w:hAnsi="Helvetica"/>
          <w:color w:val="4B4B4B"/>
          <w:sz w:val="23"/>
          <w:szCs w:val="23"/>
        </w:rPr>
        <w:t>El desempleo debería mantenerse a un nivel bajo en relación al patrón internacional y más bien estable a lo largo del período considerado, en 4,2 por ciento.</w:t>
      </w:r>
    </w:p>
    <w:p w:rsidR="00DE51BD" w:rsidRDefault="00DE51BD" w:rsidP="00DE51BD">
      <w:pPr>
        <w:numPr>
          <w:ilvl w:val="0"/>
          <w:numId w:val="12"/>
        </w:numPr>
        <w:spacing w:before="100" w:beforeAutospacing="1" w:after="150" w:line="240" w:lineRule="auto"/>
        <w:rPr>
          <w:rFonts w:ascii="Helvetica" w:hAnsi="Helvetica"/>
          <w:color w:val="4B4B4B"/>
          <w:sz w:val="23"/>
          <w:szCs w:val="23"/>
        </w:rPr>
      </w:pPr>
      <w:r>
        <w:rPr>
          <w:rFonts w:ascii="Helvetica" w:hAnsi="Helvetica"/>
          <w:color w:val="4B4B4B"/>
          <w:sz w:val="23"/>
          <w:szCs w:val="23"/>
        </w:rPr>
        <w:t>Esto se debe en gran medida a que se espera que la región siga creando empleos a un ritmo rápido.</w:t>
      </w:r>
    </w:p>
    <w:p w:rsidR="00DE51BD" w:rsidRDefault="00DE51BD" w:rsidP="00DE51BD">
      <w:pPr>
        <w:numPr>
          <w:ilvl w:val="0"/>
          <w:numId w:val="12"/>
        </w:numPr>
        <w:spacing w:before="100" w:beforeAutospacing="1" w:after="150" w:line="240" w:lineRule="auto"/>
        <w:rPr>
          <w:rFonts w:ascii="Helvetica" w:hAnsi="Helvetica"/>
          <w:color w:val="4B4B4B"/>
          <w:sz w:val="23"/>
          <w:szCs w:val="23"/>
        </w:rPr>
      </w:pPr>
      <w:r>
        <w:rPr>
          <w:rFonts w:ascii="Helvetica" w:hAnsi="Helvetica"/>
          <w:color w:val="4B4B4B"/>
          <w:sz w:val="23"/>
          <w:szCs w:val="23"/>
        </w:rPr>
        <w:lastRenderedPageBreak/>
        <w:t>El número de personas empleadas debería crecer en unos 23 millones entre 2017 y 2019.</w:t>
      </w:r>
    </w:p>
    <w:p w:rsidR="00DE51BD" w:rsidRDefault="00DE51BD" w:rsidP="00DE51BD">
      <w:pPr>
        <w:numPr>
          <w:ilvl w:val="0"/>
          <w:numId w:val="12"/>
        </w:numPr>
        <w:spacing w:before="100" w:beforeAutospacing="1" w:after="150" w:line="240" w:lineRule="auto"/>
        <w:rPr>
          <w:rFonts w:ascii="Helvetica" w:hAnsi="Helvetica"/>
          <w:color w:val="4B4B4B"/>
          <w:sz w:val="23"/>
          <w:szCs w:val="23"/>
        </w:rPr>
      </w:pPr>
      <w:r>
        <w:rPr>
          <w:rFonts w:ascii="Helvetica" w:hAnsi="Helvetica"/>
          <w:color w:val="4B4B4B"/>
          <w:sz w:val="23"/>
          <w:szCs w:val="23"/>
        </w:rPr>
        <w:t>El empleo vulnerable afecta a casi la mitad de todos los trabajadores en la región, es decir más de 900 millones.</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Europa Septentrional, Meridional y Occidental</w:t>
      </w:r>
    </w:p>
    <w:p w:rsidR="00DE51BD" w:rsidRDefault="00DE51BD" w:rsidP="00DE51BD">
      <w:pPr>
        <w:numPr>
          <w:ilvl w:val="0"/>
          <w:numId w:val="13"/>
        </w:numPr>
        <w:spacing w:before="100" w:beforeAutospacing="1" w:after="150" w:line="240" w:lineRule="auto"/>
        <w:rPr>
          <w:rFonts w:ascii="Helvetica" w:hAnsi="Helvetica"/>
          <w:color w:val="4B4B4B"/>
          <w:sz w:val="23"/>
          <w:szCs w:val="23"/>
        </w:rPr>
      </w:pPr>
      <w:r>
        <w:rPr>
          <w:rFonts w:ascii="Helvetica" w:hAnsi="Helvetica"/>
          <w:color w:val="4B4B4B"/>
          <w:sz w:val="23"/>
          <w:szCs w:val="23"/>
        </w:rPr>
        <w:t>Gracias a una actividad económica mejor de la prevista, se estima que la tasa de desempleo disminuyó de 9,2 en 2016 a 8,5 en 2017, el nivel más bajo desde 2008.</w:t>
      </w:r>
    </w:p>
    <w:p w:rsidR="00DE51BD" w:rsidRDefault="00DE51BD" w:rsidP="00DE51BD">
      <w:pPr>
        <w:numPr>
          <w:ilvl w:val="0"/>
          <w:numId w:val="13"/>
        </w:numPr>
        <w:spacing w:before="100" w:beforeAutospacing="1" w:after="150" w:line="240" w:lineRule="auto"/>
        <w:rPr>
          <w:rFonts w:ascii="Helvetica" w:hAnsi="Helvetica"/>
          <w:color w:val="4B4B4B"/>
          <w:sz w:val="23"/>
          <w:szCs w:val="23"/>
        </w:rPr>
      </w:pPr>
      <w:r>
        <w:rPr>
          <w:rFonts w:ascii="Helvetica" w:hAnsi="Helvetica"/>
          <w:color w:val="4B4B4B"/>
          <w:sz w:val="23"/>
          <w:szCs w:val="23"/>
        </w:rPr>
        <w:t>Las mayores reducciones en las tasas de desempleo, del orden de 2 puntos porcentuales, debería registrarse en España y Grecia (15,4 por ciento y 19,5 por ciento respectivamente en 2018).</w:t>
      </w:r>
    </w:p>
    <w:p w:rsidR="00DE51BD" w:rsidRDefault="00DE51BD" w:rsidP="00DE51BD">
      <w:pPr>
        <w:numPr>
          <w:ilvl w:val="0"/>
          <w:numId w:val="13"/>
        </w:numPr>
        <w:spacing w:before="100" w:beforeAutospacing="1" w:after="150" w:line="240" w:lineRule="auto"/>
        <w:rPr>
          <w:rFonts w:ascii="Helvetica" w:hAnsi="Helvetica"/>
          <w:color w:val="4B4B4B"/>
          <w:sz w:val="23"/>
          <w:szCs w:val="23"/>
        </w:rPr>
      </w:pPr>
      <w:r>
        <w:rPr>
          <w:rFonts w:ascii="Helvetica" w:hAnsi="Helvetica"/>
          <w:color w:val="4B4B4B"/>
          <w:sz w:val="23"/>
          <w:szCs w:val="23"/>
        </w:rPr>
        <w:t>La tasa de desempleo debería seguir disminuyendo también en Italia, Irlanda y Portugal, pero a un ritmo más lento que durante el período 2015-2017.</w:t>
      </w:r>
    </w:p>
    <w:p w:rsidR="00DE51BD" w:rsidRDefault="00DE51BD" w:rsidP="00DE51BD">
      <w:pPr>
        <w:numPr>
          <w:ilvl w:val="0"/>
          <w:numId w:val="13"/>
        </w:numPr>
        <w:spacing w:before="100" w:beforeAutospacing="1" w:after="150" w:line="240" w:lineRule="auto"/>
        <w:rPr>
          <w:rFonts w:ascii="Helvetica" w:hAnsi="Helvetica"/>
          <w:color w:val="4B4B4B"/>
          <w:sz w:val="23"/>
          <w:szCs w:val="23"/>
        </w:rPr>
      </w:pPr>
      <w:r>
        <w:rPr>
          <w:rFonts w:ascii="Helvetica" w:hAnsi="Helvetica"/>
          <w:color w:val="4B4B4B"/>
          <w:sz w:val="23"/>
          <w:szCs w:val="23"/>
        </w:rPr>
        <w:t>Debería permanecer estable en Francia y el Reino Unido, aunque en este último país se estima que aumenté ligeramente en 2019.</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Europa Oriental</w:t>
      </w:r>
    </w:p>
    <w:p w:rsidR="00DE51BD" w:rsidRDefault="00DE51BD" w:rsidP="00DE51BD">
      <w:pPr>
        <w:numPr>
          <w:ilvl w:val="0"/>
          <w:numId w:val="14"/>
        </w:numPr>
        <w:spacing w:before="100" w:beforeAutospacing="1" w:after="150" w:line="240" w:lineRule="auto"/>
        <w:rPr>
          <w:rFonts w:ascii="Helvetica" w:hAnsi="Helvetica"/>
          <w:color w:val="4B4B4B"/>
          <w:sz w:val="23"/>
          <w:szCs w:val="23"/>
        </w:rPr>
      </w:pPr>
      <w:r>
        <w:rPr>
          <w:rFonts w:ascii="Helvetica" w:hAnsi="Helvetica"/>
          <w:color w:val="4B4B4B"/>
          <w:sz w:val="23"/>
          <w:szCs w:val="23"/>
        </w:rPr>
        <w:t>A medida que el crecimiento económico se recupera de manera considerable, la tasa de desempleo debería disminuir, pero sólo moderadamente, pasando de 5,5 por ciento en 2017 a 5,3 por ciento en 2018.</w:t>
      </w:r>
    </w:p>
    <w:p w:rsidR="00DE51BD" w:rsidRDefault="00DE51BD" w:rsidP="00DE51BD">
      <w:pPr>
        <w:numPr>
          <w:ilvl w:val="0"/>
          <w:numId w:val="14"/>
        </w:numPr>
        <w:spacing w:before="100" w:beforeAutospacing="1" w:after="150" w:line="240" w:lineRule="auto"/>
        <w:rPr>
          <w:rFonts w:ascii="Helvetica" w:hAnsi="Helvetica"/>
          <w:color w:val="4B4B4B"/>
          <w:sz w:val="23"/>
          <w:szCs w:val="23"/>
        </w:rPr>
      </w:pPr>
      <w:r>
        <w:rPr>
          <w:rFonts w:ascii="Helvetica" w:hAnsi="Helvetica"/>
          <w:color w:val="4B4B4B"/>
          <w:sz w:val="23"/>
          <w:szCs w:val="23"/>
        </w:rPr>
        <w:t>Esto refleja el descenso de las tasas de desempleo en países como Polonia, Ucrania y Eslovaquia, cuyo impacto es atenuado parcialmente por las previsiones de un aumento del desempleo en la República Checa.</w:t>
      </w:r>
    </w:p>
    <w:p w:rsidR="00DE51BD" w:rsidRPr="00DE51BD" w:rsidRDefault="00DE51BD" w:rsidP="00DE51BD">
      <w:pPr>
        <w:pStyle w:val="Ttulo3"/>
        <w:shd w:val="clear" w:color="auto" w:fill="FFFFFF"/>
        <w:spacing w:before="450"/>
        <w:rPr>
          <w:rFonts w:ascii="Helvetica" w:hAnsi="Helvetica"/>
          <w:color w:val="002060"/>
          <w:sz w:val="27"/>
          <w:szCs w:val="27"/>
        </w:rPr>
      </w:pPr>
      <w:r w:rsidRPr="00DE51BD">
        <w:rPr>
          <w:rFonts w:ascii="Helvetica" w:hAnsi="Helvetica"/>
          <w:b/>
          <w:bCs/>
          <w:color w:val="002060"/>
        </w:rPr>
        <w:t>Asia Central y Occidental</w:t>
      </w:r>
    </w:p>
    <w:p w:rsidR="00DE51BD" w:rsidRDefault="00DE51BD" w:rsidP="00DE51BD">
      <w:pPr>
        <w:numPr>
          <w:ilvl w:val="0"/>
          <w:numId w:val="15"/>
        </w:numPr>
        <w:spacing w:before="100" w:beforeAutospacing="1" w:after="150" w:line="240" w:lineRule="auto"/>
        <w:rPr>
          <w:rFonts w:ascii="Helvetica" w:hAnsi="Helvetica"/>
          <w:color w:val="4B4B4B"/>
          <w:sz w:val="23"/>
          <w:szCs w:val="23"/>
        </w:rPr>
      </w:pPr>
      <w:r>
        <w:rPr>
          <w:rFonts w:ascii="Helvetica" w:hAnsi="Helvetica"/>
          <w:color w:val="4B4B4B"/>
          <w:sz w:val="23"/>
          <w:szCs w:val="23"/>
        </w:rPr>
        <w:t>La recuperación relativamente fuete del crecimiento económico se está traduciendo en una disminución del desempleo sólo de manera parcial. La tasa de desempleo regional debería permanecer en alrededor de 8,6 por ciento durante 2018 y 2019.</w:t>
      </w:r>
    </w:p>
    <w:p w:rsidR="00DE51BD" w:rsidRDefault="00DE51BD" w:rsidP="00DE51BD">
      <w:pPr>
        <w:numPr>
          <w:ilvl w:val="0"/>
          <w:numId w:val="15"/>
        </w:numPr>
        <w:spacing w:before="100" w:beforeAutospacing="1" w:after="150" w:line="240" w:lineRule="auto"/>
        <w:rPr>
          <w:rFonts w:ascii="Helvetica" w:hAnsi="Helvetica"/>
          <w:color w:val="4B4B4B"/>
          <w:sz w:val="23"/>
          <w:szCs w:val="23"/>
        </w:rPr>
      </w:pPr>
      <w:r>
        <w:rPr>
          <w:rFonts w:ascii="Helvetica" w:hAnsi="Helvetica"/>
          <w:color w:val="4B4B4B"/>
          <w:sz w:val="23"/>
          <w:szCs w:val="23"/>
        </w:rPr>
        <w:t>El empleo vulnerable se mantiene persistentemente alto, afectando a más de 30 por ciento de los trabajadores en 2017, pero se estima que disminuirá un poco durante 2018 y 2019 (0,6 puntos porcentuales).</w:t>
      </w:r>
    </w:p>
    <w:p w:rsidR="00DE51BD" w:rsidRDefault="00DE51BD" w:rsidP="00DE51BD">
      <w:pPr>
        <w:shd w:val="clear" w:color="auto" w:fill="FFFFFF"/>
        <w:spacing w:before="384" w:after="384" w:line="240" w:lineRule="auto"/>
        <w:textAlignment w:val="baseline"/>
        <w:rPr>
          <w:rFonts w:ascii="Arial" w:eastAsia="Times New Roman" w:hAnsi="Arial" w:cs="Arial"/>
          <w:color w:val="555555"/>
          <w:sz w:val="21"/>
          <w:szCs w:val="21"/>
          <w:lang w:eastAsia="es-PE"/>
        </w:rPr>
      </w:pPr>
    </w:p>
    <w:p w:rsidR="00DE51BD" w:rsidRPr="00DE51BD" w:rsidRDefault="00DE51BD" w:rsidP="00DE51BD">
      <w:pPr>
        <w:shd w:val="clear" w:color="auto" w:fill="FFFFFF"/>
        <w:spacing w:before="384" w:after="384" w:line="240" w:lineRule="auto"/>
        <w:textAlignment w:val="baseline"/>
        <w:rPr>
          <w:rFonts w:ascii="Arial" w:eastAsia="Times New Roman" w:hAnsi="Arial" w:cs="Arial"/>
          <w:color w:val="555555"/>
          <w:sz w:val="21"/>
          <w:szCs w:val="21"/>
          <w:lang w:eastAsia="es-PE"/>
        </w:rPr>
      </w:pPr>
    </w:p>
    <w:p w:rsidR="00C04E4F" w:rsidRDefault="00C04E4F"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p>
    <w:p w:rsidR="00C04E4F" w:rsidRDefault="00C04E4F"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lastRenderedPageBreak/>
        <w:t xml:space="preserve">La actividad económica se basa en el que la empresa selecciona  </w:t>
      </w:r>
      <w:r w:rsidR="0024080E">
        <w:rPr>
          <w:rFonts w:ascii="Arial" w:eastAsia="Times New Roman" w:hAnsi="Arial" w:cs="Arial"/>
          <w:color w:val="555555"/>
          <w:sz w:val="21"/>
          <w:szCs w:val="21"/>
          <w:lang w:eastAsia="es-PE"/>
        </w:rPr>
        <w:t>los trabajadores que necesita por medio tiempo o tiempo completo. Solo pagando una mensualidad</w:t>
      </w:r>
      <w:r w:rsidR="00ED0A62">
        <w:rPr>
          <w:rFonts w:ascii="Arial" w:eastAsia="Times New Roman" w:hAnsi="Arial" w:cs="Arial"/>
          <w:color w:val="555555"/>
          <w:sz w:val="21"/>
          <w:szCs w:val="21"/>
          <w:lang w:eastAsia="es-PE"/>
        </w:rPr>
        <w:t xml:space="preserve"> mínima pude tener todo los profesionales para sus empresas.</w:t>
      </w:r>
    </w:p>
    <w:p w:rsidR="00ED0A62" w:rsidRDefault="00ED0A62"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bookmarkStart w:id="0" w:name="_GoBack"/>
      <w:bookmarkEnd w:id="0"/>
    </w:p>
    <w:p w:rsidR="00C04E4F" w:rsidRDefault="00C04E4F"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p>
    <w:p w:rsidR="00D43A4A" w:rsidRDefault="00634E15"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 xml:space="preserve">El </w:t>
      </w:r>
      <w:r w:rsidR="00D43A4A">
        <w:rPr>
          <w:rFonts w:ascii="Arial" w:eastAsia="Times New Roman" w:hAnsi="Arial" w:cs="Arial"/>
          <w:color w:val="555555"/>
          <w:sz w:val="21"/>
          <w:szCs w:val="21"/>
          <w:lang w:eastAsia="es-PE"/>
        </w:rPr>
        <w:t xml:space="preserve">Logo: tiene 800x800px de la empresa es el número uno en la derecha y lado izquierdo para referirnos a los problemas </w:t>
      </w:r>
      <w:r>
        <w:rPr>
          <w:rFonts w:ascii="Arial" w:eastAsia="Times New Roman" w:hAnsi="Arial" w:cs="Arial"/>
          <w:color w:val="555555"/>
          <w:sz w:val="21"/>
          <w:szCs w:val="21"/>
          <w:lang w:eastAsia="es-PE"/>
        </w:rPr>
        <w:t xml:space="preserve">en ambos lados </w:t>
      </w:r>
      <w:r w:rsidR="00D43A4A">
        <w:rPr>
          <w:rFonts w:ascii="Arial" w:eastAsia="Times New Roman" w:hAnsi="Arial" w:cs="Arial"/>
          <w:color w:val="555555"/>
          <w:sz w:val="21"/>
          <w:szCs w:val="21"/>
          <w:lang w:eastAsia="es-PE"/>
        </w:rPr>
        <w:t xml:space="preserve">que vayamos solucionando. Uno por uno </w:t>
      </w:r>
    </w:p>
    <w:p w:rsidR="00AB5EB4" w:rsidRDefault="00AB5EB4" w:rsidP="00AB5EB4">
      <w:pPr>
        <w:shd w:val="clear" w:color="auto" w:fill="FFFFFF"/>
        <w:spacing w:before="384" w:after="384" w:line="240" w:lineRule="auto"/>
        <w:textAlignment w:val="baseline"/>
        <w:rPr>
          <w:rFonts w:ascii="Arial" w:eastAsia="Times New Roman" w:hAnsi="Arial" w:cs="Arial"/>
          <w:color w:val="555555"/>
          <w:sz w:val="21"/>
          <w:szCs w:val="21"/>
          <w:lang w:eastAsia="es-PE"/>
        </w:rPr>
      </w:pPr>
      <w:r w:rsidRPr="008F79A5">
        <w:rPr>
          <w:rFonts w:ascii="Arial" w:eastAsia="Times New Roman" w:hAnsi="Arial" w:cs="Arial"/>
          <w:color w:val="555555"/>
          <w:sz w:val="21"/>
          <w:szCs w:val="21"/>
          <w:lang w:eastAsia="es-PE"/>
        </w:rPr>
        <w:t>Durante la ejec</w:t>
      </w:r>
      <w:r>
        <w:rPr>
          <w:rFonts w:ascii="Arial" w:eastAsia="Times New Roman" w:hAnsi="Arial" w:cs="Arial"/>
          <w:color w:val="555555"/>
          <w:sz w:val="21"/>
          <w:szCs w:val="21"/>
          <w:lang w:eastAsia="es-PE"/>
        </w:rPr>
        <w:t xml:space="preserve">ución del proyecto se generó el proyecto con </w:t>
      </w:r>
      <w:r w:rsidRPr="009A12B5">
        <w:rPr>
          <w:rFonts w:ascii="Arial" w:eastAsia="Times New Roman" w:hAnsi="Arial" w:cs="Arial"/>
          <w:color w:val="555555"/>
          <w:sz w:val="21"/>
          <w:szCs w:val="21"/>
          <w:lang w:eastAsia="es-PE"/>
        </w:rPr>
        <w:t>Photoshop</w:t>
      </w:r>
      <w:r>
        <w:rPr>
          <w:rFonts w:ascii="Arial" w:eastAsia="Times New Roman" w:hAnsi="Arial" w:cs="Arial"/>
          <w:color w:val="555555"/>
          <w:sz w:val="21"/>
          <w:szCs w:val="21"/>
          <w:lang w:eastAsia="es-PE"/>
        </w:rPr>
        <w:t xml:space="preserve"> toda la parte gráfica y las tipografías e iconos se tuvo de descargar de la web para poder realizar el trabajo debido.</w:t>
      </w:r>
    </w:p>
    <w:p w:rsidR="00AB5EB4" w:rsidRDefault="00AB5EB4" w:rsidP="008F79A5">
      <w:pPr>
        <w:shd w:val="clear" w:color="auto" w:fill="FFFFFF"/>
        <w:spacing w:before="384" w:after="384" w:line="240" w:lineRule="auto"/>
        <w:textAlignment w:val="baseline"/>
        <w:rPr>
          <w:rFonts w:ascii="Arial" w:eastAsia="Times New Roman" w:hAnsi="Arial" w:cs="Arial"/>
          <w:color w:val="555555"/>
          <w:sz w:val="21"/>
          <w:szCs w:val="21"/>
          <w:lang w:eastAsia="es-PE"/>
        </w:rPr>
      </w:pPr>
    </w:p>
    <w:p w:rsidR="00D43A4A" w:rsidRPr="00634E15" w:rsidRDefault="00D43A4A" w:rsidP="00634E15">
      <w:pPr>
        <w:pStyle w:val="Prrafodelista"/>
        <w:numPr>
          <w:ilvl w:val="0"/>
          <w:numId w:val="2"/>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D43A4A">
        <w:rPr>
          <w:rFonts w:ascii="Arial" w:eastAsia="Times New Roman" w:hAnsi="Arial" w:cs="Arial"/>
          <w:color w:val="555555"/>
          <w:sz w:val="21"/>
          <w:szCs w:val="21"/>
          <w:lang w:eastAsia="es-PE"/>
        </w:rPr>
        <w:t>El color: del logo es azul por la parte profesional, seriedad, integridad, sinceridad, calma, infinito.</w:t>
      </w:r>
    </w:p>
    <w:p w:rsidR="00833DD8" w:rsidRDefault="00833DD8" w:rsidP="00833DD8">
      <w:pPr>
        <w:pStyle w:val="Prrafodelista"/>
        <w:numPr>
          <w:ilvl w:val="0"/>
          <w:numId w:val="2"/>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833DD8">
        <w:rPr>
          <w:rFonts w:ascii="Arial" w:eastAsia="Times New Roman" w:hAnsi="Arial" w:cs="Arial"/>
          <w:color w:val="555555"/>
          <w:sz w:val="21"/>
          <w:szCs w:val="21"/>
          <w:lang w:eastAsia="es-PE"/>
        </w:rPr>
        <w:t xml:space="preserve">Cuerpo de  página  la primera </w:t>
      </w:r>
      <w:r>
        <w:rPr>
          <w:rFonts w:ascii="Arial" w:eastAsia="Times New Roman" w:hAnsi="Arial" w:cs="Arial"/>
          <w:color w:val="555555"/>
          <w:sz w:val="21"/>
          <w:szCs w:val="21"/>
          <w:lang w:eastAsia="es-PE"/>
        </w:rPr>
        <w:t xml:space="preserve">tiene tres fila y tres columnas  y la siguiente fila tiene </w:t>
      </w:r>
      <w:r w:rsidR="005A3796">
        <w:rPr>
          <w:rFonts w:ascii="Arial" w:eastAsia="Times New Roman" w:hAnsi="Arial" w:cs="Arial"/>
          <w:color w:val="555555"/>
          <w:sz w:val="21"/>
          <w:szCs w:val="21"/>
          <w:lang w:eastAsia="es-PE"/>
        </w:rPr>
        <w:t>dos filas y dos columnas.</w:t>
      </w:r>
    </w:p>
    <w:p w:rsidR="006113E0" w:rsidRDefault="00833DD8" w:rsidP="006113E0">
      <w:pPr>
        <w:pStyle w:val="Prrafodelista"/>
        <w:numPr>
          <w:ilvl w:val="0"/>
          <w:numId w:val="2"/>
        </w:numPr>
        <w:shd w:val="clear" w:color="auto" w:fill="FFFFFF"/>
        <w:spacing w:before="384" w:after="384" w:line="240" w:lineRule="auto"/>
        <w:textAlignment w:val="baseline"/>
        <w:rPr>
          <w:rFonts w:ascii="Arial" w:eastAsia="Times New Roman" w:hAnsi="Arial" w:cs="Arial"/>
          <w:color w:val="555555"/>
          <w:sz w:val="21"/>
          <w:szCs w:val="21"/>
          <w:lang w:eastAsia="es-PE"/>
        </w:rPr>
      </w:pPr>
      <w:r>
        <w:rPr>
          <w:rFonts w:ascii="Arial" w:eastAsia="Times New Roman" w:hAnsi="Arial" w:cs="Arial"/>
          <w:color w:val="555555"/>
          <w:sz w:val="21"/>
          <w:szCs w:val="21"/>
          <w:lang w:eastAsia="es-PE"/>
        </w:rPr>
        <w:t xml:space="preserve">Menú se encuentra en la parte Izquierda de la pantalla </w:t>
      </w:r>
      <w:r w:rsidR="005A3796">
        <w:rPr>
          <w:rFonts w:ascii="Arial" w:eastAsia="Times New Roman" w:hAnsi="Arial" w:cs="Arial"/>
          <w:color w:val="555555"/>
          <w:sz w:val="21"/>
          <w:szCs w:val="21"/>
          <w:lang w:eastAsia="es-PE"/>
        </w:rPr>
        <w:t>junto con los seis iconos.</w:t>
      </w:r>
    </w:p>
    <w:p w:rsidR="006113E0" w:rsidRPr="006113E0" w:rsidRDefault="006113E0" w:rsidP="006113E0">
      <w:pPr>
        <w:shd w:val="clear" w:color="auto" w:fill="FFFFFF"/>
        <w:spacing w:before="384" w:after="384" w:line="240" w:lineRule="auto"/>
        <w:textAlignment w:val="baseline"/>
        <w:rPr>
          <w:rFonts w:ascii="Arial" w:eastAsia="Times New Roman" w:hAnsi="Arial" w:cs="Arial"/>
          <w:color w:val="555555"/>
          <w:sz w:val="21"/>
          <w:szCs w:val="21"/>
          <w:lang w:eastAsia="es-PE"/>
        </w:rPr>
      </w:pPr>
    </w:p>
    <w:p w:rsidR="00ED0A62" w:rsidRDefault="005A3796" w:rsidP="00ED0A62">
      <w:pPr>
        <w:pStyle w:val="Prrafodelista"/>
        <w:numPr>
          <w:ilvl w:val="1"/>
          <w:numId w:val="16"/>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ED0A62">
        <w:rPr>
          <w:rFonts w:ascii="Arial" w:eastAsia="Times New Roman" w:hAnsi="Arial" w:cs="Arial"/>
          <w:color w:val="555555"/>
          <w:sz w:val="21"/>
          <w:szCs w:val="21"/>
          <w:lang w:eastAsia="es-PE"/>
        </w:rPr>
        <w:t xml:space="preserve">Icono de costo se muestra con un cuaderno de apuntes y un lapicero a la derecha de cuaderno. </w:t>
      </w:r>
    </w:p>
    <w:p w:rsidR="005A3796" w:rsidRPr="00ED0A62" w:rsidRDefault="005A3796" w:rsidP="00ED0A62">
      <w:pPr>
        <w:pStyle w:val="Prrafodelista"/>
        <w:numPr>
          <w:ilvl w:val="1"/>
          <w:numId w:val="16"/>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ED0A62">
        <w:rPr>
          <w:rFonts w:ascii="Arial" w:eastAsia="Times New Roman" w:hAnsi="Arial" w:cs="Arial"/>
          <w:color w:val="555555"/>
          <w:sz w:val="21"/>
          <w:szCs w:val="21"/>
          <w:lang w:eastAsia="es-PE"/>
        </w:rPr>
        <w:t xml:space="preserve">Icono de ventas se optó en poner un controlador para saber </w:t>
      </w:r>
      <w:r w:rsidR="006113E0" w:rsidRPr="00ED0A62">
        <w:rPr>
          <w:rFonts w:ascii="Arial" w:eastAsia="Times New Roman" w:hAnsi="Arial" w:cs="Arial"/>
          <w:color w:val="555555"/>
          <w:sz w:val="21"/>
          <w:szCs w:val="21"/>
          <w:lang w:eastAsia="es-PE"/>
        </w:rPr>
        <w:t>las ventas</w:t>
      </w:r>
    </w:p>
    <w:p w:rsidR="006113E0" w:rsidRPr="006113E0" w:rsidRDefault="006113E0" w:rsidP="00ED0A62">
      <w:pPr>
        <w:pStyle w:val="Prrafodelista"/>
        <w:rPr>
          <w:rFonts w:ascii="Arial" w:eastAsia="Times New Roman" w:hAnsi="Arial" w:cs="Arial"/>
          <w:color w:val="555555"/>
          <w:sz w:val="21"/>
          <w:szCs w:val="21"/>
          <w:lang w:eastAsia="es-PE"/>
        </w:rPr>
      </w:pPr>
    </w:p>
    <w:p w:rsidR="00ED0A62" w:rsidRDefault="005A3796" w:rsidP="00ED0A62">
      <w:pPr>
        <w:pStyle w:val="Prrafodelista"/>
        <w:numPr>
          <w:ilvl w:val="1"/>
          <w:numId w:val="16"/>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ED0A62">
        <w:rPr>
          <w:rFonts w:ascii="Arial" w:eastAsia="Times New Roman" w:hAnsi="Arial" w:cs="Arial"/>
          <w:color w:val="555555"/>
          <w:sz w:val="21"/>
          <w:szCs w:val="21"/>
          <w:lang w:eastAsia="es-PE"/>
        </w:rPr>
        <w:t>Icono de rentabilidad se puso una calculadora para saber si el producto  es rentable  o no.</w:t>
      </w:r>
    </w:p>
    <w:p w:rsidR="00ED0A62" w:rsidRPr="00ED0A62" w:rsidRDefault="00ED0A62" w:rsidP="00ED0A62">
      <w:pPr>
        <w:pStyle w:val="Prrafodelista"/>
        <w:rPr>
          <w:rFonts w:ascii="Arial" w:eastAsia="Times New Roman" w:hAnsi="Arial" w:cs="Arial"/>
          <w:color w:val="555555"/>
          <w:sz w:val="21"/>
          <w:szCs w:val="21"/>
          <w:lang w:eastAsia="es-PE"/>
        </w:rPr>
      </w:pPr>
    </w:p>
    <w:p w:rsidR="00ED0A62" w:rsidRDefault="005A3796" w:rsidP="00ED0A62">
      <w:pPr>
        <w:pStyle w:val="Prrafodelista"/>
        <w:numPr>
          <w:ilvl w:val="1"/>
          <w:numId w:val="16"/>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ED0A62">
        <w:rPr>
          <w:rFonts w:ascii="Arial" w:eastAsia="Times New Roman" w:hAnsi="Arial" w:cs="Arial"/>
          <w:color w:val="555555"/>
          <w:sz w:val="21"/>
          <w:szCs w:val="21"/>
          <w:lang w:eastAsia="es-PE"/>
        </w:rPr>
        <w:t>Icono de productos se  optó en  colocar a un archivador que parecía más a una caja.</w:t>
      </w:r>
    </w:p>
    <w:p w:rsidR="00ED0A62" w:rsidRPr="00ED0A62" w:rsidRDefault="00ED0A62" w:rsidP="00ED0A62">
      <w:pPr>
        <w:pStyle w:val="Prrafodelista"/>
        <w:rPr>
          <w:rFonts w:ascii="Arial" w:eastAsia="Times New Roman" w:hAnsi="Arial" w:cs="Arial"/>
          <w:color w:val="555555"/>
          <w:sz w:val="21"/>
          <w:szCs w:val="21"/>
          <w:lang w:eastAsia="es-PE"/>
        </w:rPr>
      </w:pPr>
    </w:p>
    <w:p w:rsidR="00ED0A62" w:rsidRDefault="005A3796" w:rsidP="00ED0A62">
      <w:pPr>
        <w:pStyle w:val="Prrafodelista"/>
        <w:numPr>
          <w:ilvl w:val="1"/>
          <w:numId w:val="16"/>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ED0A62">
        <w:rPr>
          <w:rFonts w:ascii="Arial" w:eastAsia="Times New Roman" w:hAnsi="Arial" w:cs="Arial"/>
          <w:color w:val="555555"/>
          <w:sz w:val="21"/>
          <w:szCs w:val="21"/>
          <w:lang w:eastAsia="es-PE"/>
        </w:rPr>
        <w:t xml:space="preserve">Iconos de punto de ventas se colocó dos ubicaciones </w:t>
      </w:r>
      <w:r w:rsidR="006113E0" w:rsidRPr="00ED0A62">
        <w:rPr>
          <w:rFonts w:ascii="Arial" w:eastAsia="Times New Roman" w:hAnsi="Arial" w:cs="Arial"/>
          <w:color w:val="555555"/>
          <w:sz w:val="21"/>
          <w:szCs w:val="21"/>
          <w:lang w:eastAsia="es-PE"/>
        </w:rPr>
        <w:t>para que los usuarios lo puedan encontrar más fácil.</w:t>
      </w:r>
    </w:p>
    <w:p w:rsidR="00ED0A62" w:rsidRPr="00ED0A62" w:rsidRDefault="00ED0A62" w:rsidP="00ED0A62">
      <w:pPr>
        <w:pStyle w:val="Prrafodelista"/>
        <w:rPr>
          <w:rFonts w:ascii="Arial" w:eastAsia="Times New Roman" w:hAnsi="Arial" w:cs="Arial"/>
          <w:color w:val="555555"/>
          <w:sz w:val="21"/>
          <w:szCs w:val="21"/>
          <w:lang w:eastAsia="es-PE"/>
        </w:rPr>
      </w:pPr>
    </w:p>
    <w:p w:rsidR="006113E0" w:rsidRPr="00ED0A62" w:rsidRDefault="006113E0" w:rsidP="00ED0A62">
      <w:pPr>
        <w:pStyle w:val="Prrafodelista"/>
        <w:numPr>
          <w:ilvl w:val="1"/>
          <w:numId w:val="16"/>
        </w:numPr>
        <w:shd w:val="clear" w:color="auto" w:fill="FFFFFF"/>
        <w:spacing w:before="384" w:after="384" w:line="240" w:lineRule="auto"/>
        <w:textAlignment w:val="baseline"/>
        <w:rPr>
          <w:rFonts w:ascii="Arial" w:eastAsia="Times New Roman" w:hAnsi="Arial" w:cs="Arial"/>
          <w:color w:val="555555"/>
          <w:sz w:val="21"/>
          <w:szCs w:val="21"/>
          <w:lang w:eastAsia="es-PE"/>
        </w:rPr>
      </w:pPr>
      <w:r w:rsidRPr="00ED0A62">
        <w:rPr>
          <w:rFonts w:ascii="Arial" w:eastAsia="Times New Roman" w:hAnsi="Arial" w:cs="Arial"/>
          <w:color w:val="555555"/>
          <w:sz w:val="21"/>
          <w:szCs w:val="21"/>
          <w:lang w:eastAsia="es-PE"/>
        </w:rPr>
        <w:t xml:space="preserve">Icono de ventas se optó por un usuario que tenía un mandil puesto indicando que el usuario es el vendedor.  </w:t>
      </w:r>
    </w:p>
    <w:p w:rsidR="006113E0" w:rsidRPr="006113E0" w:rsidRDefault="006113E0" w:rsidP="006113E0">
      <w:pPr>
        <w:shd w:val="clear" w:color="auto" w:fill="FFFFFF"/>
        <w:spacing w:before="384" w:after="384" w:line="240" w:lineRule="auto"/>
        <w:ind w:left="720"/>
        <w:textAlignment w:val="baseline"/>
        <w:rPr>
          <w:rFonts w:ascii="Arial" w:eastAsia="Times New Roman" w:hAnsi="Arial" w:cs="Arial"/>
          <w:color w:val="555555"/>
          <w:sz w:val="21"/>
          <w:szCs w:val="21"/>
          <w:lang w:eastAsia="es-PE"/>
        </w:rPr>
      </w:pPr>
    </w:p>
    <w:p w:rsidR="00EC1B54" w:rsidRDefault="00EC1B54"/>
    <w:sectPr w:rsidR="00EC1B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2EA3"/>
    <w:multiLevelType w:val="multilevel"/>
    <w:tmpl w:val="9C1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35585"/>
    <w:multiLevelType w:val="multilevel"/>
    <w:tmpl w:val="121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70358"/>
    <w:multiLevelType w:val="multilevel"/>
    <w:tmpl w:val="072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937A3"/>
    <w:multiLevelType w:val="multilevel"/>
    <w:tmpl w:val="4D3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F7BA7"/>
    <w:multiLevelType w:val="multilevel"/>
    <w:tmpl w:val="1B04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E019F"/>
    <w:multiLevelType w:val="hybridMultilevel"/>
    <w:tmpl w:val="DC621C7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2B1050A6"/>
    <w:multiLevelType w:val="hybridMultilevel"/>
    <w:tmpl w:val="5686DC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F6742D0"/>
    <w:multiLevelType w:val="multilevel"/>
    <w:tmpl w:val="C1D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D543D1"/>
    <w:multiLevelType w:val="hybridMultilevel"/>
    <w:tmpl w:val="DCA41E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160" w:hanging="18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1C31A24"/>
    <w:multiLevelType w:val="multilevel"/>
    <w:tmpl w:val="15A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8E0F26"/>
    <w:multiLevelType w:val="hybridMultilevel"/>
    <w:tmpl w:val="849CDA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ECB68D8"/>
    <w:multiLevelType w:val="multilevel"/>
    <w:tmpl w:val="F396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063005"/>
    <w:multiLevelType w:val="hybridMultilevel"/>
    <w:tmpl w:val="FCD067F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3B709AD"/>
    <w:multiLevelType w:val="hybridMultilevel"/>
    <w:tmpl w:val="A7E818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F0F3A9A"/>
    <w:multiLevelType w:val="multilevel"/>
    <w:tmpl w:val="DD4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7A46F1"/>
    <w:multiLevelType w:val="multilevel"/>
    <w:tmpl w:val="8E30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13"/>
  </w:num>
  <w:num w:numId="5">
    <w:abstractNumId w:val="6"/>
  </w:num>
  <w:num w:numId="6">
    <w:abstractNumId w:val="8"/>
  </w:num>
  <w:num w:numId="7">
    <w:abstractNumId w:val="0"/>
  </w:num>
  <w:num w:numId="8">
    <w:abstractNumId w:val="2"/>
  </w:num>
  <w:num w:numId="9">
    <w:abstractNumId w:val="3"/>
  </w:num>
  <w:num w:numId="10">
    <w:abstractNumId w:val="14"/>
  </w:num>
  <w:num w:numId="11">
    <w:abstractNumId w:val="15"/>
  </w:num>
  <w:num w:numId="12">
    <w:abstractNumId w:val="4"/>
  </w:num>
  <w:num w:numId="13">
    <w:abstractNumId w:val="9"/>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CB"/>
    <w:rsid w:val="0024080E"/>
    <w:rsid w:val="003B3B2D"/>
    <w:rsid w:val="004A60E4"/>
    <w:rsid w:val="005A3796"/>
    <w:rsid w:val="006113E0"/>
    <w:rsid w:val="00634E15"/>
    <w:rsid w:val="00833DD8"/>
    <w:rsid w:val="008753E5"/>
    <w:rsid w:val="008F79A5"/>
    <w:rsid w:val="009A12B5"/>
    <w:rsid w:val="00AB5EB4"/>
    <w:rsid w:val="00C04E4F"/>
    <w:rsid w:val="00C41132"/>
    <w:rsid w:val="00D43A4A"/>
    <w:rsid w:val="00DD25CB"/>
    <w:rsid w:val="00DE51BD"/>
    <w:rsid w:val="00E7724D"/>
    <w:rsid w:val="00EC1B54"/>
    <w:rsid w:val="00ED0A62"/>
    <w:rsid w:val="00F154B7"/>
    <w:rsid w:val="00FD4D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1481-A67E-447E-9F35-289BE434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F79A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DE51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79A5"/>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8F79A5"/>
    <w:rPr>
      <w:b/>
      <w:bCs/>
    </w:rPr>
  </w:style>
  <w:style w:type="paragraph" w:styleId="NormalWeb">
    <w:name w:val="Normal (Web)"/>
    <w:basedOn w:val="Normal"/>
    <w:uiPriority w:val="99"/>
    <w:semiHidden/>
    <w:unhideWhenUsed/>
    <w:rsid w:val="008F79A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8F79A5"/>
    <w:rPr>
      <w:color w:val="0000FF"/>
      <w:u w:val="single"/>
    </w:rPr>
  </w:style>
  <w:style w:type="character" w:customStyle="1" w:styleId="Puesto1">
    <w:name w:val="Puesto1"/>
    <w:basedOn w:val="Fuentedeprrafopredeter"/>
    <w:rsid w:val="009A12B5"/>
  </w:style>
  <w:style w:type="paragraph" w:styleId="Prrafodelista">
    <w:name w:val="List Paragraph"/>
    <w:basedOn w:val="Normal"/>
    <w:uiPriority w:val="34"/>
    <w:qFormat/>
    <w:rsid w:val="00833DD8"/>
    <w:pPr>
      <w:ind w:left="720"/>
      <w:contextualSpacing/>
    </w:pPr>
  </w:style>
  <w:style w:type="character" w:customStyle="1" w:styleId="Ttulo3Car">
    <w:name w:val="Título 3 Car"/>
    <w:basedOn w:val="Fuentedeprrafopredeter"/>
    <w:link w:val="Ttulo3"/>
    <w:uiPriority w:val="9"/>
    <w:semiHidden/>
    <w:rsid w:val="00DE51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755879">
      <w:bodyDiv w:val="1"/>
      <w:marLeft w:val="0"/>
      <w:marRight w:val="0"/>
      <w:marTop w:val="0"/>
      <w:marBottom w:val="0"/>
      <w:divBdr>
        <w:top w:val="none" w:sz="0" w:space="0" w:color="auto"/>
        <w:left w:val="none" w:sz="0" w:space="0" w:color="auto"/>
        <w:bottom w:val="none" w:sz="0" w:space="0" w:color="auto"/>
        <w:right w:val="none" w:sz="0" w:space="0" w:color="auto"/>
      </w:divBdr>
    </w:div>
    <w:div w:id="21102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1020</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13</cp:revision>
  <dcterms:created xsi:type="dcterms:W3CDTF">2019-01-07T23:29:00Z</dcterms:created>
  <dcterms:modified xsi:type="dcterms:W3CDTF">2019-01-13T17:23:00Z</dcterms:modified>
</cp:coreProperties>
</file>