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anchor distT="0" distB="0" distL="0" distR="0" simplePos="0" allowOverlap="1" behindDoc="1" locked="0" layoutInCell="1" relativeHeight="1069657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t="0" r="0" b="0" l="0"/>
            <wp:wrapNone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100"/>
      </w:pPr>
      <w:r>
        <w:rPr>
          <w:rFonts w:ascii="Segoe UI" w:cs="Segoe UI" w:eastAsia="Segoe UI" w:hAnsi="Segoe UI"/>
          <w:b/>
          <w:bCs/>
          <w:color w:val="5AD6FF"/>
          <w:spacing w:val="60"/>
          <w:sz w:val="20"/>
          <w:szCs w:val="20"/>
        </w:rPr>
        <w:t xml:space="preserve">GARANTIA DE QUALIDADE</w:t>
      </w:r>
    </w:p>
    <w:p>
      <w:pPr>
        <w:spacing w:after="160" w:line="240"/>
      </w:pPr>
      <w:r>
        <w:rPr>
          <w:rFonts w:ascii="Segoe UI" w:cs="Segoe UI" w:eastAsia="Segoe UI" w:hAnsi="Segoe UI"/>
          <w:b/>
          <w:bCs/>
          <w:color w:val="FFFFFF"/>
          <w:sz w:val="80"/>
          <w:szCs w:val="80"/>
        </w:rPr>
        <w:t xml:space="preserve">Documento de Qualidade</w:t>
      </w:r>
    </w:p>
    <w:p>
      <w:pPr>
        <w:spacing w:after="240" w:line="320"/>
        <w:ind w:right="1700"/>
      </w:pPr>
      <w:r>
        <w:rPr>
          <w:rFonts w:ascii="Segoe UI" w:cs="Segoe UI" w:eastAsia="Segoe UI" w:hAnsi="Segoe UI"/>
          <w:color w:val="B7D3E4"/>
          <w:sz w:val="26"/>
          <w:szCs w:val="26"/>
        </w:rPr>
        <w:t xml:space="preserve">Estratégia de testes, critérios de aceitação, casos de teste, rastreabilidade e registro de execução do HoverVoice.</w:t>
      </w:r>
    </w:p>
    <w:p>
      <w:pPr>
        <w:pBdr>
          <w:bottom w:val="single" w:color="00A8E8" w:sz="24" w:space="1"/>
        </w:pBdr>
        <w:spacing w:after="360"/>
        <w:ind w:right="7256"/>
      </w:pP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50"/>
        <w:gridCol w:w="3950"/>
      </w:tblGrid>
      <w:tr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VERSÃO TESTADA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1.2.0</w:t>
            </w:r>
          </w:p>
        </w:tc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ATUALIZADO EM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30/10/2026</w:t>
            </w:r>
          </w:p>
        </w:tc>
      </w:tr>
      <w:tr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RESPONSÁVEL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Carlos Henrique Madureira Santos</w:t>
            </w:r>
          </w:p>
        </w:tc>
        <w:tc>
          <w:tcPr>
            <w:tcW w:type="dxa" w:w="3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160"/>
              <w:right w:type="dxa" w:w="120"/>
            </w:tcMar>
          </w:tcPr>
          <w:p>
            <w:pPr>
              <w:spacing w:after="20"/>
            </w:pPr>
            <w:r>
              <w:rPr>
                <w:rFonts w:ascii="Segoe UI" w:cs="Segoe UI" w:eastAsia="Segoe UI" w:hAnsi="Segoe UI"/>
                <w:color w:val="7FA6BF"/>
                <w:spacing w:val="30"/>
                <w:sz w:val="15"/>
                <w:szCs w:val="15"/>
              </w:rPr>
              <w:t xml:space="preserve">DOCENTE ORIENTADOR</w:t>
            </w:r>
          </w:p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2"/>
                <w:szCs w:val="22"/>
              </w:rPr>
              <w:t xml:space="preserve">Matheus de Azevedo Porciúncula Santos</w:t>
            </w:r>
          </w:p>
        </w:tc>
      </w:tr>
    </w:tbl>
    <w:p>
      <w:pPr>
        <w:sectPr>
          <w:pgSz w:w="11906" w:h="16838" w:orient="portrait"/>
          <w:pgMar w:top="6010" w:right="1247" w:bottom="700" w:left="1474" w:header="708" w:footer="708" w:gutter="0"/>
          <w:pgNumType/>
          <w:docGrid w:linePitch="360"/>
        </w:sectPr>
      </w:pPr>
    </w:p>
    <w:p>
      <w:pPr>
        <w:spacing w:after="80"/>
      </w:pPr>
      <w:r>
        <w:rPr>
          <w:rFonts w:ascii="Segoe UI" w:cs="Segoe UI" w:eastAsia="Segoe UI" w:hAnsi="Segoe UI"/>
          <w:b/>
          <w:bCs/>
          <w:color w:val="06111C"/>
          <w:sz w:val="44"/>
          <w:szCs w:val="44"/>
        </w:rPr>
        <w:t xml:space="preserve">Sumário</w:t>
      </w:r>
    </w:p>
    <w:p>
      <w:pPr>
        <w:spacing w:after="280"/>
      </w:pPr>
      <w:r>
        <w:rPr>
          <w:rFonts w:ascii="Segoe UI" w:cs="Segoe UI" w:eastAsia="Segoe UI" w:hAnsi="Segoe UI"/>
          <w:color w:val="5B6B7A"/>
          <w:sz w:val="22"/>
          <w:szCs w:val="22"/>
        </w:rPr>
        <w:t xml:space="preserve">Como a qualidade do HoverVoice é verificada, com casos de teste e resultados.</w:t>
      </w:r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1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1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Introdução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2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2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Estratégia de qualidade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3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3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Critérios de aceitação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4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4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Casos de teste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5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5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Matriz de rastreabilidade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6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6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Defeitos, riscos e pendências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7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7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Como registrar a execução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8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8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Registro de execução</w:t>
        </w:r>
      </w:hyperlink>
    </w:p>
    <w:p>
      <w:pPr>
        <w:pBdr>
          <w:bottom w:val="single" w:color="DBE5EC" w:sz="4" w:space="6"/>
        </w:pBdr>
        <w:tabs>
          <w:tab w:val="left" w:pos="560"/>
        </w:tabs>
        <w:spacing w:after="90" w:before="90"/>
      </w:pPr>
      <w:hyperlink w:history="1" w:anchor="sec9">
        <w:r>
          <w:rPr>
            <w:rFonts w:ascii="Segoe UI" w:cs="Segoe UI" w:eastAsia="Segoe UI" w:hAnsi="Segoe UI"/>
            <w:b/>
            <w:bCs/>
            <w:color w:val="00A8E8"/>
            <w:sz w:val="24"/>
            <w:szCs w:val="24"/>
          </w:rPr>
          <w:t xml:space="preserve">9</w:t>
        </w:r>
        <w:r>
          <w:rPr>
            <w:rFonts w:ascii="Segoe UI" w:cs="Segoe UI" w:eastAsia="Segoe UI" w:hAnsi="Segoe UI"/>
            <w:b/>
            <w:bCs/>
            <w:color w:val="1C2733"/>
            <w:sz w:val="24"/>
            <w:szCs w:val="24"/>
          </w:rPr>
          <w:t xml:space="preserve">	Aprovação</w:t>
        </w:r>
      </w:hyperlink>
    </w:p>
    <w:p>
      <w:r>
        <w:br w:type="page"/>
      </w: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1" w:id="11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1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Introdução</w:t>
      </w:r>
      <w:bookmarkEnd w:id="11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Este documento define como a qualidade do HoverVoice é verificada: estratégia de testes, critérios de aceitação, casos de teste, rastreabilidade até os requisitos e o registro das execuções. Ele complementa a Documentação do Software.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Produto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HoverVoice, extensão para Chrome e Edge (Manifest V3) que narra em voz alta o elemento sob o cursor ou o foco do teclado, em português, inglês e espanhol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Versão testada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1.2.0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manifest.json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popup)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Projeto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Programa Full Stack (Petrobras), SENAI Dendezeiros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Docente</w:t>
            </w:r>
          </w:p>
        </w:tc>
        <w:tc>
          <w:tcPr>
            <w:tcW w:type="dxa" w:w="7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Matheus de Azevedo Porciúncula Santos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Escopo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Dentro do escopo: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narração por mouse e teclado, popup de configurações, atalhos, leitor de PDF, persistência local, idiomas e vozes, login opcional com Google e sincronização das preferências, acessibilidade da interface.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Fora do escopo: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conteúdo dentro de iframes, páginas internas do navegador, PDFs escaneados sem texto, tradução do conteúdo, navegadores diferentes de Chrome e Edge.</w:t>
      </w:r>
    </w:p>
    <w:p>
      <w:pPr>
        <w:spacing w:after="80"/>
      </w:pP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Documentação do Software (requisitos RF, RN e RNF, arquitetura, instalação).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DOC-04 (requisitos oficiais). Os IDs usados aqui seguem a Documentação do Software e são provisórios até a conferência com o DOC-04.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CHECKLIST.md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 repositório: roteiro manual resumido para conferência rápida.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2" w:id="12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2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Estratégia de qualidade</w:t>
      </w:r>
      <w:bookmarkEnd w:id="12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Tipos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cantSplit/>
          <w:tblHeader/>
        </w:trPr>
        <w:tc>
          <w:tcPr>
            <w:tcW w:type="dxa" w:w="19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Tipo</w:t>
            </w:r>
          </w:p>
        </w:tc>
        <w:tc>
          <w:tcPr>
            <w:tcW w:type="dxa" w:w="385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Objetivo</w:t>
            </w:r>
          </w:p>
        </w:tc>
        <w:tc>
          <w:tcPr>
            <w:tcW w:type="dxa" w:w="385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Funcional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Cada requisito se comporta como especificado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Casos de teste da seção 4, manuais e por script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Acessibilidade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Interface operável por teclado, com rótulos e contraste adequados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Navegação só com teclado, leitor de tela, medição de contraste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Compatibilidade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Funciona em Chrome e Edge 90 ou superior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Mesmos casos nos dois navegadores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Desempenho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Narração começa sem atraso perceptível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Cronometrar o intervalo entre o hover e o início da fala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Segurança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e sincronização sem vazamento de dados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Inspeção da rede e do armazenamento; testes automatizados do backend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Regressão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Correções não quebram o que já funcionava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Reexecutar os casos críticos a cada entrega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Exploratório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Achar problemas fora do roteiro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Sessões livres em sites reais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Ambiente de teste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Chrome e Edge, versão 90 ou superior, em Windows (e Linux, quando possível).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Vozes instaladas no sistema para cada idioma testado (português, inglês e espanhol). Sem a voz instalada, o caso de voz daquele idioma fica "Bloqueado".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Página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TESTE.html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com título, parágrafo, link, botão, imagem com alt, SVG com título, campo com rótulo, tabela e parágrafos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lang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em três idiomas; um texto com mais de 500 caracteres.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PDFs: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exemplos/relatorio-exemplo.pdf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exemplos/duas-colunas-exemplo.pdf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, um escaneado, um local (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file://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), um com senha e um atrás de login.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Para os casos de conta: backend no ar, projeto no Google Cloud com o Client ID configurado, e duas contas ou dois navegadores.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Critérios de entrada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Extensão carregada sem erros em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chrome://extensions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Requisitos do ciclo identificados e versão definida.</w:t>
      </w:r>
    </w:p>
    <w:p>
      <w:pPr>
        <w:spacing w:after="8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Critérios de saída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100% dos casos críticos executados e aprovados.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Pelo menos 90% dos demais casos aprovados.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Nenhum defeito aberto de severidade alta ou crítica.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Defeitos restantes registrados e aceitos pela equipe.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3" w:id="13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3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Critérios de aceitação</w:t>
      </w:r>
      <w:bookmarkEnd w:id="13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Um requisito é aceito quando todos os casos de teste ligados a ele passam (seção 5) e o critério abaixo é observado.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8385"/>
      </w:tblGrid>
      <w:tr>
        <w:trPr>
          <w:cantSplit/>
          <w:tblHeader/>
        </w:trPr>
        <w:tc>
          <w:tcPr>
            <w:tcW w:type="dxa" w:w="125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type="dxa" w:w="838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Critério de aceitação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RF-01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a extensão ativa, o elemento sob o cursor começa a ser falado cerca de 120 ms depois que o cursor para sobre ele; passar rapidamente por cima não dispara fala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RF-02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Ao pressionar Tab ou Shift + Tab, o elemento focado é falado de imediato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RF-03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Alt + A e a chave do popup ligam e desligam a narração; ao ligar, é falado "HoverVoice ativado" no idioma da interface; ao desligar, a fala em andamento para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RF-04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 e tom aceitam valores de 0,5x a 2x, e volume de 0% a 100%; a próxima fala usa os novos valores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RF-05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botão Ouvir fala o texto digitado no popup com as configurações atuais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RF-06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Após fechar e reabrir o navegador, as configurações continuam as mesmas; uma mudança no popup vale nas abas já abertas sem recarregar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RF-07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elemento narrado recebe contorno visível e a página não se move nem muda de tamanho; o contorno some ao fim da fala ou ao sair do elemento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RF-08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Todos os tipos de elemento listados no requisito são falados com o texto correto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PDFs abrem no leitor do HoverVoice e seus blocos são narrados; Alt + P abre o leitor; se o PDF não carregar, abre no visualizador nativo sem novo redirecionamento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RF-10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Ao iniciar uma nova fala, a anterior é cancelada; nunca há duas falas sobrepostas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RF-11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popup e o leitor aparecem no idioma escolhido (ou no do navegador, se não houver escolha) e a troca é imediata e persistente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RF-12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 Automático, cada elemento é falado com a voz do seu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com idioma fixo, sempre com ele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RF-13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lista mostra as vozes instaladas do idioma; a voz escolhida é usada; se ela não existir mais, a voz padrão do idioma assume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RF-14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É possível entrar ou criar conta com o Google; a primeira entrada cria a conta; "Agora não" volta ao popup sem alterar nada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RF-15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Velocidade, tom e volume alterados com a sessão ativa chegam à conta e são aplicados em outro navegador após o login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RF-16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Sair encerra a sessão e mantém as preferências locais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RF-17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login, ou com o servidor fora do ar, toda a narração e os ajustes funcionam como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RN-01 a RN-07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comportamento descrito na regra é observado em página de teste ou na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RNF-01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conta, nenhuma requisição de rede é feita pela extensão durante o uso (além de carregar PDFs pedidos pela pessoa). Com conta, só o servidor do projeto e o Google (no login)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RNF-02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Todos os casos críticos passam em Chrome e em Edge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RNF-03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Elementos criados depois do carregamento também são narrados; conteúdo de iframe não é narrado (limitação aceita)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Foco visível em todos os controles, mensagens de estado 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role="status"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texto e controles com contraste mínimo de 4,5:1, animações reduzidas quando o sistema pede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RNF-05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Ativar, ajustar e testar a voz, trocar o idioma e abrir ou fechar o login são possíveis só com o teclado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RNF-06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Toda a comunicação com o servidor usa HTTPS (exceto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localhost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); nenhuma senha ou chave secreta é guardada; no armazenamento da extensão só existem o token de sessão e o e-mail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RNF-07 </w:t>
            </w:r>
          </w:p>
        </w:tc>
        <w:tc>
          <w:tcPr>
            <w:tcW w:type="dxa" w:w="838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Servidor fora do ar, sem internet ou sessão expirada geram aviso claro e não impedem o uso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4" w:id="14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4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Casos de teste</w:t>
      </w:r>
      <w:bookmarkEnd w:id="14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Prioridade: Crítica (C), Alta (A) ou Média (M). Pré-condição comum, salvo indicação: extensão carregada e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TESTE.html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aberto.</w:t>
      </w: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0A8E8"/>
          <w:sz w:val="26"/>
          <w:szCs w:val="26"/>
        </w:rPr>
        <w:t xml:space="preserve">4.1  </w:t>
      </w: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109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Req.</w:t>
            </w:r>
          </w:p>
        </w:tc>
        <w:tc>
          <w:tcPr>
            <w:tcW w:type="dxa" w:w="93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CT-01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Ativar a extensão. Parar o cursor sobre um parágrafo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do parágrafo é falado após cerca de 120 ms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CT-02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Passar o cursor rapidamente por vários elementos sem parar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Nenhuma fala é iniciada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CT-03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RF-02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Pressionar Tab até um botão; depois Shift + Tab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Cada elemento focado é falado de imediato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CT-04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RF-03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a extensão desativada, pressionar Alt + 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É falado "HoverVoice ativado" e a narração passa a funcionar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CT-05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RF-03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Durante uma fala, desligar pela chave do popup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fala para na hora e nada novo é narrado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CT-06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Mudar velocidade para 2x, tom para 0,5x e volume para 0%; narrar; repetir com valores intermediários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fala usa os valores definidos; com volume 0% não há som; valores fora da faixa não são aceitos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CT-07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RF-05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3A86B0" w:color="auto" w:val="clear"/>
              </w:rPr>
              <w:t xml:space="preserve"> M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Digitar um texto no campo do popup e clicar em Ouvir; repetir com o campo vazio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é falado com as configurações atuais; campo vazio mostra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CT-08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RF-06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Alterar configurações, fechar o navegador, reabrir e abrir o popup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Os valores continuam os mesmos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CT-09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RF-06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duas abas abertas, mudar a velocidade no popup e narrar na aba que já estava aberta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nova velocidade vale sem recarregar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CT-10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RF-07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um botão e um parágrafo; observar o layout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Há contorno no elemento; nada na página muda de posição ou tamanho; o contorno some ao fim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CT-11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RF-08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título, parágrafo, link, botão, item de lista, célula de tabela, rótulo, campo, imagem com alt, SVG com título e elemento 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Cada um é falado com o texto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CT-12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"Abrir PDFs no leitor" ligado, abrir um PDF com texto e passar o mouse nos blocos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PDF abre no leitor e os blocos são narrados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CT-13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3A86B0" w:color="auto" w:val="clear"/>
              </w:rPr>
              <w:t xml:space="preserve"> M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Pressionar Alt + P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leitor de PDF é aberto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CT-14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um PDF que exige login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PDF abre no visualizador nativo; a aba não é redirecionada de novo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CT-15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RF-10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Passar o cursor sobre um texto longo e, durante a fala, sobre outro elemento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primeira fala é cancelada e só a nova é ouvida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CT-26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Em um navegador em inglês, sem escolha salva, abrir o popup; repetir com navegador em francês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Inglês: popup em inglês. Francês: popup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CT-27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Trocar PT, EN e ES na base do popup; fechar e reabrir; abrir o leitor de PDF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Todos os textos mudam na hora, a escolha persiste e o leitor segue o mesmo idioma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CT-28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RF-12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 Automático, passar o mouse sobre os parágrafos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lang="en"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lang="es"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lang="pt-BR"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do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Cada parágrafo é falado com a voz do seu idioma (com a voz instalada)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CT-29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RF-12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Fixar o idioma da voz em ES e narrar o parágrafo em inglês; voltar ao Automático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ES fixo, a voz é espanhola independentemente do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no Automático, volta a seguir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CT-30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RF-13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a lista Voz, escolher uma voz e narrar; trocar de idioma; escolher um idioma sem voz instalada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voz escolhida é usada naquele idioma; cada idioma guarda a sua; sem voz instalada aparece o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CT-31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RN-05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3A86B0" w:color="auto" w:val="clear"/>
              </w:rPr>
              <w:t xml:space="preserve"> M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um PDF com idioma gravado e outro sem, no Automático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primeiro segue o idioma do PDF; o segundo, o da interface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0A8E8"/>
          <w:sz w:val="26"/>
          <w:szCs w:val="26"/>
        </w:rPr>
        <w:t xml:space="preserve">4.2  </w:t>
      </w: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109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Req.</w:t>
            </w:r>
          </w:p>
        </w:tc>
        <w:tc>
          <w:tcPr>
            <w:tcW w:type="dxa" w:w="93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CT-16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3A86B0" w:color="auto" w:val="clear"/>
              </w:rPr>
              <w:t xml:space="preserve"> M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Instalar a extensão e abrir o popup pela primeira vez, com navegador em português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interface aparece em português e a fala usa voz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CT-17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RN-02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um bloco com mais de 500 caracteres e vários espaços seguidos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falado tem espaços normalizados e no máximo 500 caracteres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CT-18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RN-03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um elemento que tenha ao mesmo tempo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title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texto diferentes; remover um a um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Vale 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aria-label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ao removê-lo, o próximo da ordem da regra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CT-19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Narrar um link que contém um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span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texto é falado uma só vez, pelo elemento mais específico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0A8E8"/>
          <w:sz w:val="26"/>
          <w:szCs w:val="26"/>
        </w:rPr>
        <w:t xml:space="preserve">4.3  </w:t>
      </w: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109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Req.</w:t>
            </w:r>
          </w:p>
        </w:tc>
        <w:tc>
          <w:tcPr>
            <w:tcW w:type="dxa" w:w="93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CT-20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Abrir a aba Rede do DevTools e usar a extensão por alguns minutos sem entrar na conta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Nenhuma requisição da extensão para fora do dispositivo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CT-21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RNF-02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Executar CT-01, CT-03, CT-04, CT-08, CT-11 e CT-15 no Chrome e no Edge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Todos passam nos dois navegadores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CT-22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RNF-03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3A86B0" w:color="auto" w:val="clear"/>
              </w:rPr>
              <w:t xml:space="preserve"> M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Inserir um botão por script após o carregamento; narrar um texto dentro de um iframe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botão novo é narrado; o conteúdo do iframe não (limitação aceita)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CT-23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Navegar pelo popup e pelo leitor com Tab; ativar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prefers-reduced-motion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no sistema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Foco visível em cada controle; mensagens 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role="status"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sem animações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CT-24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Medir o contraste de texto e controles do popup, do leitor e da tela de login com uma ferramenta de contraste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Relação mínima de 4,5:1 (texto) e 3:1 (componentes)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CT-25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RNF-05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Usar o popup só com teclado: ligar, ajustar três controles, trocar o idioma, testar a voz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Tudo é possível sem mouse, em ordem lógica de foco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0A8E8"/>
          <w:sz w:val="26"/>
          <w:szCs w:val="26"/>
        </w:rPr>
        <w:t xml:space="preserve">4.4  </w:t>
      </w: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Conta e sincronização</w:t>
      </w: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Os casos CT-L01 a CT-L11 exigem o backend no ar e o Client ID do Google configurado. Enquanto não houver Client ID, a extensão roda em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modo demonstração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(login simulado, caso CT-L00); os casos CT-L01 a CT-L10 foram executados até aqui com o Google simulado (seção 8) e falta executá-los com o Google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109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Req.</w:t>
            </w:r>
          </w:p>
        </w:tc>
        <w:tc>
          <w:tcPr>
            <w:tcW w:type="dxa" w:w="93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CT-L00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RF-17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GOOGLE_CLIENT_ID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vazio (modo demonstração, estado atual): clicar em Entrar, concluir; mudar a velocidade; sair; mudar de novo; entrar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cartão traz a etiqueta "Demonstração"; o login simulado mostra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demo@hovervoice.dev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ao entrar de novo a velocidade guardada volta; nenhuma requisição de rede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CT-L01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 popup, clicar em Entrar e concluir o login no Google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tela de login abre, o Google responde, o popup mostra o e-mail e "Preferências sincronizadas"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CT-L02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Entrar com uma conta Google nunca usada; em outra tentativa, clicar em "Agora não, continuar sem conta"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conta é criada na primeira vez, sem passo extra; "Agora não" volta ao popup sem alterar nada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CT-L03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RF-15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Logado, mudar velocidade e soltar o controle; em outro navegador, entrar com a mesma conta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outro navegador recebe a mesma velocidade, tom e volume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CT-L04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RN-07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Entrar com conta que já tem preferências, tendo valores locais diferentes; depois, com conta nova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Conta existente: os valores da conta substituem os locais. Conta nova: os locais são enviados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CT-L05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RF-16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Clicar em Sair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sessão termina e as preferências locais permanecem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CT-L06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RF-17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Usar a extensão sem nunca entrar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Toda a narração e os ajustes funcionam como sem conta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CT-L07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Usar a tela de login só com teclado e com leitor de tela; medir o contraste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Foco visível, rótulos lidos, erro anunciado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role="alert"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), contraste mínimo de 4,5:1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CT-L08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RNF-06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Inspecionar a rede e o armazenamento durante o login e a sincronização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Tudo usa HTTPS (exceto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localhost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); no armazenamento só há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authSession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com token e e-mail; nenhuma senha ou chave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CT-L09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RNF-07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E29A00" w:color="auto" w:val="clear"/>
              </w:rPr>
              <w:t xml:space="preserve"> A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Parar o servidor e usar a extensão; depois invalidar a sessão e abrir o popup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Aparece aviso de sem conexão e tudo segue local; sessão expirada mostra aviso e o botão volta a "Entrar"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CT-L10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RN-06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3A86B0" w:color="auto" w:val="clear"/>
              </w:rPr>
              <w:t xml:space="preserve"> M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Logado, mudar idioma, voz escolhida e abertura de PDFs; entrar em outro navegador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Esses três campos não são sincronizados; velocidade, tom e volume são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CT-L11 </w:t>
            </w:r>
          </w:p>
        </w:tc>
        <w:tc>
          <w:tcPr>
            <w:tcW w:type="dxa" w:w="109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RNF-01 </w:t>
            </w:r>
          </w:p>
        </w:tc>
        <w:tc>
          <w:tcPr>
            <w:tcW w:type="dxa" w:w="93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5"/>
                <w:szCs w:val="15"/>
                <w:shd w:fill="D6402F" w:color="auto" w:val="clear"/>
              </w:rPr>
              <w:t xml:space="preserve"> C 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Repetir CT-20 com a conta ativa</w:t>
            </w:r>
          </w:p>
        </w:tc>
        <w:tc>
          <w:tcPr>
            <w:tcW w:type="dxa" w:w="338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Só há requisições ao servidor do projeto (e ao Google durante o login)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0A8E8"/>
          <w:sz w:val="26"/>
          <w:szCs w:val="26"/>
        </w:rPr>
        <w:t xml:space="preserve">4.5  </w:t>
      </w: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Backend (testes automatizados)</w:t>
      </w: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Executados com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npm test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no repositório </w:t>
      </w:r>
      <w:r>
        <w:rPr>
          <w:rFonts w:ascii="Consolas" w:cs="Consolas" w:eastAsia="Consolas" w:hAnsi="Consolas"/>
          <w:color w:val="0B4D6C"/>
          <w:sz w:val="19"/>
          <w:szCs w:val="19"/>
          <w:shd w:fill="EAF3F8" w:color="auto" w:val="clear"/>
        </w:rPr>
        <w:t xml:space="preserve">HoverVoice-backend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5590"/>
      </w:tblGrid>
      <w:tr>
        <w:trPr>
          <w:cantSplit/>
          <w:tblHeader/>
        </w:trPr>
        <w:tc>
          <w:tcPr>
            <w:tcW w:type="dxa" w:w="115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Cobertura</w:t>
            </w:r>
          </w:p>
        </w:tc>
        <w:tc>
          <w:tcPr>
            <w:tcW w:type="dxa" w:w="559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BE-01 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com token inválido</w:t>
            </w:r>
          </w:p>
        </w:tc>
        <w:tc>
          <w:tcPr>
            <w:tcW w:type="dxa" w:w="559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Resposta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BE-02 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Fluxo completo: login, gravar e ler preferências, novo login, logout</w:t>
            </w:r>
          </w:p>
        </w:tc>
        <w:tc>
          <w:tcPr>
            <w:tcW w:type="dxa" w:w="559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Preferências persistem entre logins; após o logout, a sessão responde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BE-03 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Preferências fora da faixa e requisição sem token</w:t>
            </w:r>
          </w:p>
        </w:tc>
        <w:tc>
          <w:tcPr>
            <w:tcW w:type="dxa" w:w="559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Resposta 400 e 401, respectivamente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BE-04 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CORS</w:t>
            </w:r>
          </w:p>
        </w:tc>
        <w:tc>
          <w:tcPr>
            <w:tcW w:type="dxa" w:w="559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Só a origem da extensão é liberada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BE-05 </w:t>
            </w:r>
          </w:p>
        </w:tc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Validação do ID token do Google</w:t>
            </w:r>
          </w:p>
        </w:tc>
        <w:tc>
          <w:tcPr>
            <w:tcW w:type="dxa" w:w="559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Aceita o token válido; recusa audiência errada, nonce errado, token expirado e assinatura adulterada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5" w:id="15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5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Matriz de rastreabilidade</w:t>
      </w:r>
      <w:bookmarkEnd w:id="15"/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Cada um dos 31 requisitos atuais (17 RF, 7 RN e 7 RNF) tem ao menos um caso de teste.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Requisito</w:t>
            </w:r>
          </w:p>
        </w:tc>
        <w:tc>
          <w:tcPr>
            <w:tcW w:type="dxa" w:w="7710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RF-01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CT-01, CT-02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RF-02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RF-03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CT-04, CT-05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RF-04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RF-05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RF-06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CT-08, CT-09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RF-07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RF-08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RF-09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CT-12, CT-13, CT-14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RF-10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RF-11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CT-26, CT-27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RF-12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CT-28, CT-29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RF-13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CT-30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RF-14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CT-L01, CT-L02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RF-15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CT-L03, BE-02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RF-16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RF-17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CT-L00, CT-L06, CT-L09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RN-01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CT-16, CT-26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RN-02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RN-03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RN-04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CT-19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RN-05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CT-28, CT-29, CT-31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RN-06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CT-L10, BE-03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RN-07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RNF-01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CT-20, CT-L11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RNF-02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RNF-03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RNF-04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CT-23, CT-24, CT-L07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RNF-05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CT-25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RNF-06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CT-L08, BE-01, BE-04, BE-05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RNF-07 </w:t>
            </w:r>
          </w:p>
        </w:tc>
        <w:tc>
          <w:tcPr>
            <w:tcW w:type="dxa" w:w="7710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CT-L09</w:t>
            </w: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6" w:id="16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6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Defeitos, riscos e pendências</w:t>
      </w:r>
      <w:bookmarkEnd w:id="16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Defeitos e pendências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4314"/>
        <w:gridCol w:w="1377"/>
        <w:gridCol w:w="1193"/>
        <w:gridCol w:w="1561"/>
      </w:tblGrid>
      <w:tr>
        <w:trPr>
          <w:cantSplit/>
          <w:tblHeader/>
        </w:trPr>
        <w:tc>
          <w:tcPr>
            <w:tcW w:type="dxa" w:w="119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ID</w:t>
            </w:r>
          </w:p>
        </w:tc>
        <w:tc>
          <w:tcPr>
            <w:tcW w:type="dxa" w:w="431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Descrição</w:t>
            </w:r>
          </w:p>
        </w:tc>
        <w:tc>
          <w:tcPr>
            <w:tcW w:type="dxa" w:w="137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Severidade</w:t>
            </w:r>
          </w:p>
        </w:tc>
        <w:tc>
          <w:tcPr>
            <w:tcW w:type="dxa" w:w="119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Caso</w:t>
            </w:r>
          </w:p>
        </w:tc>
        <w:tc>
          <w:tcPr>
            <w:tcW w:type="dxa" w:w="156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DEF-01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README citava a versão 1.1.0; manifest e popup usam 1.2.0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4B5B69"/>
                <w:sz w:val="15"/>
                <w:szCs w:val="15"/>
                <w:shd w:fill="E8EDF1" w:color="auto" w:val="clear"/>
              </w:rPr>
              <w:t xml:space="preserve"> Baixa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Introdução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Corrigido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(README em 1.2.0)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DEF-02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contraste nunca tinha sido medido. Medição em 30/10/2026: todos os textos passam de 4,5:1 (mínimo 5,8:1). Falhavam 3:1 as bordas de campos e botões (1,9:1) e o interruptor desligado (1,8:1)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8A5A00"/>
                <w:sz w:val="15"/>
                <w:szCs w:val="15"/>
                <w:shd w:fill="FFF0CF" w:color="auto" w:val="clear"/>
              </w:rPr>
              <w:t xml:space="preserve"> Média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CT-24 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Corrigido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(bordas de controles 3,1:1 a 4,6:1; interruptor desligado 4,6:1)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DEF-03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Conteúdo em iframes não é narrado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all_frames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desativado)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8A5A00"/>
                <w:sz w:val="15"/>
                <w:szCs w:val="15"/>
                <w:shd w:fill="FFF0CF" w:color="auto" w:val="clear"/>
              </w:rPr>
              <w:t xml:space="preserve"> Média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CT-22 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4B5B69"/>
                <w:sz w:val="15"/>
                <w:szCs w:val="15"/>
                <w:shd w:fill="E8EDF1" w:color="auto" w:val="clear"/>
              </w:rPr>
              <w:t xml:space="preserve"> Limitação aceita 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DEF-04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PDFs escaneados (imagem sem texto) não são lidos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8A5A00"/>
                <w:sz w:val="15"/>
                <w:szCs w:val="15"/>
                <w:shd w:fill="FFF0CF" w:color="auto" w:val="clear"/>
              </w:rPr>
              <w:t xml:space="preserve"> Média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CT-12 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4B5B69"/>
                <w:sz w:val="15"/>
                <w:szCs w:val="15"/>
                <w:shd w:fill="E8EDF1" w:color="auto" w:val="clear"/>
              </w:rPr>
              <w:t xml:space="preserve"> Limitação aceita 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DEF-05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PDF sem idioma gravado é lido com a voz do idioma da interface; um PDF em português com a interface em inglês sai com voz inglesa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8A5A00"/>
                <w:sz w:val="15"/>
                <w:szCs w:val="15"/>
                <w:shd w:fill="FFF0CF" w:color="auto" w:val="clear"/>
              </w:rPr>
              <w:t xml:space="preserve"> Média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CT-31 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8A5A00"/>
                <w:sz w:val="15"/>
                <w:szCs w:val="15"/>
                <w:shd w:fill="FFF0CF" w:color="auto" w:val="clear"/>
              </w:rPr>
              <w:t xml:space="preserve"> Aberto </w:t>
            </w:r>
            <w:r>
              <w:rPr>
                <w:sz w:val="15"/>
                <w:szCs w:val="15"/>
              </w:rPr>
              <w:t xml:space="preserve"/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; o idioma fixo contorna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DEF-06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O login real com o Google não pôde ser ativado: criar o cliente OAuth exige forma de pagamento no Google Cloud. A extensão roda em modo demonstração (login simulado e identificado como tal)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A3261B"/>
                <w:sz w:val="15"/>
                <w:szCs w:val="15"/>
                <w:shd w:fill="FDE1DE" w:color="auto" w:val="clear"/>
              </w:rPr>
              <w:t xml:space="preserve"> Alta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CT-L01 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A3261B"/>
                <w:sz w:val="15"/>
                <w:szCs w:val="15"/>
                <w:shd w:fill="FDE1DE" w:color="auto" w:val="clear"/>
              </w:rPr>
              <w:t xml:space="preserve"> Bloqueado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(decisão: apresentar em modo demonstração)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DEF-07 </w:t>
            </w:r>
          </w:p>
        </w:tc>
        <w:tc>
          <w:tcPr>
            <w:tcW w:type="dxa" w:w="4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tela de boas-vindas existe só no Figma, sem implementação</w:t>
            </w:r>
          </w:p>
        </w:tc>
        <w:tc>
          <w:tcPr>
            <w:tcW w:type="dxa" w:w="137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4B5B69"/>
                <w:sz w:val="15"/>
                <w:szCs w:val="15"/>
                <w:shd w:fill="E8EDF1" w:color="auto" w:val="clear"/>
              </w:rPr>
              <w:t xml:space="preserve"> Baixa </w:t>
            </w:r>
          </w:p>
        </w:tc>
        <w:tc>
          <w:tcPr>
            <w:tcW w:type="dxa" w:w="119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—</w:t>
            </w:r>
          </w:p>
        </w:tc>
        <w:tc>
          <w:tcPr>
            <w:tcW w:type="dxa" w:w="156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4B5B69"/>
                <w:sz w:val="15"/>
                <w:szCs w:val="15"/>
                <w:shd w:fill="E8EDF1" w:color="auto" w:val="clear"/>
              </w:rPr>
              <w:t xml:space="preserve"> Planejado 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3084"/>
        <w:gridCol w:w="3373"/>
      </w:tblGrid>
      <w:tr>
        <w:trPr>
          <w:cantSplit/>
          <w:tblHeader/>
        </w:trPr>
        <w:tc>
          <w:tcPr>
            <w:tcW w:type="dxa" w:w="318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Risco</w:t>
            </w:r>
          </w:p>
        </w:tc>
        <w:tc>
          <w:tcPr>
            <w:tcW w:type="dxa" w:w="308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Impacto</w:t>
            </w:r>
          </w:p>
        </w:tc>
        <w:tc>
          <w:tcPr>
            <w:tcW w:type="dxa" w:w="337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Sem voz instalada para o idioma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narração usa outra voz ou fica muda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lista de vozes mostra um aviso; documentar a instalação de vozes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Sites que alteram o DOM de forma incomum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Narração inconsistente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Testes exploratórios em sites reais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Site ou PDF 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incorreto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Voz do idioma errado no modo Automático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Idioma fixo nas configurações de voz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e dados da conta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Vazamento ou perda de confiança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opcional; só e-mail e três preferências; HTTPS; hash do token; sem senha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Backend indisponível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Preferências não sincronizam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extensão segue com as preferências locais e avisa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Client ID, URL do servidor ou ID da extensão mal configurados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 falha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Passos 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docs/api-contrato.md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mensagem de "não configurado"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IDs de requisitos diferentes do DOC-04</w:t>
            </w:r>
          </w:p>
        </w:tc>
        <w:tc>
          <w:tcPr>
            <w:tcW w:type="dxa" w:w="308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Rastreabilidade quebrada</w:t>
            </w:r>
          </w:p>
        </w:tc>
        <w:tc>
          <w:tcPr>
            <w:tcW w:type="dxa" w:w="337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Conferir e ajustar os IDs antes da entrega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Severidade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Crítica: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impede o uso principal (narrar) ou vaza dados.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Alta: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uma função importante falha sem alternativa.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Média: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falha com alternativa ou limitação conhecida.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Baixa: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 detalhe cosmético ou documental.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7" w:id="17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7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Como registrar a execução</w:t>
      </w:r>
      <w:bookmarkEnd w:id="17"/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Resultado: Aprovado, Reprovado, Bloqueado ou Não executado.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Em caso de reprovação, abrir um defeito na seção 6 com passos para reproduzir, resultado obtido e severidade.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Depois de corrigir, reexecutar o caso e os casos críticos de regressão.</w:t>
      </w:r>
    </w:p>
    <w:p>
      <w:pPr>
        <w:spacing w:after="80"/>
      </w:pP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Métricas acompanhadas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Cobertura: requisitos com ao menos um caso, sobre o total (hoje 31 de 31).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Taxa de aprovação: casos aprovados sobre casos executados.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Defeitos abertos por severidade.</w:t>
      </w:r>
    </w:p>
    <w:p>
      <w:pPr>
        <w:pStyle w:val="ListParagraph"/>
        <w:numPr>
          <w:ilvl w:val="0"/>
          <w:numId w:val="2"/>
        </w:numPr>
        <w:spacing w:after="70" w:line="300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Casos críticos aprovados, sobre o total de casos críticos (meta de 100%).</w:t>
      </w:r>
    </w:p>
    <w:p>
      <w:pPr>
        <w:spacing w:after="8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8" w:id="18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8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Registro de execução</w:t>
      </w:r>
      <w:bookmarkEnd w:id="18"/>
    </w:p>
    <w:p>
      <w:pPr>
        <w:pStyle w:val="Heading2"/>
        <w:keepNext/>
        <w:spacing w:after="100" w:before="280"/>
      </w:pPr>
      <w:r>
        <w:rPr>
          <w:rFonts w:ascii="Segoe UI" w:cs="Segoe UI" w:eastAsia="Segoe UI" w:hAnsi="Segoe UI"/>
          <w:b/>
          <w:bCs/>
          <w:color w:val="0B5E85"/>
          <w:sz w:val="26"/>
          <w:szCs w:val="26"/>
        </w:rPr>
        <w:t xml:space="preserve">Ciclo 1 — 30/10/2026, Chrome em Windows, versão 1.2.0</w:t>
      </w:r>
    </w:p>
    <w:p>
      <w:pPr>
        <w:spacing w:after="130" w:line="312"/>
      </w:pPr>
      <w:r>
        <w:rPr>
          <w:rFonts w:ascii="Segoe UI" w:cs="Segoe UI" w:eastAsia="Segoe UI" w:hAnsi="Segoe UI"/>
          <w:color w:val="1C2733"/>
          <w:sz w:val="21"/>
          <w:szCs w:val="21"/>
        </w:rPr>
        <w:t xml:space="preserve">Executado por script de automação do navegador (extensão carregada de verdade), com o Google simulado para os casos de conta. A automação confere o estado da interface, o armazenamento e o destaque do elemento; </w:t>
      </w:r>
      <w:r>
        <w:rPr>
          <w:rFonts w:ascii="Segoe UI" w:cs="Segoe UI" w:eastAsia="Segoe UI" w:hAnsi="Segoe UI"/>
          <w:b/>
          <w:bCs/>
          <w:color w:val="1C2733"/>
          <w:sz w:val="21"/>
          <w:szCs w:val="21"/>
        </w:rPr>
        <w:t xml:space="preserve">não ouve o áudio</w:t>
      </w:r>
      <w:r>
        <w:rPr>
          <w:rFonts w:ascii="Segoe UI" w:cs="Segoe UI" w:eastAsia="Segoe UI" w:hAnsi="Segoe UI"/>
          <w:color w:val="1C2733"/>
          <w:sz w:val="21"/>
          <w:szCs w:val="21"/>
        </w:rPr>
        <w:t xml:space="preserve">. Por isso os casos de fala aparecem como "Aprovado (automatizado)" e continuam pendentes de uma conferência auditiva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928"/>
        <w:gridCol w:w="6457"/>
      </w:tblGrid>
      <w:tr>
        <w:trPr>
          <w:cantSplit/>
          <w:tblHeader/>
        </w:trPr>
        <w:tc>
          <w:tcPr>
            <w:tcW w:type="dxa" w:w="1253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Caso</w:t>
            </w:r>
          </w:p>
        </w:tc>
        <w:tc>
          <w:tcPr>
            <w:tcW w:type="dxa" w:w="19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Resultado</w:t>
            </w:r>
          </w:p>
        </w:tc>
        <w:tc>
          <w:tcPr>
            <w:tcW w:type="dxa" w:w="6457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CT-01, CT-03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(automatizado)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Destaque no elemento sob o cursor e ao navegar com Tab, 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; áudio não conferido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CT-06, CT-08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(parcial)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Velocidade 1,5x gravada e mantida ao recarregar o popup; falta o teste de fechar e reabrir o navegador e de volume 0%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CT-12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(automatizado)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relatorio-exemplo.pdf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duas-colunas-exemplo.pdf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abrem no leitor com 15 blocos cada; o destaque aparece ao passar o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CT-21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(parcial, Edge automatizado)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No Edge, em 30/10/2026: popup (ativar, ajustar velocidade, persistência), idioma da interface, leitor de PDF com 15 blocos narráveis e destaque 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TESTE.html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, sem erros no console. Não executados no Edge: Alt + A, áudio e os demais casos da lista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CT-24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(cálculo)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Contraste calculado pela fórmula da WCAG 2.1 para os pares de cores do popup, do leitor e do login: textos de 5,8:1 a 17,9:1; controles e anel de foco acima de 3:1 depois do ajuste. Não foi usada ferramenta externa nem o leitor de tela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CT-23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(parcial)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Com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prefers-reduced-motion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a animação some; foco visível e leitor de tela não verificados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CT-26, CT-27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(automatizado)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Navegador em inglês abre o popup em inglês; PT, EN e ES trocam todos os textos e a escolha é salva; o leitor abre em inglês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CT-28, CT-29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(parcial)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regra de idioma foi conferida (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en-GB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vira inglês; sem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ou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fr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 usa a interface; ES fixo ignora o </w:t>
            </w:r>
            <w:r>
              <w:rPr>
                <w:rFonts w:ascii="Consolas" w:cs="Consolas" w:eastAsia="Consolas" w:hAnsi="Consolas"/>
                <w:color w:val="0B4D6C"/>
                <w:sz w:val="16"/>
                <w:szCs w:val="16"/>
                <w:shd w:fill="EAF3F8" w:color="auto" w:val="clear"/>
              </w:rPr>
              <w:t xml:space="preserve">lang</w:t>
            </w: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) e os três parágrafos são destacados; a voz ouvida não foi conferida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CT-30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(parcial)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A lista carregou (4 opções em inglês, 3 em português) e a escolha foi gravada; sem voz espanhola instalada nesta máquina, o aviso apareceu; a fala com a voz escolhida não foi ouvida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CT-L00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(automatizado)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Modo demonstração completo: etiqueta visível, login simulado, preferências guardadas e restauradas ao entrar de novo, nenhuma requisição de rede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CT-L01 a CT-L06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(Google simulado)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Login, e-mail exibido, gravação da velocidade na conta, restauração após sair e entrar, "Agora não" e uso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CT-L09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  <w:r>
              <w:rPr>
                <w:sz w:val="15"/>
                <w:szCs w:val="15"/>
              </w:rPr>
              <w:t xml:space="preserve">  </w:t>
            </w:r>
            <w:r>
              <w:rPr>
                <w:rFonts w:ascii="Segoe UI" w:cs="Segoe UI" w:eastAsia="Segoe UI" w:hAnsi="Segoe UI"/>
                <w:color w:val="5B6B7A"/>
                <w:sz w:val="16"/>
                <w:szCs w:val="16"/>
              </w:rPr>
              <w:t xml:space="preserve">(parcial)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Servidor fora do ar mostra o aviso de sem conexão; sessão expirada não executada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/>
                <w:bCs/>
                <w:color w:val="0B5E85"/>
                <w:sz w:val="16"/>
                <w:szCs w:val="16"/>
                <w:shd w:fill="E3F1F8" w:color="auto" w:val="clear"/>
              </w:rPr>
              <w:t xml:space="preserve"> BE-01 a BE-05 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0B6B3F"/>
                <w:sz w:val="15"/>
                <w:szCs w:val="15"/>
                <w:shd w:fill="D9F5E8" w:color="auto" w:val="clear"/>
              </w:rPr>
              <w:t xml:space="preserve"> Aprovado 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5 testes automatizados do backend passam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Demais casos</w:t>
            </w:r>
          </w:p>
        </w:tc>
        <w:tc>
          <w:tcPr>
            <w:tcW w:type="dxa" w:w="19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olor w:val="4B5B69"/>
                <w:sz w:val="15"/>
                <w:szCs w:val="15"/>
                <w:shd w:fill="E8EDF1" w:color="auto" w:val="clear"/>
              </w:rPr>
              <w:t xml:space="preserve"> Não executados </w:t>
            </w:r>
          </w:p>
        </w:tc>
        <w:tc>
          <w:tcPr>
            <w:tcW w:type="dxa" w:w="6457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CT-02, CT-04, CT-05, CT-07, CT-09 a CT-11, CT-13 a CT-20, CT-22, CT-25, CT-31, CT-L07, CT-L08, CT-L10, CT-L11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80" w:before="220"/>
      </w:pPr>
      <w:r>
        <w:rPr>
          <w:rFonts w:ascii="Segoe UI" w:cs="Segoe UI" w:eastAsia="Segoe UI" w:hAnsi="Segoe UI"/>
          <w:b/>
          <w:bCs/>
          <w:caps/>
          <w:color w:val="5B6B7A"/>
          <w:spacing w:val="20"/>
          <w:sz w:val="19"/>
          <w:szCs w:val="19"/>
        </w:rPr>
        <w:t xml:space="preserve">Ciclos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1314"/>
        <w:gridCol w:w="1051"/>
        <w:gridCol w:w="1314"/>
        <w:gridCol w:w="1752"/>
        <w:gridCol w:w="1139"/>
        <w:gridCol w:w="1139"/>
        <w:gridCol w:w="1228"/>
      </w:tblGrid>
      <w:tr>
        <w:trPr>
          <w:cantSplit/>
          <w:tblHeader/>
        </w:trPr>
        <w:tc>
          <w:tcPr>
            <w:tcW w:type="dxa" w:w="70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Ciclo</w:t>
            </w:r>
          </w:p>
        </w:tc>
        <w:tc>
          <w:tcPr>
            <w:tcW w:type="dxa" w:w="131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Data</w:t>
            </w:r>
          </w:p>
        </w:tc>
        <w:tc>
          <w:tcPr>
            <w:tcW w:type="dxa" w:w="105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Versão</w:t>
            </w:r>
          </w:p>
        </w:tc>
        <w:tc>
          <w:tcPr>
            <w:tcW w:type="dxa" w:w="1314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Navegador</w:t>
            </w:r>
          </w:p>
        </w:tc>
        <w:tc>
          <w:tcPr>
            <w:tcW w:type="dxa" w:w="175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Executor</w:t>
            </w:r>
          </w:p>
        </w:tc>
        <w:tc>
          <w:tcPr>
            <w:tcW w:type="dxa" w:w="113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Aprovados</w:t>
            </w:r>
          </w:p>
        </w:tc>
        <w:tc>
          <w:tcPr>
            <w:tcW w:type="dxa" w:w="1139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Reprovados</w:t>
            </w:r>
          </w:p>
        </w:tc>
        <w:tc>
          <w:tcPr>
            <w:tcW w:type="dxa" w:w="1228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Bloqueados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</w:t>
            </w:r>
          </w:p>
        </w:tc>
        <w:tc>
          <w:tcPr>
            <w:tcW w:type="dxa" w:w="1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ver acima</w:t>
            </w:r>
          </w:p>
        </w:tc>
        <w:tc>
          <w:tcPr>
            <w:tcW w:type="dxa" w:w="113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</w:t>
            </w:r>
          </w:p>
        </w:tc>
        <w:tc>
          <w:tcPr>
            <w:tcW w:type="dxa" w:w="1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 (CT-L01 real, sem Client ID)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2</w:t>
            </w:r>
          </w:p>
        </w:tc>
        <w:tc>
          <w:tcPr>
            <w:tcW w:type="dxa" w:w="1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Edge</w:t>
            </w:r>
          </w:p>
        </w:tc>
        <w:tc>
          <w:tcPr>
            <w:tcW w:type="dxa" w:w="175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parcial (CT-21)</w:t>
            </w:r>
          </w:p>
        </w:tc>
        <w:tc>
          <w:tcPr>
            <w:tcW w:type="dxa" w:w="113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</w:t>
            </w:r>
          </w:p>
        </w:tc>
        <w:tc>
          <w:tcPr>
            <w:tcW w:type="dxa" w:w="1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3</w:t>
            </w:r>
          </w:p>
        </w:tc>
        <w:tc>
          <w:tcPr>
            <w:tcW w:type="dxa" w:w="1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</w:p>
        </w:tc>
        <w:tc>
          <w:tcPr>
            <w:tcW w:type="dxa" w:w="105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Equipe (manual, com áudio e Google real)</w:t>
            </w:r>
          </w:p>
        </w:tc>
        <w:tc>
          <w:tcPr>
            <w:tcW w:type="dxa" w:w="113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</w:p>
        </w:tc>
        <w:tc>
          <w:tcPr>
            <w:tcW w:type="dxa" w:w="1139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</w:p>
        </w:tc>
        <w:tc>
          <w:tcPr>
            <w:tcW w:type="dxa" w:w="1228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</w:p>
        </w:tc>
      </w:tr>
    </w:tbl>
    <w:p>
      <w:pPr>
        <w:spacing w:after="160"/>
      </w:pPr>
    </w:p>
    <w:p>
      <w:pPr>
        <w:pStyle w:val="Heading1"/>
        <w:keepNext/>
        <w:pBdr>
          <w:bottom w:val="single" w:color="DBE5EC" w:sz="8" w:space="6"/>
        </w:pBdr>
        <w:spacing w:after="160" w:before="420"/>
      </w:pPr>
      <w:bookmarkStart w:name="sec9" w:id="19"/>
      <w:r>
        <w:rPr>
          <w:rFonts w:ascii="Segoe UI" w:cs="Segoe UI" w:eastAsia="Segoe UI" w:hAnsi="Segoe UI"/>
          <w:b/>
          <w:bCs/>
          <w:color w:val="5AD6FF"/>
          <w:sz w:val="30"/>
          <w:szCs w:val="30"/>
          <w:shd w:fill="06111C" w:color="auto" w:val="clear"/>
        </w:rPr>
        <w:t xml:space="preserve"> 9 </w:t>
      </w:r>
      <w:r>
        <w:rPr>
          <w:sz w:val="30"/>
          <w:szCs w:val="30"/>
        </w:rPr>
        <w:t xml:space="preserve">  </w:t>
      </w:r>
      <w:r>
        <w:rPr>
          <w:rFonts w:ascii="Segoe UI" w:cs="Segoe UI" w:eastAsia="Segoe UI" w:hAnsi="Segoe UI"/>
          <w:b/>
          <w:bCs/>
          <w:color w:val="06111C"/>
          <w:sz w:val="34"/>
          <w:szCs w:val="34"/>
        </w:rPr>
        <w:t xml:space="preserve">Aprovação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cantSplit/>
          <w:tblHeader/>
        </w:trPr>
        <w:tc>
          <w:tcPr>
            <w:tcW w:type="dxa" w:w="2891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Papel</w:t>
            </w:r>
          </w:p>
        </w:tc>
        <w:tc>
          <w:tcPr>
            <w:tcW w:type="dxa" w:w="3855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Nome</w:t>
            </w:r>
          </w:p>
        </w:tc>
        <w:tc>
          <w:tcPr>
            <w:tcW w:type="dxa" w:w="2892"/>
            <w:tcBorders>
              <w:top w:val="single" w:color="0B1D2E" w:sz="4"/>
              <w:left w:val="single" w:color="0B1D2E" w:sz="4"/>
              <w:bottom w:val="single" w:color="DBE5EC" w:sz="4"/>
              <w:right w:val="single" w:color="0B1D2E" w:sz="4"/>
            </w:tcBorders>
            <w:shd w:fill="0B1D2E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b/>
                <w:bCs/>
                <w:caps/>
                <w:color w:val="FFFFFF"/>
                <w:spacing w:val="10"/>
                <w:sz w:val="16"/>
                <w:szCs w:val="16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Responsável pela qualidade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Carlos Henrique Madureira Santos</w:t>
            </w:r>
          </w:p>
        </w:tc>
        <w:tc>
          <w:tcPr>
            <w:tcW w:type="dxa" w:w="289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Docente</w:t>
            </w:r>
          </w:p>
        </w:tc>
        <w:tc>
          <w:tcPr>
            <w:tcW w:type="dxa" w:w="3855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  <w:r>
              <w:rPr>
                <w:rFonts w:ascii="Segoe UI" w:cs="Segoe UI" w:eastAsia="Segoe UI" w:hAnsi="Segoe UI"/>
                <w:color w:val="1C2733"/>
                <w:sz w:val="18"/>
                <w:szCs w:val="18"/>
              </w:rPr>
              <w:t xml:space="preserve">Matheus de Azevedo Porciúncula Santos</w:t>
            </w:r>
          </w:p>
        </w:tc>
        <w:tc>
          <w:tcPr>
            <w:tcW w:type="dxa" w:w="2892"/>
            <w:tcBorders>
              <w:top w:val="single" w:color="DBE5EC" w:sz="4"/>
              <w:left w:val="single" w:color="DBE5EC" w:sz="4"/>
              <w:bottom w:val="single" w:color="DBE5EC" w:sz="4"/>
              <w:right w:val="single" w:color="DBE5EC" w:sz="4"/>
            </w:tcBorders>
            <w:shd w:fill="F3F8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line="264"/>
            </w:pP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type w:val="nextPage"/>
      <w:pgSz w:w="11906" w:h="16838" w:orient="portrait"/>
      <w:pgMar w:top="1500" w:right="1134" w:bottom="1300" w:left="1134" w:header="7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Segoe UI" w:cs="Segoe UI" w:eastAsia="Segoe UI" w:hAnsi="Segoe UI"/>
        <w:color w:val="5B6B7A"/>
        <w:sz w:val="16"/>
        <w:szCs w:val="16"/>
      </w:rPr>
      <w:t xml:space="preserve">HoverVoice · 30/10/2026	Página </w:t>
    </w:r>
    <w:r>
      <w:rPr>
        <w:rFonts w:ascii="Segoe UI" w:cs="Segoe UI" w:eastAsia="Segoe UI" w:hAnsi="Segoe UI"/>
        <w:color w:val="5B6B7A"/>
        <w:sz w:val="16"/>
        <w:szCs w:val="16"/>
      </w:rPr>
      <w:fldChar w:fldCharType="begin"/>
    </w:r>
    <w:r>
      <w:rPr>
        <w:rFonts w:ascii="Segoe UI" w:cs="Segoe UI" w:eastAsia="Segoe UI" w:hAnsi="Segoe UI"/>
        <w:color w:val="5B6B7A"/>
        <w:sz w:val="16"/>
        <w:szCs w:val="16"/>
      </w:rPr>
      <w:instrText xml:space="preserve">PAGE</w:instrText>
    </w:r>
    <w:r>
      <w:rPr>
        <w:rFonts w:ascii="Segoe UI" w:cs="Segoe UI" w:eastAsia="Segoe UI" w:hAnsi="Segoe UI"/>
        <w:color w:val="5B6B7A"/>
        <w:sz w:val="16"/>
        <w:szCs w:val="16"/>
      </w:rPr>
      <w:fldChar w:fldCharType="separate"/>
    </w:r>
    <w:r>
      <w:rPr>
        <w:rFonts w:ascii="Segoe UI" w:cs="Segoe UI" w:eastAsia="Segoe UI" w:hAnsi="Segoe UI"/>
        <w:color w:val="5B6B7A"/>
        <w:sz w:val="16"/>
        <w:szCs w:val="16"/>
      </w:rPr>
      <w:fldChar w:fldCharType="end"/>
    </w:r>
    <w:r>
      <w:rPr>
        <w:rFonts w:ascii="Segoe UI" w:cs="Segoe UI" w:eastAsia="Segoe UI" w:hAnsi="Segoe UI"/>
        <w:color w:val="5B6B7A"/>
        <w:sz w:val="16"/>
        <w:szCs w:val="16"/>
      </w:rPr>
      <w:t xml:space="preserve"> de </w:t>
    </w:r>
    <w:r>
      <w:rPr>
        <w:rFonts w:ascii="Segoe UI" w:cs="Segoe UI" w:eastAsia="Segoe UI" w:hAnsi="Segoe UI"/>
        <w:color w:val="5B6B7A"/>
        <w:sz w:val="16"/>
        <w:szCs w:val="16"/>
      </w:rPr>
      <w:fldChar w:fldCharType="begin"/>
    </w:r>
    <w:r>
      <w:rPr>
        <w:rFonts w:ascii="Segoe UI" w:cs="Segoe UI" w:eastAsia="Segoe UI" w:hAnsi="Segoe UI"/>
        <w:color w:val="5B6B7A"/>
        <w:sz w:val="16"/>
        <w:szCs w:val="16"/>
      </w:rPr>
      <w:instrText xml:space="preserve">NUMPAGES</w:instrText>
    </w:r>
    <w:r>
      <w:rPr>
        <w:rFonts w:ascii="Segoe UI" w:cs="Segoe UI" w:eastAsia="Segoe UI" w:hAnsi="Segoe UI"/>
        <w:color w:val="5B6B7A"/>
        <w:sz w:val="16"/>
        <w:szCs w:val="16"/>
      </w:rPr>
      <w:fldChar w:fldCharType="separate"/>
    </w:r>
    <w:r>
      <w:rPr>
        <w:rFonts w:ascii="Segoe UI" w:cs="Segoe UI" w:eastAsia="Segoe UI" w:hAnsi="Segoe UI"/>
        <w:color w:val="5B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BE5EC" w:sz="4" w:space="4"/>
      </w:pBdr>
      <w:tabs>
        <w:tab w:val="right" w:pos="9638"/>
      </w:tabs>
    </w:pPr>
    <w:r>
      <w:rPr>
        <w:rFonts w:ascii="Segoe UI" w:cs="Segoe UI" w:eastAsia="Segoe UI" w:hAnsi="Segoe UI"/>
        <w:b/>
        <w:bCs/>
        <w:color w:val="0B5E85"/>
        <w:sz w:val="16"/>
        <w:szCs w:val="16"/>
      </w:rPr>
      <w:t xml:space="preserve">Documento de Qualidade</w:t>
    </w:r>
    <w:r>
      <w:rPr>
        <w:rFonts w:ascii="Segoe UI" w:cs="Segoe UI" w:eastAsia="Segoe UI" w:hAnsi="Segoe UI"/>
        <w:color w:val="5B6B7A"/>
        <w:sz w:val="16"/>
        <w:szCs w:val="16"/>
      </w:rPr>
      <w:t xml:space="preserve">	v1.2.0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  <w:rPr>
        <w:b/>
        <w:bCs/>
        <w:color w:val="00A8E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C2733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804384866140ddbf05c43d5b0491168f45ecb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Documento de Qualidade</dc:title>
  <dc:creator>Equipe HoverVoice</dc:creator>
  <cp:lastModifiedBy>Un-named</cp:lastModifiedBy>
  <cp:revision>1</cp:revision>
  <dcterms:created xsi:type="dcterms:W3CDTF">2026-10-30T23:01:37.929Z</dcterms:created>
  <dcterms:modified xsi:type="dcterms:W3CDTF">2026-10-30T23:01:37.929Z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