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JUMP 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Aplicativo Operacional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Controle de rotativos, convênios e mensalistas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Abertura e fechamento de caixa, sangria e despesas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Envio de recibos por Whatsapp ou e-mail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Operação com multi usuários simultâneos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Inclusão de serviços automotivos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Sistema Administrativo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Fluxo de caixa completo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Relatórios detalhados do rotativo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Regime de contas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Para os Clientes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Controle de convênios ou pós-pago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Envio de recibos das faturas por e-mail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Restrições avançadas de uso dos mensalistas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Configurações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Restrições operacionais por Perfil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Cadastro de tabelas flexíveis com automatizações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Criações de meios de pagamentos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Integrações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Geração e envio com filtros de NFS-e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Os equipamentos mais populares do mercado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Sem Parar e Connect Car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Integração com as principais "maquininhas de cartão”: Cielo Lio, Smart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Rede, POS Stone, Smart Moderninha,e Pos Digital(Get Net)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Soução ABC PARK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Controle de rotativos/horistas;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Extremamente flexível, permitindo convênios e até condições especiais de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preço;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Diferentes níveis de permissão de uso, dando maior segurança;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Impressão de cupons de entrada e saída com código de barras;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Gestão simples e eficiente do caixa;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Suporte Técnico para uso mais eficaz do produto;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