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127B99BE" w:rsidR="006C2B6B" w:rsidRPr="00E671B3" w:rsidRDefault="00E90922" w:rsidP="00E671B3">
      <w:bookmarkStart w:id="0" w:name="_GoBack"/>
      <w:bookmarkEnd w:id="0"/>
      <w:r>
        <w:t xml:space="preserve"> </w:t>
      </w:r>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752FF7B5" w:rsidR="007A458C" w:rsidRPr="006370D1" w:rsidRDefault="007A458C" w:rsidP="006A18DA">
            <w:r>
              <w:t>T4-0</w:t>
            </w:r>
            <w:r w:rsidR="0050579C">
              <w:t>6</w:t>
            </w:r>
            <w:r w:rsidR="00200E55">
              <w:t>05</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05E0E6B3" w:rsidR="007A458C" w:rsidRPr="006370D1" w:rsidRDefault="00200E55" w:rsidP="006A18DA">
            <w:r>
              <w:t>Software Development for Remote Veteran Sleep Apnea Management Platform</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6439C6DA" w:rsidR="007A458C" w:rsidRPr="006370D1" w:rsidRDefault="007A458C" w:rsidP="00D329F5">
            <w:r w:rsidRPr="00856158">
              <w:t xml:space="preserve">Offeror </w:t>
            </w:r>
            <w:r w:rsidR="00D329F5">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1696FF19" w:rsidR="007A458C" w:rsidRPr="000E15B7" w:rsidRDefault="0050579C" w:rsidP="0050579C">
            <w:r>
              <w:t>June</w:t>
            </w:r>
            <w:r w:rsidR="00200E55">
              <w:t xml:space="preserve"> 11</w:t>
            </w:r>
            <w:r w:rsidR="000E15B7">
              <w:t>, 2015</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77B968E1"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315DE526" w14:textId="77777777" w:rsidR="005826F8" w:rsidRDefault="005826F8" w:rsidP="00041B27">
            <w:pPr>
              <w:pStyle w:val="NoSpacing"/>
            </w:pPr>
          </w:p>
          <w:p w14:paraId="39BBFB6B" w14:textId="61007FE7" w:rsidR="00A057A1" w:rsidRPr="004951F4" w:rsidRDefault="00A057A1" w:rsidP="00041B27">
            <w:pPr>
              <w:pStyle w:val="NoSpacing"/>
            </w:pPr>
            <w:r w:rsidRPr="00A057A1">
              <w:t>The Government reserves the right to evaluate the Offeror’s proposed labor rates to determine if the proposed rates are unrealistically low in order to assess the ability of the Offeror to meet the Performance Work Statement (PWS) requirements and whether the proposal provides the Government with a high level of confidence of successful performance.  Unrealistically low labor rates proposed for a significant quantity of the total labor hours may indicate a high-risk approach to contract performance.  Since the proposed labor rates are binding, the Government’s price evaluation shall not be adjusted as a result of this analysis due to the fact that the Government is not performing a cost realism analysis.  However, if the Government deems it necessary to conduct discussions, and as a result of those discussions an Offeror adjusts its labor rates, then those revised labor rates will also be assessed under the Price Factor.  This analysis, if undertaken, is for the limited purpose of aiding the agency in measuring the risk of the Offeror’s approach to meeting the solicitation requirements.</w:t>
            </w:r>
          </w:p>
          <w:p w14:paraId="091A0267" w14:textId="77777777" w:rsidR="005F4420" w:rsidRDefault="005F4420" w:rsidP="00041B27">
            <w:pPr>
              <w:pStyle w:val="NoSpacing"/>
              <w:contextualSpacing/>
            </w:pPr>
          </w:p>
          <w:p w14:paraId="0830E7AD" w14:textId="67C6D97D" w:rsidR="00EC757B" w:rsidRPr="00EC757B" w:rsidRDefault="007A458C" w:rsidP="00EC757B">
            <w:pPr>
              <w:pStyle w:val="NormalWeb"/>
            </w:pPr>
            <w:r>
              <w:rPr>
                <w:b/>
                <w:u w:val="single"/>
              </w:rPr>
              <w:t xml:space="preserve">2. </w:t>
            </w:r>
            <w:r w:rsidRPr="009A1184">
              <w:rPr>
                <w:b/>
                <w:u w:val="single"/>
              </w:rPr>
              <w:t xml:space="preserve">Proposal Summary: </w:t>
            </w:r>
            <w:r w:rsidRPr="009A1184">
              <w:rPr>
                <w:b/>
              </w:rPr>
              <w:t xml:space="preserve"> </w:t>
            </w:r>
            <w:r w:rsidR="00FB7A33" w:rsidRPr="00FB7A33">
              <w:t xml:space="preserve">The Offeror provided a technical and management approach to conducting application development, modernization, and operations and maintenance activities for the Remote Veteran Sleep Apnea Management Platform (REVAMP).  </w:t>
            </w:r>
            <w:r w:rsidR="004F635C">
              <w:t xml:space="preserve">Offeror B began its TEP with a general background of the REVAMP project.  </w:t>
            </w:r>
            <w:r w:rsidR="00FB7A33" w:rsidRPr="00FB7A33">
              <w:t xml:space="preserve">The Offeror’s response described </w:t>
            </w:r>
            <w:r w:rsidR="002B2A11">
              <w:t>its</w:t>
            </w:r>
            <w:r w:rsidR="002B2A11" w:rsidRPr="00FB7A33">
              <w:t xml:space="preserve"> </w:t>
            </w:r>
            <w:r w:rsidR="00FB7A33" w:rsidRPr="00FB7A33">
              <w:t xml:space="preserve">technical and management solution to the problem identified in the Performance </w:t>
            </w:r>
            <w:r w:rsidR="00EC757B" w:rsidRPr="00EC757B">
              <w:t xml:space="preserve">Work Statement (PWS).  The proposal describes how the Offeror will </w:t>
            </w:r>
            <w:r w:rsidR="00AA5011">
              <w:t>enhance the REVAMP application with</w:t>
            </w:r>
            <w:r w:rsidR="00EC757B" w:rsidRPr="00EC757B">
              <w:t xml:space="preserve"> Agile processes to leverage existing code from the REVAMP 1.0 G</w:t>
            </w:r>
            <w:r w:rsidR="00154DCC">
              <w:t>ithub</w:t>
            </w:r>
            <w:r w:rsidR="00EC757B" w:rsidRPr="00EC757B">
              <w:t xml:space="preserve"> repository.  The response also includes a discussion on the Offeror’s approach to management processes to advance the </w:t>
            </w:r>
            <w:r w:rsidR="004F635C">
              <w:t>Veterans Health Administration (</w:t>
            </w:r>
            <w:r w:rsidR="00EC757B" w:rsidRPr="00EC757B">
              <w:t>VHA</w:t>
            </w:r>
            <w:r w:rsidR="004F635C">
              <w:t>)</w:t>
            </w:r>
            <w:r w:rsidR="00EC757B" w:rsidRPr="00EC757B">
              <w:t xml:space="preserve"> Innovations Program Office objectives. </w:t>
            </w:r>
            <w:r w:rsidR="00B334D2">
              <w:t xml:space="preserve"> </w:t>
            </w:r>
            <w:r w:rsidR="00EC757B" w:rsidRPr="00EC757B">
              <w:t xml:space="preserve">Finally, some graphs and a detailed GANTT chart were also provided </w:t>
            </w:r>
          </w:p>
          <w:p w14:paraId="3DBA7468" w14:textId="3EE05EDA" w:rsidR="007A458C" w:rsidRDefault="007A458C" w:rsidP="007A458C"/>
          <w:p w14:paraId="3510902D" w14:textId="4D010AD7" w:rsidR="007A458C" w:rsidRDefault="007A458C" w:rsidP="007A458C">
            <w:r>
              <w:t>The Off</w:t>
            </w:r>
            <w:r w:rsidR="00FB7A33">
              <w:t>eror has proposed to team with one</w:t>
            </w:r>
            <w:r w:rsidR="002B2A11">
              <w:t xml:space="preserve"> </w:t>
            </w:r>
            <w:r w:rsidR="00FB7A33">
              <w:t>subcontractor</w:t>
            </w:r>
            <w:r>
              <w:t xml:space="preserve">. </w:t>
            </w:r>
          </w:p>
          <w:p w14:paraId="5777D262" w14:textId="77777777" w:rsidR="007A458C" w:rsidRDefault="007A458C" w:rsidP="007A458C"/>
          <w:p w14:paraId="2ACED0BF" w14:textId="6B37B8A7" w:rsidR="007A458C" w:rsidRDefault="007A458C" w:rsidP="007A458C">
            <w:r>
              <w:lastRenderedPageBreak/>
              <w:t xml:space="preserve">After review of the entire proposal, it was determined that the Offeror’s approach contained </w:t>
            </w:r>
            <w:r w:rsidR="00A057A1">
              <w:t xml:space="preserve">two </w:t>
            </w:r>
            <w:r w:rsidR="00EC757B">
              <w:t>Strength</w:t>
            </w:r>
            <w:r w:rsidR="008A6E56">
              <w:t>s</w:t>
            </w:r>
            <w:r>
              <w:t xml:space="preserve"> detailed below.  The remainder of the </w:t>
            </w:r>
            <w:r w:rsidR="002B2A11">
              <w:t xml:space="preserve">REVAMP </w:t>
            </w:r>
            <w:r>
              <w:t>requirements was adequately addressed.</w:t>
            </w:r>
          </w:p>
          <w:p w14:paraId="0D799438" w14:textId="77777777" w:rsidR="007A458C" w:rsidRPr="007A458C" w:rsidRDefault="007A458C" w:rsidP="007A458C">
            <w:pPr>
              <w:pStyle w:val="NoSpacing"/>
              <w:rPr>
                <w:b/>
              </w:rPr>
            </w:pPr>
          </w:p>
          <w:p w14:paraId="09FC0641" w14:textId="6D9BA00F" w:rsidR="007A458C" w:rsidRDefault="007A458C" w:rsidP="0057569E">
            <w:pPr>
              <w:rPr>
                <w:b/>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656993AA" w14:textId="5B7F36F2" w:rsidR="004623D0" w:rsidRPr="004623D0" w:rsidRDefault="004623D0" w:rsidP="004623D0">
            <w:pPr>
              <w:spacing w:before="100" w:beforeAutospacing="1" w:after="100" w:afterAutospacing="1"/>
            </w:pPr>
            <w:r w:rsidRPr="004623D0">
              <w:rPr>
                <w:b/>
              </w:rPr>
              <w:t>Strength #1:</w:t>
            </w:r>
            <w:r w:rsidRPr="004623D0">
              <w:t xml:space="preserve"> (TEP</w:t>
            </w:r>
            <w:r w:rsidR="004F635C">
              <w:t xml:space="preserve"> 2.2,</w:t>
            </w:r>
            <w:r w:rsidRPr="004623D0">
              <w:t xml:space="preserve"> p 12, PWS Section 5.4</w:t>
            </w:r>
            <w:r w:rsidR="00AB1DCF">
              <w:t>. Request for Task Execution Plan B.1.1</w:t>
            </w:r>
            <w:r w:rsidRPr="004623D0">
              <w:t>) In its propos</w:t>
            </w:r>
            <w:r w:rsidR="00AB1DCF">
              <w:t>ed approach for utilizing Agile development methodology with all aspects of the Software Development Life Cycle to develop the REVAMP 2.0 Enhancements,</w:t>
            </w:r>
            <w:r w:rsidRPr="004623D0">
              <w:t xml:space="preserve"> Offeror </w:t>
            </w:r>
            <w:r w:rsidR="00AB1DCF">
              <w:t>B</w:t>
            </w:r>
            <w:r w:rsidR="00AB1DCF" w:rsidRPr="004623D0">
              <w:t xml:space="preserve"> </w:t>
            </w:r>
            <w:r w:rsidRPr="004623D0">
              <w:t xml:space="preserve">describes how it will analyze dependencies on changing non-functional requirements during the course of its development planning.  Doing this will allow </w:t>
            </w:r>
            <w:r w:rsidR="00492A5F">
              <w:t xml:space="preserve">for the </w:t>
            </w:r>
            <w:r w:rsidRPr="004623D0">
              <w:t>assess</w:t>
            </w:r>
            <w:r w:rsidR="00492A5F">
              <w:t>ment of</w:t>
            </w:r>
            <w:r w:rsidRPr="004623D0">
              <w:t xml:space="preserve"> the “technical debt”, or the level of effort </w:t>
            </w:r>
            <w:r w:rsidR="00A057A1">
              <w:t xml:space="preserve">that </w:t>
            </w:r>
            <w:r w:rsidR="00AB1DCF">
              <w:t>is</w:t>
            </w:r>
            <w:r w:rsidR="00AB1DCF" w:rsidRPr="004623D0">
              <w:t xml:space="preserve"> </w:t>
            </w:r>
            <w:r w:rsidRPr="004623D0">
              <w:t>need</w:t>
            </w:r>
            <w:r w:rsidR="00AB1DCF">
              <w:t>ed</w:t>
            </w:r>
            <w:r w:rsidRPr="004623D0">
              <w:t xml:space="preserve"> to factor in for unplanned non-functional requirements.  The inclusion of this step in </w:t>
            </w:r>
            <w:r w:rsidR="00AB1DCF">
              <w:t>its</w:t>
            </w:r>
            <w:r w:rsidR="00AB1DCF" w:rsidRPr="004623D0">
              <w:t xml:space="preserve"> </w:t>
            </w:r>
            <w:r w:rsidRPr="004623D0">
              <w:t xml:space="preserve">planning process is </w:t>
            </w:r>
            <w:r w:rsidR="00AB1DCF">
              <w:t>beneficial</w:t>
            </w:r>
            <w:r w:rsidR="00AB1DCF" w:rsidRPr="004623D0">
              <w:t xml:space="preserve"> </w:t>
            </w:r>
            <w:r w:rsidRPr="004623D0">
              <w:t xml:space="preserve">because while VA’s non-functional requirements do change, </w:t>
            </w:r>
            <w:r w:rsidR="00A057A1">
              <w:t>this is often overlooked which can lead</w:t>
            </w:r>
            <w:r w:rsidRPr="004623D0">
              <w:t xml:space="preserve"> to schedule slippage</w:t>
            </w:r>
            <w:r w:rsidR="00AA5011">
              <w:t>,</w:t>
            </w:r>
            <w:r w:rsidRPr="004623D0">
              <w:t xml:space="preserve"> and the mutual frustration of </w:t>
            </w:r>
            <w:r w:rsidR="00AB1DCF">
              <w:t>G</w:t>
            </w:r>
            <w:r w:rsidRPr="004623D0">
              <w:t xml:space="preserve">overnment representatives and contractors.  Offeror </w:t>
            </w:r>
            <w:r w:rsidR="00AB1DCF">
              <w:t>B</w:t>
            </w:r>
            <w:r w:rsidR="00AB1DCF" w:rsidRPr="004623D0">
              <w:t xml:space="preserve">’s </w:t>
            </w:r>
            <w:r w:rsidRPr="004623D0">
              <w:t xml:space="preserve">inclusion of the technical debt analysis in the planning session </w:t>
            </w:r>
            <w:r w:rsidR="00AB1DCF">
              <w:t>would</w:t>
            </w:r>
            <w:r w:rsidR="00AB1DCF" w:rsidRPr="004623D0">
              <w:t xml:space="preserve"> </w:t>
            </w:r>
            <w:r w:rsidRPr="004623D0">
              <w:t xml:space="preserve">result in a more viable implementation plan, increasing feasibility of the baseline plan and decreasing overall project risk. </w:t>
            </w:r>
          </w:p>
          <w:p w14:paraId="74CCCC6A" w14:textId="67E86AD4" w:rsidR="0057569E" w:rsidRDefault="00F80F19" w:rsidP="007A458C">
            <w:pPr>
              <w:pStyle w:val="NoSpacing"/>
            </w:pPr>
            <w:r w:rsidRPr="00041B27">
              <w:rPr>
                <w:b/>
              </w:rPr>
              <w:t>Strength</w:t>
            </w:r>
            <w:r w:rsidR="004623D0">
              <w:rPr>
                <w:b/>
              </w:rPr>
              <w:t xml:space="preserve"> #2</w:t>
            </w:r>
            <w:r w:rsidR="00354F3E" w:rsidRPr="00041B27">
              <w:rPr>
                <w:b/>
              </w:rPr>
              <w:t>:</w:t>
            </w:r>
            <w:r w:rsidR="00354F3E">
              <w:t xml:space="preserve"> </w:t>
            </w:r>
            <w:r w:rsidR="0057569E">
              <w:t xml:space="preserve">(TEP </w:t>
            </w:r>
            <w:r w:rsidR="007532C9">
              <w:t xml:space="preserve">2.2.1, </w:t>
            </w:r>
            <w:r w:rsidR="0057569E">
              <w:t>pp 14</w:t>
            </w:r>
            <w:r w:rsidR="007532C9">
              <w:t>-</w:t>
            </w:r>
            <w:r w:rsidR="0057569E">
              <w:t>16, PWS 5.4.1</w:t>
            </w:r>
            <w:r w:rsidR="007532C9">
              <w:t>, RTEP B.1.1</w:t>
            </w:r>
            <w:r w:rsidR="0057569E">
              <w:t>)</w:t>
            </w:r>
          </w:p>
          <w:p w14:paraId="36FF35A2" w14:textId="53EE30BC" w:rsidR="0057569E" w:rsidRDefault="007A458C" w:rsidP="007A458C">
            <w:pPr>
              <w:pStyle w:val="NoSpacing"/>
            </w:pPr>
            <w:r w:rsidRPr="0057569E">
              <w:t xml:space="preserve">The Offeror provides a detailed explanation of its </w:t>
            </w:r>
            <w:r w:rsidR="007532C9">
              <w:t xml:space="preserve">proposed </w:t>
            </w:r>
            <w:r w:rsidRPr="0057569E">
              <w:t xml:space="preserve">approach for executing and delivering </w:t>
            </w:r>
            <w:r w:rsidR="0057569E" w:rsidRPr="0057569E">
              <w:t>a</w:t>
            </w:r>
            <w:r w:rsidR="0057569E">
              <w:t xml:space="preserve"> redesign of the REVAMP landing pages.</w:t>
            </w:r>
            <w:r w:rsidR="00A057A1">
              <w:t xml:space="preserve"> </w:t>
            </w:r>
            <w:r w:rsidR="0057569E">
              <w:t xml:space="preserve"> The landing page is the first impression users will have of the REVAMP application and is critical in determining their acceptance of the portal. </w:t>
            </w:r>
            <w:r w:rsidR="00A057A1">
              <w:t xml:space="preserve"> </w:t>
            </w:r>
            <w:r w:rsidR="0057569E">
              <w:t xml:space="preserve">Offeror B </w:t>
            </w:r>
            <w:r w:rsidR="007532C9">
              <w:t xml:space="preserve">proposes to </w:t>
            </w:r>
            <w:r w:rsidR="00C86D56">
              <w:t>schedule Joint Application Design sessions to obtain input from a wide range of stakeholders, including patient representatives</w:t>
            </w:r>
            <w:r w:rsidR="009333C0">
              <w:t xml:space="preserve">. </w:t>
            </w:r>
            <w:r w:rsidR="00A057A1">
              <w:t xml:space="preserve"> </w:t>
            </w:r>
            <w:r w:rsidR="009333C0">
              <w:t xml:space="preserve">This </w:t>
            </w:r>
            <w:r w:rsidR="007532C9">
              <w:t>feedback from multiple</w:t>
            </w:r>
            <w:r w:rsidR="001D59C6">
              <w:t xml:space="preserve"> interested parties</w:t>
            </w:r>
            <w:r w:rsidR="007532C9">
              <w:t xml:space="preserve"> </w:t>
            </w:r>
            <w:r w:rsidR="009333C0">
              <w:t xml:space="preserve">will help ensure end-user </w:t>
            </w:r>
            <w:r w:rsidR="001D59C6">
              <w:t xml:space="preserve">overall </w:t>
            </w:r>
            <w:r w:rsidR="009333C0">
              <w:t>satisfaction.</w:t>
            </w:r>
            <w:r w:rsidR="00A057A1">
              <w:t xml:space="preserve"> </w:t>
            </w:r>
            <w:r w:rsidR="009333C0">
              <w:t xml:space="preserve"> </w:t>
            </w:r>
            <w:r w:rsidR="001D59C6">
              <w:t>In support of its proposed approach, Offeror B provided samples of similar issues and how its multiple feedback approach</w:t>
            </w:r>
            <w:r w:rsidR="008742F8">
              <w:t xml:space="preserve"> successfully resulted in a landing page portraying different sets of images. </w:t>
            </w:r>
            <w:r w:rsidR="001D59C6">
              <w:t xml:space="preserve"> </w:t>
            </w:r>
            <w:r w:rsidR="008742F8">
              <w:t>Additionally, t</w:t>
            </w:r>
            <w:r w:rsidR="00C86D56">
              <w:t xml:space="preserve">he Offeror </w:t>
            </w:r>
            <w:r w:rsidR="007532C9">
              <w:t>propose</w:t>
            </w:r>
            <w:r w:rsidR="001D59C6">
              <w:t>d approach includes</w:t>
            </w:r>
            <w:r w:rsidR="007532C9">
              <w:t xml:space="preserve"> </w:t>
            </w:r>
            <w:r w:rsidR="00C86D56">
              <w:t>test</w:t>
            </w:r>
            <w:r w:rsidR="001D59C6">
              <w:t>ing</w:t>
            </w:r>
            <w:r w:rsidR="00C86D56">
              <w:t xml:space="preserve"> the resulting landing pages </w:t>
            </w:r>
            <w:r w:rsidR="001D59C6">
              <w:t xml:space="preserve">with </w:t>
            </w:r>
            <w:r w:rsidR="00C86D56">
              <w:t>every sprint</w:t>
            </w:r>
            <w:r w:rsidR="001D59C6">
              <w:t>,</w:t>
            </w:r>
            <w:r w:rsidR="009333C0">
              <w:t xml:space="preserve"> </w:t>
            </w:r>
            <w:r w:rsidR="001D59C6">
              <w:t xml:space="preserve">which </w:t>
            </w:r>
            <w:r w:rsidR="00C86D56">
              <w:t>ensure that no functionality is lost and performance issues are not introduced as user load increases.</w:t>
            </w:r>
            <w:r w:rsidR="00A057A1">
              <w:t xml:space="preserve"> </w:t>
            </w:r>
            <w:r w:rsidR="00C86D56">
              <w:t xml:space="preserve"> </w:t>
            </w:r>
            <w:r w:rsidR="008742F8">
              <w:t xml:space="preserve">Overall, </w:t>
            </w:r>
            <w:r w:rsidR="009333C0">
              <w:t>Offeror B’s approach and expertise with redesign of the landing pages increases</w:t>
            </w:r>
            <w:r w:rsidR="00C136C8">
              <w:t xml:space="preserve"> the Government’s</w:t>
            </w:r>
            <w:r w:rsidR="009333C0">
              <w:t xml:space="preserve"> confidence in the Offeror’s ability to deliver the requirements of the PWS.</w:t>
            </w:r>
          </w:p>
          <w:p w14:paraId="1EF9888F" w14:textId="77777777" w:rsidR="0057569E" w:rsidRDefault="0057569E" w:rsidP="007A458C">
            <w:pPr>
              <w:pStyle w:val="NoSpacing"/>
            </w:pPr>
          </w:p>
          <w:p w14:paraId="599DFD31" w14:textId="77777777" w:rsidR="002B2A11" w:rsidRDefault="007A458C" w:rsidP="009333C0">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p>
          <w:p w14:paraId="5ECC95BA" w14:textId="77777777" w:rsidR="00B334D2" w:rsidRDefault="00B334D2" w:rsidP="009333C0">
            <w:pPr>
              <w:rPr>
                <w:b/>
              </w:rPr>
            </w:pPr>
          </w:p>
          <w:p w14:paraId="2A14CDA4" w14:textId="73D08FAF" w:rsidR="007A458C" w:rsidRPr="009333C0" w:rsidRDefault="007A458C" w:rsidP="009333C0">
            <w:r>
              <w:rPr>
                <w:b/>
              </w:rPr>
              <w:t xml:space="preserve"> </w:t>
            </w:r>
            <w:r w:rsidR="009333C0">
              <w:t>None identified</w:t>
            </w:r>
            <w:r w:rsidR="00A057A1">
              <w:t>.</w:t>
            </w:r>
          </w:p>
          <w:p w14:paraId="1B6ADE08" w14:textId="77777777" w:rsidR="004F5208" w:rsidRPr="00773FFF" w:rsidRDefault="004F5208" w:rsidP="00041B27">
            <w:pPr>
              <w:pStyle w:val="NoSpacing"/>
            </w:pPr>
          </w:p>
          <w:p w14:paraId="6BB4DE46" w14:textId="77777777" w:rsidR="002B2A11" w:rsidRDefault="007A458C" w:rsidP="009333C0">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2CB429A1" w14:textId="77777777" w:rsidR="00B334D2" w:rsidRDefault="00B334D2" w:rsidP="009333C0">
            <w:pPr>
              <w:pStyle w:val="NoSpacing"/>
              <w:rPr>
                <w:i/>
              </w:rPr>
            </w:pPr>
          </w:p>
          <w:p w14:paraId="30BDD0F6" w14:textId="2325224A" w:rsidR="007A458C" w:rsidRPr="009333C0" w:rsidRDefault="009333C0" w:rsidP="009333C0">
            <w:pPr>
              <w:pStyle w:val="NoSpacing"/>
            </w:pPr>
            <w:r>
              <w:t>None identified</w:t>
            </w:r>
            <w:r w:rsidR="00A057A1">
              <w:t>.</w:t>
            </w:r>
          </w:p>
          <w:p w14:paraId="0CE2F0DF" w14:textId="77777777" w:rsidR="00661D1D" w:rsidRPr="00E543FD" w:rsidRDefault="00661D1D" w:rsidP="00041B27">
            <w:pPr>
              <w:pStyle w:val="NoSpacing"/>
            </w:pPr>
          </w:p>
          <w:p w14:paraId="6EEDBED3" w14:textId="77777777" w:rsidR="009333C0" w:rsidRDefault="004012EE" w:rsidP="004012EE">
            <w:pPr>
              <w:rPr>
                <w:b/>
                <w:u w:val="single"/>
              </w:rPr>
            </w:pPr>
            <w:r w:rsidRPr="00E97ECB">
              <w:rPr>
                <w:b/>
                <w:u w:val="single"/>
              </w:rPr>
              <w:t>Special Terms and Conditions / Deviation / Critical Assumptions stated in TEP:</w:t>
            </w:r>
            <w:r w:rsidR="009333C0">
              <w:rPr>
                <w:b/>
                <w:u w:val="single"/>
              </w:rPr>
              <w:t xml:space="preserve"> </w:t>
            </w:r>
          </w:p>
          <w:p w14:paraId="6998F9CD" w14:textId="77777777" w:rsidR="00B334D2" w:rsidRDefault="00B334D2" w:rsidP="004012EE">
            <w:pPr>
              <w:rPr>
                <w:b/>
                <w:u w:val="single"/>
              </w:rPr>
            </w:pPr>
          </w:p>
          <w:p w14:paraId="60719600" w14:textId="62A13225" w:rsidR="009333C0" w:rsidRPr="009333C0" w:rsidRDefault="009333C0" w:rsidP="009333C0">
            <w:pPr>
              <w:pStyle w:val="NoSpacing"/>
            </w:pPr>
            <w:r w:rsidRPr="009333C0">
              <w:t>None</w:t>
            </w:r>
            <w:r>
              <w:t xml:space="preserve"> identified</w:t>
            </w:r>
            <w:r w:rsidR="00A057A1">
              <w:t>.</w:t>
            </w:r>
          </w:p>
          <w:p w14:paraId="091A029E" w14:textId="77777777" w:rsidR="00D253B1" w:rsidRPr="007B55E1" w:rsidRDefault="00D253B1" w:rsidP="00041B27">
            <w:pPr>
              <w:pStyle w:val="NoSpacing"/>
            </w:pPr>
          </w:p>
          <w:p w14:paraId="091A029F" w14:textId="555D1375" w:rsidR="00D863B7" w:rsidRPr="00041B27" w:rsidRDefault="00041B27" w:rsidP="00041B27">
            <w:pPr>
              <w:pStyle w:val="NoSpacing"/>
              <w:rPr>
                <w:b/>
                <w:u w:val="single"/>
              </w:rPr>
            </w:pPr>
            <w:r>
              <w:rPr>
                <w:b/>
                <w:u w:val="single"/>
              </w:rPr>
              <w:t>6</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5142D28B" w:rsidR="00F30321" w:rsidRPr="00AA5011" w:rsidRDefault="00041B27" w:rsidP="00041B27">
            <w:pPr>
              <w:pStyle w:val="NoSpacing"/>
            </w:pPr>
            <w:r w:rsidRPr="00AA5011">
              <w:lastRenderedPageBreak/>
              <w:t>Ove</w:t>
            </w:r>
            <w:r w:rsidR="00AA5011" w:rsidRPr="00AA5011">
              <w:t>rall</w:t>
            </w:r>
            <w:r w:rsidR="00A057A1">
              <w:t>,</w:t>
            </w:r>
            <w:r w:rsidR="00AA5011" w:rsidRPr="00AA5011">
              <w:t xml:space="preserve"> Offeror</w:t>
            </w:r>
            <w:r w:rsidR="00A057A1">
              <w:t xml:space="preserve"> B’s TEP</w:t>
            </w:r>
            <w:r w:rsidR="00AA5011" w:rsidRPr="00AA5011">
              <w:t xml:space="preserve"> </w:t>
            </w:r>
            <w:r w:rsidR="00A057A1" w:rsidRPr="00AA5011">
              <w:t>demonstrate</w:t>
            </w:r>
            <w:r w:rsidR="00A057A1">
              <w:t>d</w:t>
            </w:r>
            <w:r w:rsidR="00A057A1" w:rsidRPr="00AA5011">
              <w:t xml:space="preserve"> </w:t>
            </w:r>
            <w:r w:rsidR="00AA5011" w:rsidRPr="00AA5011">
              <w:t>a</w:t>
            </w:r>
            <w:r w:rsidR="00554663">
              <w:t>t least a minimal</w:t>
            </w:r>
            <w:r w:rsidRPr="00AA5011">
              <w:t xml:space="preserve"> understanding of the requirements.</w:t>
            </w:r>
          </w:p>
          <w:p w14:paraId="091A02A4" w14:textId="77777777" w:rsidR="00972C17" w:rsidRPr="00AA5011" w:rsidRDefault="00972C17" w:rsidP="00041B27">
            <w:pPr>
              <w:pStyle w:val="NoSpacing"/>
            </w:pPr>
          </w:p>
          <w:p w14:paraId="091A02A5" w14:textId="77777777" w:rsidR="00972C17" w:rsidRPr="00AA5011" w:rsidRDefault="006370D1" w:rsidP="00041B27">
            <w:pPr>
              <w:pStyle w:val="NoSpacing"/>
              <w:rPr>
                <w:b/>
                <w:u w:val="single"/>
              </w:rPr>
            </w:pPr>
            <w:r w:rsidRPr="00AA5011">
              <w:rPr>
                <w:b/>
                <w:u w:val="single"/>
              </w:rPr>
              <w:t xml:space="preserve">b. </w:t>
            </w:r>
            <w:r w:rsidR="00972C17" w:rsidRPr="00AA5011">
              <w:rPr>
                <w:b/>
                <w:u w:val="single"/>
              </w:rPr>
              <w:t>Feasibility of Approach</w:t>
            </w:r>
          </w:p>
          <w:p w14:paraId="091A02A6" w14:textId="77777777" w:rsidR="00F30321" w:rsidRPr="00AA5011" w:rsidRDefault="00F30321" w:rsidP="00041B27">
            <w:pPr>
              <w:pStyle w:val="NoSpacing"/>
            </w:pPr>
          </w:p>
          <w:p w14:paraId="091A02A7" w14:textId="4A31644E" w:rsidR="00473B02" w:rsidRPr="00F30321" w:rsidRDefault="00041B27" w:rsidP="00041B27">
            <w:pPr>
              <w:pStyle w:val="NoSpacing"/>
              <w:rPr>
                <w:i/>
              </w:rPr>
            </w:pPr>
            <w:r w:rsidRPr="00AA5011">
              <w:t>Overall</w:t>
            </w:r>
            <w:r w:rsidR="00A057A1">
              <w:t>,</w:t>
            </w:r>
            <w:r w:rsidRPr="00AA5011">
              <w:t xml:space="preserve"> Offeror</w:t>
            </w:r>
            <w:r w:rsidR="00A057A1">
              <w:t xml:space="preserve"> B’s TEP</w:t>
            </w:r>
            <w:r w:rsidRPr="00AA5011">
              <w:t xml:space="preserve"> </w:t>
            </w:r>
            <w:r w:rsidR="00A057A1" w:rsidRPr="00AA5011">
              <w:t>demonstrate</w:t>
            </w:r>
            <w:r w:rsidR="00A057A1">
              <w:t>d</w:t>
            </w:r>
            <w:r w:rsidR="00A057A1" w:rsidRPr="00AA5011">
              <w:t xml:space="preserve"> </w:t>
            </w:r>
            <w:r w:rsidRPr="00AA5011">
              <w:t xml:space="preserve">an approach that is considered </w:t>
            </w:r>
            <w:r w:rsidR="00AA5011" w:rsidRPr="00AA5011">
              <w:t>is</w:t>
            </w:r>
            <w:r w:rsidRPr="00AA5011">
              <w:t xml:space="preserve"> </w:t>
            </w:r>
            <w:r w:rsidR="00554663">
              <w:t xml:space="preserve">at least minimally </w:t>
            </w:r>
            <w:r w:rsidRPr="00AA5011">
              <w:t xml:space="preserve">feasible and is considered </w:t>
            </w:r>
            <w:r w:rsidR="00AA5011" w:rsidRPr="00AA5011">
              <w:t>moderate</w:t>
            </w:r>
            <w:r w:rsidR="00554663">
              <w:t xml:space="preserve"> to high</w:t>
            </w:r>
            <w:r w:rsidRPr="00AA5011">
              <w:t xml:space="preserve"> risk.</w:t>
            </w:r>
          </w:p>
          <w:p w14:paraId="091A02A8" w14:textId="77777777" w:rsidR="00D863B7" w:rsidRDefault="00D863B7" w:rsidP="00041B27">
            <w:pPr>
              <w:pStyle w:val="NoSpacing"/>
            </w:pPr>
          </w:p>
          <w:p w14:paraId="72732CC5" w14:textId="5501D5C0" w:rsidR="002B2A11" w:rsidRDefault="00041B27" w:rsidP="009333C0">
            <w:pPr>
              <w:rPr>
                <w:b/>
              </w:rPr>
            </w:pPr>
            <w:r>
              <w:rPr>
                <w:b/>
                <w:u w:val="single"/>
              </w:rPr>
              <w:t>7</w:t>
            </w:r>
            <w:r w:rsidR="00F8248B" w:rsidRPr="00041B27">
              <w:rPr>
                <w:b/>
                <w:u w:val="single"/>
              </w:rPr>
              <w:t>. Rating:</w:t>
            </w:r>
            <w:r w:rsidR="00F8248B" w:rsidRPr="00041B27">
              <w:rPr>
                <w:b/>
              </w:rPr>
              <w:t xml:space="preserve"> </w:t>
            </w:r>
            <w:r w:rsidR="00F8248B">
              <w:t xml:space="preserve"> </w:t>
            </w:r>
            <w:r w:rsidR="004012EE" w:rsidRPr="002B2A11">
              <w:t>Acceptable</w:t>
            </w:r>
            <w:r w:rsidR="004012EE" w:rsidRPr="00F30321">
              <w:rPr>
                <w:b/>
              </w:rPr>
              <w:t xml:space="preserve"> </w:t>
            </w:r>
          </w:p>
          <w:p w14:paraId="623160CE" w14:textId="77777777" w:rsidR="002B2A11" w:rsidRDefault="002B2A11" w:rsidP="009333C0">
            <w:pPr>
              <w:rPr>
                <w:b/>
              </w:rPr>
            </w:pPr>
          </w:p>
          <w:p w14:paraId="091A02AF" w14:textId="0414D0C7" w:rsidR="00F30321" w:rsidRPr="00F30321" w:rsidRDefault="00A057A1" w:rsidP="00A057A1">
            <w:r>
              <w:t>Offeror B’s TEP</w:t>
            </w:r>
            <w:r w:rsidR="004012EE" w:rsidRPr="00F30321">
              <w:t xml:space="preserve"> at least </w:t>
            </w:r>
            <w:r w:rsidRPr="00F30321">
              <w:t>me</w:t>
            </w:r>
            <w:r>
              <w:t>t</w:t>
            </w:r>
            <w:r w:rsidRPr="00F30321">
              <w:t xml:space="preserve"> </w:t>
            </w:r>
            <w:r w:rsidR="004012EE" w:rsidRPr="00F30321">
              <w:t>all o</w:t>
            </w:r>
            <w:r w:rsidR="00355A2C">
              <w:t>f the Government’s requirements,</w:t>
            </w:r>
            <w:r w:rsidR="004012EE" w:rsidRPr="00F30321">
              <w:t xml:space="preserve"> </w:t>
            </w:r>
            <w:r w:rsidRPr="00F30321">
              <w:t>demonstrate</w:t>
            </w:r>
            <w:r>
              <w:t>d</w:t>
            </w:r>
            <w:r w:rsidRPr="00F30321">
              <w:t xml:space="preserve"> </w:t>
            </w:r>
            <w:r w:rsidR="004012EE" w:rsidRPr="00F30321">
              <w:t>at least a minimal understanding of the problems</w:t>
            </w:r>
            <w:r w:rsidR="00355A2C">
              <w:t>,</w:t>
            </w:r>
            <w:r w:rsidR="004012EE" w:rsidRPr="00F30321">
              <w:t xml:space="preserve"> and is at least minimally feasible (moderate to high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5" w14:textId="055C540D" w:rsidR="006F0AB8" w:rsidRPr="00E671B3" w:rsidRDefault="007A458C" w:rsidP="006A18DA">
            <w:r w:rsidRPr="00E671B3">
              <w:t xml:space="preserve">Acceptable </w:t>
            </w:r>
          </w:p>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8" w14:textId="77777777" w:rsidR="003874B3" w:rsidRPr="00E671B3" w:rsidRDefault="003874B3" w:rsidP="006A18DA">
            <w:pPr>
              <w:rPr>
                <w:b/>
              </w:rPr>
            </w:pPr>
          </w:p>
          <w:p w14:paraId="091A02CA" w14:textId="77777777" w:rsidR="003874B3" w:rsidRPr="00E671B3" w:rsidRDefault="003874B3" w:rsidP="002A70F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15B7"/>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4DCC"/>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6183"/>
    <w:rsid w:val="001C1764"/>
    <w:rsid w:val="001C6A4F"/>
    <w:rsid w:val="001D3288"/>
    <w:rsid w:val="001D4D63"/>
    <w:rsid w:val="001D59C6"/>
    <w:rsid w:val="001D5B60"/>
    <w:rsid w:val="001D5EB5"/>
    <w:rsid w:val="001E147E"/>
    <w:rsid w:val="001E4DA1"/>
    <w:rsid w:val="001E6FB4"/>
    <w:rsid w:val="001F4670"/>
    <w:rsid w:val="001F4BA6"/>
    <w:rsid w:val="001F54D1"/>
    <w:rsid w:val="001F5D5B"/>
    <w:rsid w:val="001F6767"/>
    <w:rsid w:val="00200CF3"/>
    <w:rsid w:val="00200E55"/>
    <w:rsid w:val="002079C0"/>
    <w:rsid w:val="0021197B"/>
    <w:rsid w:val="0021259D"/>
    <w:rsid w:val="00212A20"/>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0341"/>
    <w:rsid w:val="002A493A"/>
    <w:rsid w:val="002A61CC"/>
    <w:rsid w:val="002A70FA"/>
    <w:rsid w:val="002B2A11"/>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4F3E"/>
    <w:rsid w:val="00355A2C"/>
    <w:rsid w:val="003577B7"/>
    <w:rsid w:val="00361C62"/>
    <w:rsid w:val="003626BE"/>
    <w:rsid w:val="00363A06"/>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23D0"/>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2A5F"/>
    <w:rsid w:val="004951F4"/>
    <w:rsid w:val="00496535"/>
    <w:rsid w:val="004A0E8C"/>
    <w:rsid w:val="004A14E0"/>
    <w:rsid w:val="004A26D5"/>
    <w:rsid w:val="004A569D"/>
    <w:rsid w:val="004A6176"/>
    <w:rsid w:val="004B1767"/>
    <w:rsid w:val="004B1B4E"/>
    <w:rsid w:val="004B33C5"/>
    <w:rsid w:val="004C4628"/>
    <w:rsid w:val="004C5DEC"/>
    <w:rsid w:val="004D0504"/>
    <w:rsid w:val="004D2BF4"/>
    <w:rsid w:val="004E08D9"/>
    <w:rsid w:val="004E0D59"/>
    <w:rsid w:val="004E32CC"/>
    <w:rsid w:val="004E3868"/>
    <w:rsid w:val="004F5208"/>
    <w:rsid w:val="004F635C"/>
    <w:rsid w:val="0050440A"/>
    <w:rsid w:val="0050579C"/>
    <w:rsid w:val="00507DFE"/>
    <w:rsid w:val="005118C3"/>
    <w:rsid w:val="00511FC0"/>
    <w:rsid w:val="00514312"/>
    <w:rsid w:val="005143ED"/>
    <w:rsid w:val="00515998"/>
    <w:rsid w:val="005203FF"/>
    <w:rsid w:val="00525211"/>
    <w:rsid w:val="00525AF0"/>
    <w:rsid w:val="00527405"/>
    <w:rsid w:val="0053654F"/>
    <w:rsid w:val="0053787A"/>
    <w:rsid w:val="0055391A"/>
    <w:rsid w:val="00554663"/>
    <w:rsid w:val="005566E3"/>
    <w:rsid w:val="00557E12"/>
    <w:rsid w:val="005619D2"/>
    <w:rsid w:val="00561C3C"/>
    <w:rsid w:val="005651B5"/>
    <w:rsid w:val="005679CB"/>
    <w:rsid w:val="0057569E"/>
    <w:rsid w:val="00576D40"/>
    <w:rsid w:val="0058003F"/>
    <w:rsid w:val="005826F8"/>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83AF3"/>
    <w:rsid w:val="00685388"/>
    <w:rsid w:val="00685862"/>
    <w:rsid w:val="006A18DA"/>
    <w:rsid w:val="006A624D"/>
    <w:rsid w:val="006B2422"/>
    <w:rsid w:val="006B66F9"/>
    <w:rsid w:val="006B7BAE"/>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079A"/>
    <w:rsid w:val="007017C4"/>
    <w:rsid w:val="0070297A"/>
    <w:rsid w:val="00707736"/>
    <w:rsid w:val="00714BED"/>
    <w:rsid w:val="00715EA9"/>
    <w:rsid w:val="00716878"/>
    <w:rsid w:val="00717A47"/>
    <w:rsid w:val="00721997"/>
    <w:rsid w:val="0072515A"/>
    <w:rsid w:val="007260D8"/>
    <w:rsid w:val="00726C23"/>
    <w:rsid w:val="007335C9"/>
    <w:rsid w:val="00734F8A"/>
    <w:rsid w:val="00735C86"/>
    <w:rsid w:val="00735D80"/>
    <w:rsid w:val="007532C9"/>
    <w:rsid w:val="0077207C"/>
    <w:rsid w:val="00773FFF"/>
    <w:rsid w:val="0077432B"/>
    <w:rsid w:val="00780226"/>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E6FA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742F8"/>
    <w:rsid w:val="008820F7"/>
    <w:rsid w:val="00890A10"/>
    <w:rsid w:val="008A4918"/>
    <w:rsid w:val="008A66C1"/>
    <w:rsid w:val="008A6E56"/>
    <w:rsid w:val="008B0F54"/>
    <w:rsid w:val="008B2D4D"/>
    <w:rsid w:val="008B43A6"/>
    <w:rsid w:val="008B5988"/>
    <w:rsid w:val="008C35ED"/>
    <w:rsid w:val="008C701A"/>
    <w:rsid w:val="008D2DDE"/>
    <w:rsid w:val="008D4693"/>
    <w:rsid w:val="008E024C"/>
    <w:rsid w:val="008E3F71"/>
    <w:rsid w:val="008E7A8B"/>
    <w:rsid w:val="008E7BCB"/>
    <w:rsid w:val="008F1D57"/>
    <w:rsid w:val="008F48A1"/>
    <w:rsid w:val="00900506"/>
    <w:rsid w:val="00900BA5"/>
    <w:rsid w:val="009068D2"/>
    <w:rsid w:val="00907ADC"/>
    <w:rsid w:val="00912FA0"/>
    <w:rsid w:val="00930F5F"/>
    <w:rsid w:val="00932F91"/>
    <w:rsid w:val="009333C0"/>
    <w:rsid w:val="0093466C"/>
    <w:rsid w:val="0094034E"/>
    <w:rsid w:val="00943F27"/>
    <w:rsid w:val="0094405C"/>
    <w:rsid w:val="00947B8F"/>
    <w:rsid w:val="0095737C"/>
    <w:rsid w:val="009656E9"/>
    <w:rsid w:val="00972C17"/>
    <w:rsid w:val="0097717D"/>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057A1"/>
    <w:rsid w:val="00A11E2B"/>
    <w:rsid w:val="00A1202F"/>
    <w:rsid w:val="00A12045"/>
    <w:rsid w:val="00A13EE1"/>
    <w:rsid w:val="00A22764"/>
    <w:rsid w:val="00A27662"/>
    <w:rsid w:val="00A317AB"/>
    <w:rsid w:val="00A328B2"/>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A5011"/>
    <w:rsid w:val="00AB01AD"/>
    <w:rsid w:val="00AB1DCF"/>
    <w:rsid w:val="00AB39C5"/>
    <w:rsid w:val="00AB5E4C"/>
    <w:rsid w:val="00AC477F"/>
    <w:rsid w:val="00AC62D5"/>
    <w:rsid w:val="00AD0940"/>
    <w:rsid w:val="00AD2C67"/>
    <w:rsid w:val="00AD2F0C"/>
    <w:rsid w:val="00AD5BB7"/>
    <w:rsid w:val="00AE67B3"/>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34D2"/>
    <w:rsid w:val="00B36404"/>
    <w:rsid w:val="00B3755C"/>
    <w:rsid w:val="00B54F8B"/>
    <w:rsid w:val="00B618E4"/>
    <w:rsid w:val="00B6274B"/>
    <w:rsid w:val="00B63494"/>
    <w:rsid w:val="00B67320"/>
    <w:rsid w:val="00B71EE5"/>
    <w:rsid w:val="00B722D8"/>
    <w:rsid w:val="00B726E2"/>
    <w:rsid w:val="00B76D1F"/>
    <w:rsid w:val="00B80468"/>
    <w:rsid w:val="00B80542"/>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3AF"/>
    <w:rsid w:val="00C03649"/>
    <w:rsid w:val="00C03FB4"/>
    <w:rsid w:val="00C05DAF"/>
    <w:rsid w:val="00C06B37"/>
    <w:rsid w:val="00C072AD"/>
    <w:rsid w:val="00C136C8"/>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86D56"/>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29F5"/>
    <w:rsid w:val="00D352B3"/>
    <w:rsid w:val="00D42CB2"/>
    <w:rsid w:val="00D4525A"/>
    <w:rsid w:val="00D538AA"/>
    <w:rsid w:val="00D53C6F"/>
    <w:rsid w:val="00D54431"/>
    <w:rsid w:val="00D56E28"/>
    <w:rsid w:val="00D57DD8"/>
    <w:rsid w:val="00D665E9"/>
    <w:rsid w:val="00D667E5"/>
    <w:rsid w:val="00D72F47"/>
    <w:rsid w:val="00D74139"/>
    <w:rsid w:val="00D74A68"/>
    <w:rsid w:val="00D84289"/>
    <w:rsid w:val="00D863B7"/>
    <w:rsid w:val="00D86D31"/>
    <w:rsid w:val="00D90B2F"/>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6BB"/>
    <w:rsid w:val="00DF7D44"/>
    <w:rsid w:val="00E03D9D"/>
    <w:rsid w:val="00E1243F"/>
    <w:rsid w:val="00E14063"/>
    <w:rsid w:val="00E20232"/>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1AD"/>
    <w:rsid w:val="00E96833"/>
    <w:rsid w:val="00EA1881"/>
    <w:rsid w:val="00EA20DD"/>
    <w:rsid w:val="00EA331B"/>
    <w:rsid w:val="00EA5237"/>
    <w:rsid w:val="00EB19C4"/>
    <w:rsid w:val="00EB4614"/>
    <w:rsid w:val="00EB508C"/>
    <w:rsid w:val="00EC041D"/>
    <w:rsid w:val="00EC1CDD"/>
    <w:rsid w:val="00EC3E42"/>
    <w:rsid w:val="00EC64CB"/>
    <w:rsid w:val="00EC757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674D"/>
    <w:rsid w:val="00FB7A33"/>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uiPriority w:val="99"/>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uiPriority w:val="99"/>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36096489">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697510524">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58873143">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2.xml><?xml version="1.0" encoding="utf-8"?>
<ds:datastoreItem xmlns:ds="http://schemas.openxmlformats.org/officeDocument/2006/customXml" ds:itemID="{6CA5D5A5-2C14-4D84-A09E-61BF73F5E750}">
  <ds:schemaRefs>
    <ds:schemaRef ds:uri="http://schemas.microsoft.com/office/2006/documentManagement/types"/>
    <ds:schemaRef ds:uri="http://schemas.microsoft.com/office/infopath/2007/PartnerControls"/>
    <ds:schemaRef ds:uri="0d3c429c-0412-4dc9-8a4d-a7216355f179"/>
    <ds:schemaRef ds:uri="http://purl.org/dc/term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8E8A508-405B-475B-8434-3011E8459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87A06F-C7FA-4428-8825-B0614739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2017-08-17T19:26:00Z</dcterms:created>
  <dcterms:modified xsi:type="dcterms:W3CDTF">2017-08-17T19:26:00Z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