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127B99BE" w:rsidR="006C2B6B" w:rsidRPr="00E671B3" w:rsidRDefault="00E90922" w:rsidP="00E671B3">
      <w:bookmarkStart w:id="0" w:name="_GoBack"/>
      <w:bookmarkEnd w:id="0"/>
      <w:r>
        <w:t xml:space="preserve"> </w:t>
      </w:r>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3CFEFC81" w:rsidR="006C2B6B" w:rsidRPr="005F4420" w:rsidRDefault="00FC234F" w:rsidP="006A18DA">
            <w:pPr>
              <w:jc w:val="center"/>
              <w:rPr>
                <w:b/>
              </w:rPr>
            </w:pPr>
            <w:r w:rsidRPr="005F4420">
              <w:rPr>
                <w:b/>
              </w:rPr>
              <w:t>T4</w:t>
            </w:r>
            <w:r w:rsidR="006F1AB6">
              <w:rPr>
                <w:b/>
              </w:rPr>
              <w:t>NG</w:t>
            </w:r>
            <w:r w:rsidRPr="005F4420">
              <w:rPr>
                <w:b/>
              </w:rPr>
              <w:t xml:space="preserve"> TECHNICAL EVALUATION FORM – FIRM FIXED PRICE</w:t>
            </w:r>
            <w:r w:rsidR="005A4A69">
              <w:rPr>
                <w:b/>
              </w:rPr>
              <w:t xml:space="preserve"> </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68B1FC22" w:rsidR="007A458C" w:rsidRPr="006370D1" w:rsidRDefault="007A458C" w:rsidP="006F1AB6">
            <w:r>
              <w:t>T4</w:t>
            </w:r>
            <w:r w:rsidR="001D6F3E">
              <w:t>NG-01</w:t>
            </w:r>
            <w:r w:rsidR="00627CE8">
              <w:t>10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0EE79415" w:rsidR="007A458C" w:rsidRPr="006370D1" w:rsidRDefault="001D6F3E" w:rsidP="00627CE8">
            <w:r>
              <w:t xml:space="preserve">HPS Tier 3 Sustainment Support: </w:t>
            </w:r>
            <w:r w:rsidR="00627CE8">
              <w:t>Administrative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421EE567" w:rsidR="007A458C" w:rsidRPr="006370D1" w:rsidRDefault="007A458C" w:rsidP="006370D1">
            <w:r w:rsidRPr="00856158">
              <w:t xml:space="preserve">Offeror </w:t>
            </w:r>
            <w:r w:rsidR="00720A06">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2C97ED9" w:rsidR="007A458C" w:rsidRPr="006370D1" w:rsidRDefault="007A458C" w:rsidP="001D6F3E">
            <w:r w:rsidRPr="00FC234F">
              <w:rPr>
                <w:i/>
              </w:rPr>
              <w:t xml:space="preserve"> </w:t>
            </w:r>
            <w:r w:rsidR="001D6F3E">
              <w:t>December</w:t>
            </w:r>
            <w:r>
              <w:t xml:space="preserve"> </w:t>
            </w:r>
            <w:r w:rsidR="00627CE8">
              <w:t>16</w:t>
            </w:r>
            <w:r>
              <w:t>, 201</w:t>
            </w:r>
            <w:r w:rsidR="006F1AB6">
              <w:t>6</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7B53D345"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6F2D73A5" w14:textId="31CE3E91" w:rsidR="007A458C" w:rsidRDefault="007A458C" w:rsidP="00720A06">
            <w:r>
              <w:rPr>
                <w:b/>
                <w:u w:val="single"/>
              </w:rPr>
              <w:t xml:space="preserve">2. </w:t>
            </w:r>
            <w:r w:rsidRPr="009A1184">
              <w:rPr>
                <w:b/>
                <w:u w:val="single"/>
              </w:rPr>
              <w:t xml:space="preserve">Proposal Summary: </w:t>
            </w:r>
            <w:r w:rsidRPr="009A1184">
              <w:rPr>
                <w:b/>
              </w:rPr>
              <w:t xml:space="preserve"> </w:t>
            </w:r>
          </w:p>
          <w:p w14:paraId="3DBA7468" w14:textId="77777777" w:rsidR="007A458C" w:rsidRDefault="007A458C" w:rsidP="007A458C"/>
          <w:p w14:paraId="37AF9043" w14:textId="185582FE" w:rsidR="004814CD" w:rsidRDefault="002F7D46" w:rsidP="004814CD">
            <w:r>
              <w:t>Offeror C provided a technical and management approach for supporting Tier 3 sustainment needs for Health Product Support (HPS) Adminis</w:t>
            </w:r>
            <w:r w:rsidR="00BE756C">
              <w:t>trative applications.  Offeror C</w:t>
            </w:r>
            <w:r>
              <w:t xml:space="preserve"> in </w:t>
            </w:r>
            <w:r w:rsidR="002146A9">
              <w:t xml:space="preserve">its </w:t>
            </w:r>
            <w:r>
              <w:t>T</w:t>
            </w:r>
            <w:r w:rsidR="00BE756C">
              <w:t xml:space="preserve">ask </w:t>
            </w:r>
            <w:r>
              <w:t>E</w:t>
            </w:r>
            <w:r w:rsidR="00BE756C">
              <w:t xml:space="preserve">xecution </w:t>
            </w:r>
            <w:r>
              <w:t>P</w:t>
            </w:r>
            <w:r w:rsidR="00BE756C">
              <w:t>lan (TEP)</w:t>
            </w:r>
            <w:r>
              <w:t xml:space="preserve"> provided their understanding and approach with the use of Information Technology Infrastructure Library (ITIL) Service Delivery and Scaled Agile expertise to form a partnership framework with HPS.  </w:t>
            </w:r>
            <w:r w:rsidR="002146A9">
              <w:t xml:space="preserve">The Offeror </w:t>
            </w:r>
            <w:r>
              <w:t>expand</w:t>
            </w:r>
            <w:r w:rsidR="002146A9">
              <w:t>s</w:t>
            </w:r>
            <w:r>
              <w:t xml:space="preserve"> on this framework with the design and use of a HPS Playbook for the definition and documentation of standards, processes, and performance metrics for the execution of activities to meet timeliness requirements.  The </w:t>
            </w:r>
            <w:r w:rsidR="002146A9">
              <w:t xml:space="preserve">Offeror </w:t>
            </w:r>
            <w:r>
              <w:t xml:space="preserve">will follow the Veteran-focused Integration </w:t>
            </w:r>
            <w:r w:rsidR="00CC2243">
              <w:t>Process (VIP) guidance and will tailor it to meet HPS requirements with use of a Veteran-Focused Sustainment Process (VSP).  This will integrate portfolio and Agile service delivery to promote efficient and timely</w:t>
            </w:r>
            <w:r w:rsidR="00BE756C">
              <w:t xml:space="preserve"> defect resolutions.  Offeror C‘s t</w:t>
            </w:r>
            <w:r w:rsidR="00E46849">
              <w:t xml:space="preserve">eam structure involves partnership with Tier 2 with the use of their concept of the one ticket/one team approach.  </w:t>
            </w:r>
            <w:r w:rsidR="002146A9">
              <w:t xml:space="preserve">Its </w:t>
            </w:r>
            <w:r w:rsidR="00E46849">
              <w:t xml:space="preserve">team will have maintenance support, VistA development, Non-VistA development, and compliance support groups for insuring quality delivery services, best practices, qualified staff, and cohesiveness within the HPS organization.  Root cause analysis and a Defect Analysis Report will be provided for each backlog ticket issue to insure the efficient and timely release of solutions.  </w:t>
            </w:r>
            <w:r w:rsidR="00991F69">
              <w:t xml:space="preserve">The Offeror </w:t>
            </w:r>
            <w:r w:rsidR="00E46849">
              <w:t xml:space="preserve">will use a Tiger Team for the backlog work related to intake and analysis. </w:t>
            </w:r>
            <w:r w:rsidR="004814CD">
              <w:t xml:space="preserve">The </w:t>
            </w:r>
            <w:r w:rsidR="002146A9">
              <w:t xml:space="preserve">Offeror </w:t>
            </w:r>
            <w:r w:rsidR="004814CD">
              <w:t xml:space="preserve">provided </w:t>
            </w:r>
            <w:r w:rsidR="002146A9">
              <w:t xml:space="preserve">its </w:t>
            </w:r>
            <w:r w:rsidR="004814CD">
              <w:t>approach to application specific tasks for Health Level Seven integration, 508 compliance, and ATO for the Administrative applications</w:t>
            </w:r>
            <w:r w:rsidR="00603BC8">
              <w:t>.</w:t>
            </w:r>
            <w:r w:rsidR="004814CD">
              <w:t xml:space="preserve"> </w:t>
            </w:r>
          </w:p>
          <w:p w14:paraId="1F7A28CC" w14:textId="77777777" w:rsidR="00552AC0" w:rsidRDefault="00552AC0" w:rsidP="002F7D46"/>
          <w:p w14:paraId="686D8302" w14:textId="18F3FFE0" w:rsidR="00082FCE" w:rsidRDefault="00082FCE" w:rsidP="00082FCE">
            <w:r>
              <w:t>The Offeror provided a level of effort table for the Base Period, all Option Periods, and Optional Tasks 1,2,3,</w:t>
            </w:r>
            <w:r w:rsidR="00D64099">
              <w:t xml:space="preserve"> and </w:t>
            </w:r>
            <w:r>
              <w:t xml:space="preserve">6. </w:t>
            </w:r>
            <w:r w:rsidR="00D64099">
              <w:t xml:space="preserve">  The Offeror did not include LOE for Optional Task 10.</w:t>
            </w:r>
          </w:p>
          <w:p w14:paraId="0C12F4BB" w14:textId="77777777" w:rsidR="00A57B4C" w:rsidRDefault="00A57B4C" w:rsidP="00082FCE"/>
          <w:p w14:paraId="3510902D" w14:textId="3DD7CCE1" w:rsidR="007A458C" w:rsidRDefault="007A458C" w:rsidP="007A458C">
            <w:r>
              <w:t>The Offeror has proposed to te</w:t>
            </w:r>
            <w:r w:rsidR="002B7E83">
              <w:t xml:space="preserve">am with </w:t>
            </w:r>
            <w:r w:rsidR="002C04A0">
              <w:t>three</w:t>
            </w:r>
            <w:r>
              <w:t xml:space="preserve"> subcontractors. </w:t>
            </w:r>
          </w:p>
          <w:p w14:paraId="5777D262" w14:textId="77777777" w:rsidR="007A458C" w:rsidRDefault="007A458C" w:rsidP="007A458C"/>
          <w:p w14:paraId="2ACED0BF" w14:textId="43AC6D07" w:rsidR="007A458C" w:rsidRDefault="007A458C" w:rsidP="007A458C">
            <w:r>
              <w:lastRenderedPageBreak/>
              <w:t>After review of the entire proposal, it was determined that th</w:t>
            </w:r>
            <w:r w:rsidR="000502C1">
              <w:t>e Offeror’s approach contained</w:t>
            </w:r>
            <w:r w:rsidRPr="009D72B2">
              <w:rPr>
                <w:i/>
              </w:rPr>
              <w:t xml:space="preserve"> </w:t>
            </w:r>
            <w:r w:rsidR="00B80E81">
              <w:t xml:space="preserve">no Strengths or </w:t>
            </w:r>
            <w:r w:rsidRPr="000502C1">
              <w:t>Weaknesse</w:t>
            </w:r>
            <w:r w:rsidR="000502C1" w:rsidRPr="000502C1">
              <w:t>s</w:t>
            </w:r>
            <w:r w:rsidR="00B80E81">
              <w:t xml:space="preserve"> but did contain one Deficiency noted below.</w:t>
            </w:r>
          </w:p>
          <w:p w14:paraId="0D799438" w14:textId="77777777" w:rsidR="007A458C" w:rsidRDefault="007A458C" w:rsidP="007A458C">
            <w:pPr>
              <w:pStyle w:val="NoSpacing"/>
              <w:rPr>
                <w:b/>
              </w:rPr>
            </w:pPr>
          </w:p>
          <w:p w14:paraId="70CC5431" w14:textId="68F3E3F7" w:rsidR="00720A06" w:rsidRPr="007A458C" w:rsidRDefault="007A458C" w:rsidP="00720A06">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5B755A7C" w14:textId="77777777" w:rsidR="00354F3E" w:rsidRDefault="00354F3E" w:rsidP="00041B27">
            <w:pPr>
              <w:pStyle w:val="NoSpacing"/>
            </w:pPr>
          </w:p>
          <w:p w14:paraId="126A5076" w14:textId="139D67DB" w:rsidR="00120833" w:rsidRDefault="00120833" w:rsidP="00041B27">
            <w:pPr>
              <w:pStyle w:val="NoSpacing"/>
            </w:pPr>
            <w:r>
              <w:t>None identified.</w:t>
            </w:r>
          </w:p>
          <w:p w14:paraId="05F1C183" w14:textId="77777777" w:rsidR="00932F91" w:rsidRDefault="00932F91" w:rsidP="00041B27">
            <w:pPr>
              <w:pStyle w:val="NoSpacing"/>
            </w:pPr>
          </w:p>
          <w:p w14:paraId="511A964B" w14:textId="384AB105" w:rsidR="007A458C" w:rsidRDefault="007A458C" w:rsidP="007A458C">
            <w:pPr>
              <w:rPr>
                <w:i/>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4275D505" w14:textId="77777777" w:rsidR="007A458C" w:rsidRDefault="007A458C" w:rsidP="007A458C">
            <w:pPr>
              <w:rPr>
                <w:b/>
              </w:rPr>
            </w:pPr>
          </w:p>
          <w:p w14:paraId="58847DA7" w14:textId="77777777" w:rsidR="00324BDA" w:rsidRDefault="00324BDA" w:rsidP="00324BDA">
            <w:pPr>
              <w:pStyle w:val="NoSpacing"/>
            </w:pPr>
            <w:r>
              <w:t>None identified.</w:t>
            </w:r>
          </w:p>
          <w:p w14:paraId="49EFAA5D" w14:textId="77777777" w:rsidR="00CD3BD0" w:rsidRDefault="00CD3BD0" w:rsidP="007A458C">
            <w:pPr>
              <w:rPr>
                <w:spacing w:val="-1"/>
              </w:rPr>
            </w:pPr>
          </w:p>
          <w:p w14:paraId="79A23A07" w14:textId="343EC523" w:rsidR="00720A06" w:rsidRPr="005362A0" w:rsidRDefault="007A458C" w:rsidP="00720A06">
            <w:pPr>
              <w:pStyle w:val="NoSpacing"/>
              <w:rPr>
                <w:i/>
              </w:rPr>
            </w:pPr>
            <w:r>
              <w:rPr>
                <w:b/>
                <w:u w:val="single"/>
              </w:rPr>
              <w:t xml:space="preserve">5. </w:t>
            </w:r>
            <w:r w:rsidRPr="00E671B3">
              <w:rPr>
                <w:b/>
                <w:u w:val="single"/>
              </w:rPr>
              <w:t>Summary of Deficiencies</w:t>
            </w:r>
          </w:p>
          <w:p w14:paraId="30BDD0F6" w14:textId="7D4A96EE" w:rsidR="007A458C" w:rsidRDefault="007A458C" w:rsidP="00720A06">
            <w:pPr>
              <w:rPr>
                <w:i/>
              </w:rPr>
            </w:pPr>
          </w:p>
          <w:p w14:paraId="419C883C" w14:textId="48B28E57" w:rsidR="00AC690F" w:rsidRDefault="007B54BD" w:rsidP="00AC690F">
            <w:r w:rsidRPr="007B54BD">
              <w:rPr>
                <w:b/>
              </w:rPr>
              <w:t xml:space="preserve">Deficiency #1 </w:t>
            </w:r>
            <w:r w:rsidRPr="007B54BD">
              <w:t>(</w:t>
            </w:r>
            <w:r>
              <w:t xml:space="preserve">TEP, p 21, Section 2; Performance Work Statement (PWS) 5.10.7; Request for Task Execution Plan (RTEP) B.1.2): </w:t>
            </w:r>
            <w:r w:rsidRPr="007B54BD">
              <w:rPr>
                <w:color w:val="000000" w:themeColor="text1"/>
              </w:rPr>
              <w:t>RTEP instructions B.1.2 clearly states that the Offeror is to provide its “level of effort (LOE) for the 12-month base period and each 12-month option period and for each optional tasks (</w:t>
            </w:r>
            <w:r w:rsidR="00B80E81">
              <w:rPr>
                <w:color w:val="000000" w:themeColor="text1"/>
              </w:rPr>
              <w:t>excluding OTs 4, 5, 7, 8 and 9).</w:t>
            </w:r>
            <w:r w:rsidRPr="007B54BD">
              <w:rPr>
                <w:color w:val="000000" w:themeColor="text1"/>
              </w:rPr>
              <w:t xml:space="preserve"> Level of effort should also be provided for Optional Tasks 1, 2, and 10 at the </w:t>
            </w:r>
            <w:r w:rsidR="00B80E81" w:rsidRPr="00B80E81">
              <w:rPr>
                <w:color w:val="000000" w:themeColor="text1"/>
              </w:rPr>
              <w:t>5.</w:t>
            </w:r>
            <w:r w:rsidR="00A82A5C">
              <w:rPr>
                <w:color w:val="000000" w:themeColor="text1"/>
              </w:rPr>
              <w:t>X</w:t>
            </w:r>
            <w:r w:rsidR="00A82A5C" w:rsidRPr="00B80E81">
              <w:rPr>
                <w:color w:val="000000" w:themeColor="text1"/>
              </w:rPr>
              <w:t xml:space="preserve"> </w:t>
            </w:r>
            <w:r w:rsidR="00A82A5C">
              <w:rPr>
                <w:color w:val="000000" w:themeColor="text1"/>
              </w:rPr>
              <w:t xml:space="preserve">X </w:t>
            </w:r>
            <w:r w:rsidRPr="00B80E81">
              <w:rPr>
                <w:color w:val="000000" w:themeColor="text1"/>
              </w:rPr>
              <w:t xml:space="preserve">level and at the </w:t>
            </w:r>
            <w:r w:rsidR="00B80E81" w:rsidRPr="00B80E81">
              <w:rPr>
                <w:color w:val="000000" w:themeColor="text1"/>
              </w:rPr>
              <w:t>5.10.</w:t>
            </w:r>
            <w:r w:rsidR="00A82A5C">
              <w:rPr>
                <w:color w:val="000000" w:themeColor="text1"/>
              </w:rPr>
              <w:t>X.X</w:t>
            </w:r>
            <w:r w:rsidRPr="00B80E81">
              <w:rPr>
                <w:color w:val="000000" w:themeColor="text1"/>
              </w:rPr>
              <w:t xml:space="preserve"> level for Optional Tasks 3 and 8”.  </w:t>
            </w:r>
            <w:r w:rsidR="00B80E81" w:rsidRPr="00B80E81">
              <w:rPr>
                <w:color w:val="000000" w:themeColor="text1"/>
              </w:rPr>
              <w:t>Offeror C</w:t>
            </w:r>
            <w:r w:rsidRPr="00B80E81">
              <w:rPr>
                <w:color w:val="000000" w:themeColor="text1"/>
              </w:rPr>
              <w:t xml:space="preserve"> failed to provide its LOE for Optional Task 10, Out Year Continued Product Sustainment Support.  The PWS requires continued sustainment support with all  the services and deliverables identified in Section 5.1, 5.3 through 5.9 and all subparagraphs for up to 10 (High) large applications, 15 (Medium) medium applications, and 20 (Low) small applications throughout the </w:t>
            </w:r>
            <w:r w:rsidR="00A82A5C">
              <w:rPr>
                <w:color w:val="000000" w:themeColor="text1"/>
              </w:rPr>
              <w:t>task order</w:t>
            </w:r>
            <w:r w:rsidR="00A82A5C" w:rsidRPr="00B80E81">
              <w:rPr>
                <w:color w:val="000000" w:themeColor="text1"/>
              </w:rPr>
              <w:t xml:space="preserve"> </w:t>
            </w:r>
            <w:r w:rsidR="00A82A5C">
              <w:rPr>
                <w:color w:val="000000" w:themeColor="text1"/>
              </w:rPr>
              <w:t>period of performance</w:t>
            </w:r>
            <w:r w:rsidR="00A82A5C" w:rsidRPr="00B80E81">
              <w:rPr>
                <w:color w:val="000000" w:themeColor="text1"/>
              </w:rPr>
              <w:t xml:space="preserve"> </w:t>
            </w:r>
            <w:r w:rsidRPr="00B80E81">
              <w:rPr>
                <w:color w:val="000000" w:themeColor="text1"/>
              </w:rPr>
              <w:t>for all option periods. </w:t>
            </w:r>
            <w:r w:rsidR="00B80E81" w:rsidRPr="00B80E81">
              <w:rPr>
                <w:color w:val="000000" w:themeColor="text1"/>
              </w:rPr>
              <w:t xml:space="preserve">It is important to have the Offeror’s LOE to determine if </w:t>
            </w:r>
            <w:r w:rsidR="00A82A5C">
              <w:rPr>
                <w:color w:val="000000" w:themeColor="text1"/>
              </w:rPr>
              <w:t>it</w:t>
            </w:r>
            <w:r w:rsidR="00A82A5C" w:rsidRPr="00B80E81">
              <w:rPr>
                <w:color w:val="000000" w:themeColor="text1"/>
              </w:rPr>
              <w:t xml:space="preserve"> </w:t>
            </w:r>
            <w:r w:rsidR="00B80E81" w:rsidRPr="00B80E81">
              <w:rPr>
                <w:color w:val="000000" w:themeColor="text1"/>
              </w:rPr>
              <w:t>understand</w:t>
            </w:r>
            <w:r w:rsidR="00A82A5C">
              <w:rPr>
                <w:color w:val="000000" w:themeColor="text1"/>
              </w:rPr>
              <w:t>s</w:t>
            </w:r>
            <w:r w:rsidR="00B80E81" w:rsidRPr="00B80E81">
              <w:rPr>
                <w:color w:val="000000" w:themeColor="text1"/>
              </w:rPr>
              <w:t xml:space="preserve"> and can provide resources to meet the requirements of these optional tasks.</w:t>
            </w:r>
            <w:r w:rsidRPr="00B80E81">
              <w:rPr>
                <w:color w:val="000000" w:themeColor="text1"/>
              </w:rPr>
              <w:t xml:space="preserve"> Additionally, the LOE provided by </w:t>
            </w:r>
            <w:r w:rsidR="00B80E81" w:rsidRPr="00B80E81">
              <w:rPr>
                <w:color w:val="000000" w:themeColor="text1"/>
              </w:rPr>
              <w:t>Offeror C</w:t>
            </w:r>
            <w:r w:rsidRPr="00B80E81">
              <w:rPr>
                <w:color w:val="000000" w:themeColor="text1"/>
              </w:rPr>
              <w:t xml:space="preserve"> for Optional Task 2, Intake of Additional Admin Applications, Optional Task 3, Initi</w:t>
            </w:r>
            <w:r w:rsidR="00B80E81" w:rsidRPr="00B80E81">
              <w:rPr>
                <w:color w:val="000000" w:themeColor="text1"/>
              </w:rPr>
              <w:t>al Section 508 Conformance and </w:t>
            </w:r>
            <w:r w:rsidRPr="00B80E81">
              <w:rPr>
                <w:color w:val="000000" w:themeColor="text1"/>
              </w:rPr>
              <w:t xml:space="preserve">Optional Task 6, Initial HL7 Compliancy does not </w:t>
            </w:r>
            <w:r w:rsidR="002A53E4">
              <w:rPr>
                <w:color w:val="000000" w:themeColor="text1"/>
              </w:rPr>
              <w:t>detail</w:t>
            </w:r>
            <w:r w:rsidR="00D64099">
              <w:rPr>
                <w:color w:val="000000" w:themeColor="text1"/>
              </w:rPr>
              <w:t xml:space="preserve"> </w:t>
            </w:r>
            <w:r w:rsidRPr="00B80E81">
              <w:rPr>
                <w:color w:val="000000" w:themeColor="text1"/>
              </w:rPr>
              <w:t xml:space="preserve">whether or not the amount provided is for the entire task order period of performance or for each exercise of each respective optional task.  For example, Optional Task 2, Intake of Additional Admin Applications may be exercised up to 10 times for the overall period of performance for up to 12 months each exercise.  </w:t>
            </w:r>
            <w:r w:rsidR="00B80E81" w:rsidRPr="00B80E81">
              <w:rPr>
                <w:color w:val="000000" w:themeColor="text1"/>
              </w:rPr>
              <w:t>Offeror C</w:t>
            </w:r>
            <w:r w:rsidRPr="00B80E81">
              <w:rPr>
                <w:color w:val="000000" w:themeColor="text1"/>
              </w:rPr>
              <w:t xml:space="preserve"> provided a total of 1</w:t>
            </w:r>
            <w:r w:rsidR="00A82A5C">
              <w:rPr>
                <w:color w:val="000000" w:themeColor="text1"/>
              </w:rPr>
              <w:t>,</w:t>
            </w:r>
            <w:r w:rsidRPr="00B80E81">
              <w:rPr>
                <w:color w:val="000000" w:themeColor="text1"/>
              </w:rPr>
              <w:t>560 hours for the intake of large applications, 1</w:t>
            </w:r>
            <w:r w:rsidR="00A82A5C">
              <w:rPr>
                <w:color w:val="000000" w:themeColor="text1"/>
              </w:rPr>
              <w:t>,</w:t>
            </w:r>
            <w:r w:rsidRPr="00B80E81">
              <w:rPr>
                <w:color w:val="000000" w:themeColor="text1"/>
              </w:rPr>
              <w:t>120 hours for the intake of medium applications and 720 hours for the small applications for a total of 3</w:t>
            </w:r>
            <w:r w:rsidR="00A82A5C">
              <w:rPr>
                <w:color w:val="000000" w:themeColor="text1"/>
              </w:rPr>
              <w:t>,</w:t>
            </w:r>
            <w:r w:rsidRPr="00B80E81">
              <w:rPr>
                <w:color w:val="000000" w:themeColor="text1"/>
              </w:rPr>
              <w:t xml:space="preserve">400 hours.  </w:t>
            </w:r>
            <w:r w:rsidR="001A61A6" w:rsidRPr="001A61A6">
              <w:rPr>
                <w:color w:val="000000" w:themeColor="text1"/>
              </w:rPr>
              <w:t xml:space="preserve">Offeror C does not </w:t>
            </w:r>
            <w:r w:rsidR="002A53E4">
              <w:rPr>
                <w:color w:val="000000" w:themeColor="text1"/>
              </w:rPr>
              <w:t xml:space="preserve">detail </w:t>
            </w:r>
            <w:r w:rsidR="001A61A6" w:rsidRPr="001A61A6">
              <w:rPr>
                <w:color w:val="000000" w:themeColor="text1"/>
              </w:rPr>
              <w:t>as to whether the proposed hours are to represent LOE for 12 months or the entire 60 month period of performance. Offeror C provided subscripts for each in its proposal but did not include any explanation as to what those subscripts meant.  It must be specified what the hours</w:t>
            </w:r>
            <w:r w:rsidR="000C2AED">
              <w:rPr>
                <w:color w:val="000000" w:themeColor="text1"/>
              </w:rPr>
              <w:t xml:space="preserve"> </w:t>
            </w:r>
            <w:r w:rsidR="001A61A6" w:rsidRPr="001A61A6">
              <w:rPr>
                <w:color w:val="000000" w:themeColor="text1"/>
              </w:rPr>
              <w:t>represent so that the proper LOE can be accurately evaluated by the Government.</w:t>
            </w:r>
            <w:r w:rsidR="001A61A6">
              <w:rPr>
                <w:color w:val="000000" w:themeColor="text1"/>
              </w:rPr>
              <w:t xml:space="preserve"> </w:t>
            </w:r>
            <w:r w:rsidR="00C21B60">
              <w:rPr>
                <w:color w:val="000000" w:themeColor="text1"/>
              </w:rPr>
              <w:t>Offeror C’s omission of its LOE for Optional Task 10 coupled with its lack of</w:t>
            </w:r>
            <w:r w:rsidR="002A53E4">
              <w:rPr>
                <w:color w:val="000000" w:themeColor="text1"/>
              </w:rPr>
              <w:t xml:space="preserve"> </w:t>
            </w:r>
            <w:r w:rsidR="000C2AED">
              <w:rPr>
                <w:color w:val="000000" w:themeColor="text1"/>
              </w:rPr>
              <w:t>detail of</w:t>
            </w:r>
            <w:r w:rsidR="00C21B60">
              <w:rPr>
                <w:color w:val="000000" w:themeColor="text1"/>
              </w:rPr>
              <w:t xml:space="preserve"> the LOE allotment for</w:t>
            </w:r>
            <w:r w:rsidR="00AC690F">
              <w:rPr>
                <w:color w:val="000000" w:themeColor="text1"/>
              </w:rPr>
              <w:t xml:space="preserve"> the above discussed</w:t>
            </w:r>
            <w:r w:rsidR="00C21B60">
              <w:rPr>
                <w:color w:val="000000" w:themeColor="text1"/>
              </w:rPr>
              <w:t xml:space="preserve"> Optional Tasks</w:t>
            </w:r>
            <w:r w:rsidR="00C21B60">
              <w:t xml:space="preserve"> </w:t>
            </w:r>
            <w:r w:rsidR="00AC690F">
              <w:t xml:space="preserve">increases the risk for </w:t>
            </w:r>
            <w:r w:rsidR="000C2AED">
              <w:t xml:space="preserve">unsuccessful </w:t>
            </w:r>
            <w:r w:rsidR="00AC690F">
              <w:t>contract performance</w:t>
            </w:r>
            <w:r w:rsidR="000C2AED">
              <w:t xml:space="preserve"> to an unacceptable level</w:t>
            </w:r>
            <w:r w:rsidR="00AC690F">
              <w:t>.</w:t>
            </w:r>
          </w:p>
          <w:p w14:paraId="73018CB0" w14:textId="7147ED1D" w:rsidR="00C21B60" w:rsidRPr="00B1659F" w:rsidRDefault="00C21B60" w:rsidP="00C21B60">
            <w:r>
              <w:t xml:space="preserve"> </w:t>
            </w:r>
            <w:r w:rsidRPr="00B1659F">
              <w:t xml:space="preserve"> </w:t>
            </w:r>
          </w:p>
          <w:p w14:paraId="078102C4" w14:textId="5E0EC5FF" w:rsidR="007B54BD" w:rsidRPr="00E543FD" w:rsidRDefault="007B54BD" w:rsidP="00B67D30"/>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18A5FDC0" w14:textId="77777777" w:rsidR="00120833" w:rsidRDefault="00120833" w:rsidP="004012EE">
            <w:pPr>
              <w:rPr>
                <w:b/>
                <w:u w:val="single"/>
              </w:rPr>
            </w:pPr>
          </w:p>
          <w:p w14:paraId="33046347" w14:textId="3C46E8CD" w:rsidR="00120833" w:rsidRPr="00120833" w:rsidRDefault="00120833" w:rsidP="004012EE">
            <w:r w:rsidRPr="00120833">
              <w:t>None</w:t>
            </w:r>
            <w:r w:rsidR="00324BDA">
              <w:t xml:space="preserve"> identified.</w:t>
            </w:r>
          </w:p>
          <w:p w14:paraId="091A029E" w14:textId="77777777" w:rsidR="00D253B1" w:rsidRPr="007B55E1" w:rsidRDefault="00D253B1" w:rsidP="00041B27">
            <w:pPr>
              <w:pStyle w:val="NoSpacing"/>
            </w:pPr>
          </w:p>
          <w:p w14:paraId="0755CC61" w14:textId="77777777" w:rsidR="008E1C7F" w:rsidRPr="00041B27" w:rsidRDefault="008E1C7F" w:rsidP="008E1C7F">
            <w:pPr>
              <w:pStyle w:val="NoSpacing"/>
              <w:rPr>
                <w:b/>
                <w:u w:val="single"/>
              </w:rPr>
            </w:pPr>
            <w:r>
              <w:rPr>
                <w:b/>
                <w:u w:val="single"/>
              </w:rPr>
              <w:t>7</w:t>
            </w:r>
            <w:r w:rsidRPr="00041B27">
              <w:rPr>
                <w:b/>
                <w:u w:val="single"/>
              </w:rPr>
              <w:t xml:space="preserve">. Evaluation Criteria: </w:t>
            </w:r>
          </w:p>
          <w:p w14:paraId="018E551F" w14:textId="77777777" w:rsidR="008E1C7F" w:rsidRDefault="008E1C7F" w:rsidP="008E1C7F">
            <w:pPr>
              <w:pStyle w:val="NoSpacing"/>
            </w:pPr>
          </w:p>
          <w:p w14:paraId="4C643C5C" w14:textId="77777777" w:rsidR="008E1C7F" w:rsidRPr="00041B27" w:rsidRDefault="008E1C7F" w:rsidP="008E1C7F">
            <w:pPr>
              <w:pStyle w:val="NoSpacing"/>
              <w:rPr>
                <w:b/>
                <w:u w:val="single"/>
              </w:rPr>
            </w:pPr>
            <w:r w:rsidRPr="00041B27">
              <w:rPr>
                <w:b/>
                <w:u w:val="single"/>
              </w:rPr>
              <w:lastRenderedPageBreak/>
              <w:t>a. Understanding of the Problem</w:t>
            </w:r>
          </w:p>
          <w:p w14:paraId="3C6C74CF" w14:textId="77777777" w:rsidR="008E1C7F" w:rsidRDefault="008E1C7F" w:rsidP="008E1C7F">
            <w:pPr>
              <w:pStyle w:val="NoSpacing"/>
            </w:pPr>
          </w:p>
          <w:p w14:paraId="5E77A099" w14:textId="60DE0053" w:rsidR="00B67D30" w:rsidRDefault="00B67D30" w:rsidP="00B67D30">
            <w:pPr>
              <w:pStyle w:val="NoSpacing"/>
            </w:pPr>
            <w:r>
              <w:t xml:space="preserve">Overall, </w:t>
            </w:r>
            <w:r w:rsidRPr="00F504FF">
              <w:t xml:space="preserve">due to the one Deficiency identified, </w:t>
            </w:r>
            <w:r>
              <w:t>Offeror C’s</w:t>
            </w:r>
            <w:r w:rsidRPr="00F504FF">
              <w:t xml:space="preserve"> understanding of the problem cannot be determined. </w:t>
            </w:r>
            <w:r>
              <w:t xml:space="preserve"> </w:t>
            </w:r>
          </w:p>
          <w:p w14:paraId="092BC79B" w14:textId="77777777" w:rsidR="008E1C7F" w:rsidRDefault="008E1C7F" w:rsidP="008E1C7F">
            <w:pPr>
              <w:pStyle w:val="NoSpacing"/>
            </w:pPr>
          </w:p>
          <w:p w14:paraId="6F95382F" w14:textId="77777777" w:rsidR="008E1C7F" w:rsidRPr="00041B27" w:rsidRDefault="008E1C7F" w:rsidP="008E1C7F">
            <w:pPr>
              <w:pStyle w:val="NoSpacing"/>
              <w:rPr>
                <w:b/>
                <w:u w:val="single"/>
              </w:rPr>
            </w:pPr>
            <w:r w:rsidRPr="00041B27">
              <w:rPr>
                <w:b/>
                <w:u w:val="single"/>
              </w:rPr>
              <w:t>b. Feasibility of Approach</w:t>
            </w:r>
          </w:p>
          <w:p w14:paraId="4A9949BA" w14:textId="77777777" w:rsidR="008E1C7F" w:rsidRDefault="008E1C7F" w:rsidP="008E1C7F">
            <w:pPr>
              <w:pStyle w:val="NoSpacing"/>
            </w:pPr>
          </w:p>
          <w:p w14:paraId="0A36D8C0" w14:textId="7525F75E" w:rsidR="00B67D30" w:rsidRPr="00F30321" w:rsidRDefault="00B67D30" w:rsidP="00B67D30">
            <w:pPr>
              <w:pStyle w:val="NoSpacing"/>
              <w:rPr>
                <w:i/>
              </w:rPr>
            </w:pPr>
            <w:r>
              <w:t xml:space="preserve">Overall, </w:t>
            </w:r>
            <w:r w:rsidRPr="00F504FF">
              <w:t>due to the one Deficiency identified, the Offeror</w:t>
            </w:r>
            <w:r>
              <w:t xml:space="preserve"> C</w:t>
            </w:r>
            <w:r w:rsidRPr="00F504FF">
              <w:t>’s feasibility of approach cannot be determined</w:t>
            </w:r>
            <w:r>
              <w:t>.</w:t>
            </w:r>
          </w:p>
          <w:p w14:paraId="37BCDDE8" w14:textId="77777777" w:rsidR="008E1C7F" w:rsidRDefault="008E1C7F" w:rsidP="008E1C7F">
            <w:pPr>
              <w:pStyle w:val="NoSpacing"/>
            </w:pPr>
          </w:p>
          <w:p w14:paraId="091A02A8" w14:textId="61E83FFF" w:rsidR="00D863B7" w:rsidRDefault="00082FCE" w:rsidP="00041B27">
            <w:pPr>
              <w:pStyle w:val="NoSpacing"/>
            </w:pPr>
            <w:r w:rsidRPr="00082FCE">
              <w:t xml:space="preserve"> </w:t>
            </w:r>
          </w:p>
          <w:p w14:paraId="512FB89A" w14:textId="41C77752" w:rsidR="004012EE" w:rsidRDefault="005167AF" w:rsidP="004012EE">
            <w:r>
              <w:rPr>
                <w:b/>
                <w:u w:val="single"/>
              </w:rPr>
              <w:t>8</w:t>
            </w:r>
            <w:r w:rsidR="00F8248B" w:rsidRPr="00041B27">
              <w:rPr>
                <w:b/>
                <w:u w:val="single"/>
              </w:rPr>
              <w:t>. Rating:</w:t>
            </w:r>
            <w:r w:rsidR="00F8248B" w:rsidRPr="00041B27">
              <w:rPr>
                <w:b/>
              </w:rPr>
              <w:t xml:space="preserve"> </w:t>
            </w:r>
            <w:r w:rsidR="00F8248B">
              <w:t xml:space="preserve"> </w:t>
            </w:r>
            <w:r w:rsidR="00B67D30">
              <w:t xml:space="preserve">Susceptible to Being Made </w:t>
            </w:r>
            <w:r w:rsidR="00324BDA">
              <w:t>A</w:t>
            </w:r>
            <w:r w:rsidR="00120833">
              <w:t>cceptable</w:t>
            </w:r>
          </w:p>
          <w:p w14:paraId="2EC9C1F7" w14:textId="77777777" w:rsidR="004012EE" w:rsidRDefault="004012EE" w:rsidP="004012EE">
            <w:pPr>
              <w:rPr>
                <w:b/>
              </w:rPr>
            </w:pPr>
          </w:p>
          <w:p w14:paraId="091A02AF" w14:textId="164E3E64" w:rsidR="00F30321" w:rsidRPr="00F30321" w:rsidRDefault="00B67D30" w:rsidP="00B67D30">
            <w:r>
              <w:t>Offeror C’s TEP,</w:t>
            </w:r>
            <w:r w:rsidRPr="00F30321">
              <w:t xml:space="preserve"> </w:t>
            </w:r>
            <w:r w:rsidRPr="00F504FF">
              <w:t>as initially proposed, cannot be rated Acceptable because of the one Deficiency identified, which is capable of being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54FD53A4" w14:textId="77777777" w:rsidR="007A458C" w:rsidRPr="00E671B3" w:rsidRDefault="007A458C" w:rsidP="007A458C"/>
          <w:p w14:paraId="091A02B3" w14:textId="54212C0F" w:rsidR="002E71AA" w:rsidRPr="00E671B3" w:rsidRDefault="00B67D30" w:rsidP="007A458C">
            <w:r>
              <w:t>Susceptible to Being Made Ac</w:t>
            </w:r>
            <w:r w:rsidRPr="00E671B3">
              <w:t>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8" w14:textId="75FFE1DC" w:rsidR="003874B3" w:rsidRPr="00E671B3" w:rsidRDefault="003874B3" w:rsidP="006A18DA">
            <w:pPr>
              <w:rPr>
                <w:b/>
              </w:rPr>
            </w:pPr>
          </w:p>
          <w:p w14:paraId="091A02CA" w14:textId="77777777" w:rsidR="003874B3" w:rsidRPr="00E671B3" w:rsidRDefault="003874B3" w:rsidP="008E1C7F">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D0CFC"/>
    <w:multiLevelType w:val="hybridMultilevel"/>
    <w:tmpl w:val="B2CA7136"/>
    <w:lvl w:ilvl="0" w:tplc="BD760654">
      <w:start w:val="1"/>
      <w:numFmt w:val="bullet"/>
      <w:lvlText w:val="•"/>
      <w:lvlJc w:val="left"/>
      <w:pPr>
        <w:tabs>
          <w:tab w:val="num" w:pos="720"/>
        </w:tabs>
        <w:ind w:left="720" w:hanging="360"/>
      </w:pPr>
      <w:rPr>
        <w:rFonts w:ascii="Arial" w:hAnsi="Arial" w:hint="default"/>
      </w:rPr>
    </w:lvl>
    <w:lvl w:ilvl="1" w:tplc="419E99F4">
      <w:start w:val="1"/>
      <w:numFmt w:val="bullet"/>
      <w:lvlText w:val="•"/>
      <w:lvlJc w:val="left"/>
      <w:pPr>
        <w:tabs>
          <w:tab w:val="num" w:pos="1440"/>
        </w:tabs>
        <w:ind w:left="1440" w:hanging="360"/>
      </w:pPr>
      <w:rPr>
        <w:rFonts w:ascii="Arial" w:hAnsi="Arial" w:hint="default"/>
      </w:rPr>
    </w:lvl>
    <w:lvl w:ilvl="2" w:tplc="9AA2A81E" w:tentative="1">
      <w:start w:val="1"/>
      <w:numFmt w:val="bullet"/>
      <w:lvlText w:val="•"/>
      <w:lvlJc w:val="left"/>
      <w:pPr>
        <w:tabs>
          <w:tab w:val="num" w:pos="2160"/>
        </w:tabs>
        <w:ind w:left="2160" w:hanging="360"/>
      </w:pPr>
      <w:rPr>
        <w:rFonts w:ascii="Arial" w:hAnsi="Arial" w:hint="default"/>
      </w:rPr>
    </w:lvl>
    <w:lvl w:ilvl="3" w:tplc="0EAC290E" w:tentative="1">
      <w:start w:val="1"/>
      <w:numFmt w:val="bullet"/>
      <w:lvlText w:val="•"/>
      <w:lvlJc w:val="left"/>
      <w:pPr>
        <w:tabs>
          <w:tab w:val="num" w:pos="2880"/>
        </w:tabs>
        <w:ind w:left="2880" w:hanging="360"/>
      </w:pPr>
      <w:rPr>
        <w:rFonts w:ascii="Arial" w:hAnsi="Arial" w:hint="default"/>
      </w:rPr>
    </w:lvl>
    <w:lvl w:ilvl="4" w:tplc="4B624B54" w:tentative="1">
      <w:start w:val="1"/>
      <w:numFmt w:val="bullet"/>
      <w:lvlText w:val="•"/>
      <w:lvlJc w:val="left"/>
      <w:pPr>
        <w:tabs>
          <w:tab w:val="num" w:pos="3600"/>
        </w:tabs>
        <w:ind w:left="3600" w:hanging="360"/>
      </w:pPr>
      <w:rPr>
        <w:rFonts w:ascii="Arial" w:hAnsi="Arial" w:hint="default"/>
      </w:rPr>
    </w:lvl>
    <w:lvl w:ilvl="5" w:tplc="46361004" w:tentative="1">
      <w:start w:val="1"/>
      <w:numFmt w:val="bullet"/>
      <w:lvlText w:val="•"/>
      <w:lvlJc w:val="left"/>
      <w:pPr>
        <w:tabs>
          <w:tab w:val="num" w:pos="4320"/>
        </w:tabs>
        <w:ind w:left="4320" w:hanging="360"/>
      </w:pPr>
      <w:rPr>
        <w:rFonts w:ascii="Arial" w:hAnsi="Arial" w:hint="default"/>
      </w:rPr>
    </w:lvl>
    <w:lvl w:ilvl="6" w:tplc="EC644FD8" w:tentative="1">
      <w:start w:val="1"/>
      <w:numFmt w:val="bullet"/>
      <w:lvlText w:val="•"/>
      <w:lvlJc w:val="left"/>
      <w:pPr>
        <w:tabs>
          <w:tab w:val="num" w:pos="5040"/>
        </w:tabs>
        <w:ind w:left="5040" w:hanging="360"/>
      </w:pPr>
      <w:rPr>
        <w:rFonts w:ascii="Arial" w:hAnsi="Arial" w:hint="default"/>
      </w:rPr>
    </w:lvl>
    <w:lvl w:ilvl="7" w:tplc="A808EE38" w:tentative="1">
      <w:start w:val="1"/>
      <w:numFmt w:val="bullet"/>
      <w:lvlText w:val="•"/>
      <w:lvlJc w:val="left"/>
      <w:pPr>
        <w:tabs>
          <w:tab w:val="num" w:pos="5760"/>
        </w:tabs>
        <w:ind w:left="5760" w:hanging="360"/>
      </w:pPr>
      <w:rPr>
        <w:rFonts w:ascii="Arial" w:hAnsi="Arial" w:hint="default"/>
      </w:rPr>
    </w:lvl>
    <w:lvl w:ilvl="8" w:tplc="91785640" w:tentative="1">
      <w:start w:val="1"/>
      <w:numFmt w:val="bullet"/>
      <w:lvlText w:val="•"/>
      <w:lvlJc w:val="left"/>
      <w:pPr>
        <w:tabs>
          <w:tab w:val="num" w:pos="6480"/>
        </w:tabs>
        <w:ind w:left="6480" w:hanging="360"/>
      </w:pPr>
      <w:rPr>
        <w:rFonts w:ascii="Arial" w:hAnsi="Arial" w:hint="default"/>
      </w:rPr>
    </w:lvl>
  </w:abstractNum>
  <w:abstractNum w:abstractNumId="3">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3"/>
  </w:num>
  <w:num w:numId="5">
    <w:abstractNumId w:val="5"/>
  </w:num>
  <w:num w:numId="6">
    <w:abstractNumId w:val="3"/>
  </w:num>
  <w:num w:numId="7">
    <w:abstractNumId w:val="11"/>
  </w:num>
  <w:num w:numId="8">
    <w:abstractNumId w:val="9"/>
  </w:num>
  <w:num w:numId="9">
    <w:abstractNumId w:val="12"/>
  </w:num>
  <w:num w:numId="10">
    <w:abstractNumId w:val="10"/>
  </w:num>
  <w:num w:numId="11">
    <w:abstractNumId w:val="6"/>
  </w:num>
  <w:num w:numId="12">
    <w:abstractNumId w:val="8"/>
  </w:num>
  <w:num w:numId="13">
    <w:abstractNumId w:val="1"/>
  </w:num>
  <w:num w:numId="1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0DD1"/>
    <w:rsid w:val="00002400"/>
    <w:rsid w:val="00002778"/>
    <w:rsid w:val="00005154"/>
    <w:rsid w:val="00013538"/>
    <w:rsid w:val="00021EBB"/>
    <w:rsid w:val="00026972"/>
    <w:rsid w:val="00035AF8"/>
    <w:rsid w:val="000404B9"/>
    <w:rsid w:val="00041B27"/>
    <w:rsid w:val="00047A9E"/>
    <w:rsid w:val="00047F9C"/>
    <w:rsid w:val="000502C1"/>
    <w:rsid w:val="000605BB"/>
    <w:rsid w:val="00060DE3"/>
    <w:rsid w:val="00061455"/>
    <w:rsid w:val="00075269"/>
    <w:rsid w:val="00081086"/>
    <w:rsid w:val="00081762"/>
    <w:rsid w:val="00081A0D"/>
    <w:rsid w:val="00082FCE"/>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C2AED"/>
    <w:rsid w:val="000D1ED1"/>
    <w:rsid w:val="000D429F"/>
    <w:rsid w:val="000E06DC"/>
    <w:rsid w:val="000E30A3"/>
    <w:rsid w:val="000E3936"/>
    <w:rsid w:val="000F7D76"/>
    <w:rsid w:val="00100971"/>
    <w:rsid w:val="00100D0B"/>
    <w:rsid w:val="00102F95"/>
    <w:rsid w:val="001032C5"/>
    <w:rsid w:val="00105C1D"/>
    <w:rsid w:val="00105C6D"/>
    <w:rsid w:val="00111B7E"/>
    <w:rsid w:val="00115686"/>
    <w:rsid w:val="0011592B"/>
    <w:rsid w:val="00120833"/>
    <w:rsid w:val="001253AD"/>
    <w:rsid w:val="00125B3F"/>
    <w:rsid w:val="00134CEA"/>
    <w:rsid w:val="00135467"/>
    <w:rsid w:val="0014376C"/>
    <w:rsid w:val="00150D71"/>
    <w:rsid w:val="00152463"/>
    <w:rsid w:val="00156EAF"/>
    <w:rsid w:val="001575CF"/>
    <w:rsid w:val="001631B3"/>
    <w:rsid w:val="001648DC"/>
    <w:rsid w:val="00164E88"/>
    <w:rsid w:val="00165BEE"/>
    <w:rsid w:val="00170546"/>
    <w:rsid w:val="00173996"/>
    <w:rsid w:val="00176508"/>
    <w:rsid w:val="001806B1"/>
    <w:rsid w:val="00184B7E"/>
    <w:rsid w:val="00184FD0"/>
    <w:rsid w:val="00193B31"/>
    <w:rsid w:val="001A000A"/>
    <w:rsid w:val="001A4FB6"/>
    <w:rsid w:val="001A61A6"/>
    <w:rsid w:val="001A64D4"/>
    <w:rsid w:val="001B6183"/>
    <w:rsid w:val="001C1764"/>
    <w:rsid w:val="001C1D30"/>
    <w:rsid w:val="001C6A4F"/>
    <w:rsid w:val="001D3288"/>
    <w:rsid w:val="001D4D63"/>
    <w:rsid w:val="001D5B60"/>
    <w:rsid w:val="001D6F3E"/>
    <w:rsid w:val="001E147E"/>
    <w:rsid w:val="001E4DA1"/>
    <w:rsid w:val="001E6FB4"/>
    <w:rsid w:val="001F4670"/>
    <w:rsid w:val="001F4BA6"/>
    <w:rsid w:val="001F54D1"/>
    <w:rsid w:val="001F5D5B"/>
    <w:rsid w:val="001F6767"/>
    <w:rsid w:val="001F6AEF"/>
    <w:rsid w:val="00200CF3"/>
    <w:rsid w:val="002079C0"/>
    <w:rsid w:val="0021197B"/>
    <w:rsid w:val="0021259D"/>
    <w:rsid w:val="00212A20"/>
    <w:rsid w:val="002146A9"/>
    <w:rsid w:val="00216106"/>
    <w:rsid w:val="002167E2"/>
    <w:rsid w:val="00217C3C"/>
    <w:rsid w:val="0022192D"/>
    <w:rsid w:val="002329E8"/>
    <w:rsid w:val="00234264"/>
    <w:rsid w:val="00235B27"/>
    <w:rsid w:val="00242829"/>
    <w:rsid w:val="0024291A"/>
    <w:rsid w:val="00242FF5"/>
    <w:rsid w:val="002532AC"/>
    <w:rsid w:val="00253C64"/>
    <w:rsid w:val="002611D0"/>
    <w:rsid w:val="00274900"/>
    <w:rsid w:val="00280F39"/>
    <w:rsid w:val="0028228C"/>
    <w:rsid w:val="00285876"/>
    <w:rsid w:val="00291D09"/>
    <w:rsid w:val="00291EC9"/>
    <w:rsid w:val="00294B4F"/>
    <w:rsid w:val="0029519C"/>
    <w:rsid w:val="002A493A"/>
    <w:rsid w:val="002A53E4"/>
    <w:rsid w:val="002A61CC"/>
    <w:rsid w:val="002B7E83"/>
    <w:rsid w:val="002C02CB"/>
    <w:rsid w:val="002C04A0"/>
    <w:rsid w:val="002C08F2"/>
    <w:rsid w:val="002C2731"/>
    <w:rsid w:val="002C2A97"/>
    <w:rsid w:val="002C74DF"/>
    <w:rsid w:val="002E71AA"/>
    <w:rsid w:val="002E7673"/>
    <w:rsid w:val="002F2BDE"/>
    <w:rsid w:val="002F2E2E"/>
    <w:rsid w:val="002F331E"/>
    <w:rsid w:val="002F7125"/>
    <w:rsid w:val="002F7D46"/>
    <w:rsid w:val="00301A9A"/>
    <w:rsid w:val="00302EF4"/>
    <w:rsid w:val="00304D5B"/>
    <w:rsid w:val="003058C3"/>
    <w:rsid w:val="00310F8F"/>
    <w:rsid w:val="00316BFA"/>
    <w:rsid w:val="0032040A"/>
    <w:rsid w:val="00323BAC"/>
    <w:rsid w:val="00324BDA"/>
    <w:rsid w:val="00333517"/>
    <w:rsid w:val="003417A8"/>
    <w:rsid w:val="00351942"/>
    <w:rsid w:val="00354F3E"/>
    <w:rsid w:val="003577B7"/>
    <w:rsid w:val="00361C62"/>
    <w:rsid w:val="003626BE"/>
    <w:rsid w:val="00363A06"/>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1FC9"/>
    <w:rsid w:val="0042202F"/>
    <w:rsid w:val="004302AA"/>
    <w:rsid w:val="004326BC"/>
    <w:rsid w:val="004337E6"/>
    <w:rsid w:val="004347FB"/>
    <w:rsid w:val="00434B4D"/>
    <w:rsid w:val="00434BFE"/>
    <w:rsid w:val="00436666"/>
    <w:rsid w:val="00436B8A"/>
    <w:rsid w:val="00442FAF"/>
    <w:rsid w:val="00444AF6"/>
    <w:rsid w:val="00451CE0"/>
    <w:rsid w:val="004537EB"/>
    <w:rsid w:val="004550A6"/>
    <w:rsid w:val="0045589B"/>
    <w:rsid w:val="004608C8"/>
    <w:rsid w:val="004644CB"/>
    <w:rsid w:val="0046461F"/>
    <w:rsid w:val="00464AEC"/>
    <w:rsid w:val="00466F89"/>
    <w:rsid w:val="00473B02"/>
    <w:rsid w:val="00475EC9"/>
    <w:rsid w:val="004768DA"/>
    <w:rsid w:val="00477A35"/>
    <w:rsid w:val="004814CD"/>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E48FC"/>
    <w:rsid w:val="004F5208"/>
    <w:rsid w:val="0050440A"/>
    <w:rsid w:val="00507DFE"/>
    <w:rsid w:val="005118C3"/>
    <w:rsid w:val="00511FC0"/>
    <w:rsid w:val="00514312"/>
    <w:rsid w:val="005143ED"/>
    <w:rsid w:val="00515998"/>
    <w:rsid w:val="005167AF"/>
    <w:rsid w:val="00516FEB"/>
    <w:rsid w:val="005203FF"/>
    <w:rsid w:val="00525211"/>
    <w:rsid w:val="00525AF0"/>
    <w:rsid w:val="00527405"/>
    <w:rsid w:val="0053654F"/>
    <w:rsid w:val="0053787A"/>
    <w:rsid w:val="00552AC0"/>
    <w:rsid w:val="0055391A"/>
    <w:rsid w:val="005566E3"/>
    <w:rsid w:val="00557E12"/>
    <w:rsid w:val="005619D2"/>
    <w:rsid w:val="00561C3C"/>
    <w:rsid w:val="005651B5"/>
    <w:rsid w:val="005679CB"/>
    <w:rsid w:val="00576D40"/>
    <w:rsid w:val="0058003F"/>
    <w:rsid w:val="00586E74"/>
    <w:rsid w:val="005873C5"/>
    <w:rsid w:val="00587B5F"/>
    <w:rsid w:val="00593230"/>
    <w:rsid w:val="00593356"/>
    <w:rsid w:val="005957A9"/>
    <w:rsid w:val="00596054"/>
    <w:rsid w:val="00596973"/>
    <w:rsid w:val="00597085"/>
    <w:rsid w:val="005A4A69"/>
    <w:rsid w:val="005B1C55"/>
    <w:rsid w:val="005C0911"/>
    <w:rsid w:val="005C17FD"/>
    <w:rsid w:val="005D010B"/>
    <w:rsid w:val="005E166E"/>
    <w:rsid w:val="005E1FAE"/>
    <w:rsid w:val="005E2F5C"/>
    <w:rsid w:val="005F4420"/>
    <w:rsid w:val="005F5BB5"/>
    <w:rsid w:val="005F77F0"/>
    <w:rsid w:val="00603BC8"/>
    <w:rsid w:val="006064BE"/>
    <w:rsid w:val="00613396"/>
    <w:rsid w:val="006213E1"/>
    <w:rsid w:val="00625DD4"/>
    <w:rsid w:val="00627CE8"/>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64603"/>
    <w:rsid w:val="006708F0"/>
    <w:rsid w:val="00672384"/>
    <w:rsid w:val="00675496"/>
    <w:rsid w:val="00683AF3"/>
    <w:rsid w:val="00685388"/>
    <w:rsid w:val="00685862"/>
    <w:rsid w:val="006A18DA"/>
    <w:rsid w:val="006A624D"/>
    <w:rsid w:val="006B2422"/>
    <w:rsid w:val="006B66F9"/>
    <w:rsid w:val="006B7BAE"/>
    <w:rsid w:val="006C048B"/>
    <w:rsid w:val="006C2B6B"/>
    <w:rsid w:val="006C5607"/>
    <w:rsid w:val="006D50C7"/>
    <w:rsid w:val="006D618A"/>
    <w:rsid w:val="006E04A1"/>
    <w:rsid w:val="006E5BD5"/>
    <w:rsid w:val="006E5DF4"/>
    <w:rsid w:val="006F0950"/>
    <w:rsid w:val="006F0AB8"/>
    <w:rsid w:val="006F1AB6"/>
    <w:rsid w:val="006F34FB"/>
    <w:rsid w:val="006F40D1"/>
    <w:rsid w:val="006F6413"/>
    <w:rsid w:val="006F741D"/>
    <w:rsid w:val="007017C4"/>
    <w:rsid w:val="0070297A"/>
    <w:rsid w:val="00707736"/>
    <w:rsid w:val="00714BED"/>
    <w:rsid w:val="00715EA9"/>
    <w:rsid w:val="00716878"/>
    <w:rsid w:val="00717A47"/>
    <w:rsid w:val="00720A06"/>
    <w:rsid w:val="00721997"/>
    <w:rsid w:val="00722748"/>
    <w:rsid w:val="0072515A"/>
    <w:rsid w:val="007260D8"/>
    <w:rsid w:val="00726C23"/>
    <w:rsid w:val="007335C9"/>
    <w:rsid w:val="00734F8A"/>
    <w:rsid w:val="00735C86"/>
    <w:rsid w:val="00735D80"/>
    <w:rsid w:val="0077207C"/>
    <w:rsid w:val="00773FFF"/>
    <w:rsid w:val="0077432B"/>
    <w:rsid w:val="00781F01"/>
    <w:rsid w:val="0078443D"/>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A7E8D"/>
    <w:rsid w:val="007B066D"/>
    <w:rsid w:val="007B175F"/>
    <w:rsid w:val="007B283A"/>
    <w:rsid w:val="007B3B05"/>
    <w:rsid w:val="007B54BD"/>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75401"/>
    <w:rsid w:val="008820F7"/>
    <w:rsid w:val="00890A10"/>
    <w:rsid w:val="008A4918"/>
    <w:rsid w:val="008A66C1"/>
    <w:rsid w:val="008B0F54"/>
    <w:rsid w:val="008B2D4D"/>
    <w:rsid w:val="008B43A6"/>
    <w:rsid w:val="008B5988"/>
    <w:rsid w:val="008C35ED"/>
    <w:rsid w:val="008C701A"/>
    <w:rsid w:val="008D2863"/>
    <w:rsid w:val="008D2DDE"/>
    <w:rsid w:val="008D4693"/>
    <w:rsid w:val="008E024C"/>
    <w:rsid w:val="008E1C7F"/>
    <w:rsid w:val="008E3F71"/>
    <w:rsid w:val="008E7A8B"/>
    <w:rsid w:val="008E7BCB"/>
    <w:rsid w:val="008F1D57"/>
    <w:rsid w:val="008F48A1"/>
    <w:rsid w:val="00900506"/>
    <w:rsid w:val="00900BA5"/>
    <w:rsid w:val="009068D2"/>
    <w:rsid w:val="00907ADC"/>
    <w:rsid w:val="00912FA0"/>
    <w:rsid w:val="00930F5F"/>
    <w:rsid w:val="00932F91"/>
    <w:rsid w:val="0093466C"/>
    <w:rsid w:val="00943F27"/>
    <w:rsid w:val="0094405C"/>
    <w:rsid w:val="00947B8F"/>
    <w:rsid w:val="0095737C"/>
    <w:rsid w:val="00957CB8"/>
    <w:rsid w:val="009656E9"/>
    <w:rsid w:val="00972C17"/>
    <w:rsid w:val="00991F69"/>
    <w:rsid w:val="00994910"/>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197E"/>
    <w:rsid w:val="00A02052"/>
    <w:rsid w:val="00A02B37"/>
    <w:rsid w:val="00A11E2B"/>
    <w:rsid w:val="00A1202F"/>
    <w:rsid w:val="00A12045"/>
    <w:rsid w:val="00A13EE1"/>
    <w:rsid w:val="00A22764"/>
    <w:rsid w:val="00A27662"/>
    <w:rsid w:val="00A317AB"/>
    <w:rsid w:val="00A328B2"/>
    <w:rsid w:val="00A41EF4"/>
    <w:rsid w:val="00A46D76"/>
    <w:rsid w:val="00A5141E"/>
    <w:rsid w:val="00A57B4C"/>
    <w:rsid w:val="00A6250B"/>
    <w:rsid w:val="00A652ED"/>
    <w:rsid w:val="00A70C3F"/>
    <w:rsid w:val="00A7393C"/>
    <w:rsid w:val="00A80FD4"/>
    <w:rsid w:val="00A82A5C"/>
    <w:rsid w:val="00A82EE0"/>
    <w:rsid w:val="00A87387"/>
    <w:rsid w:val="00A9035C"/>
    <w:rsid w:val="00A9213F"/>
    <w:rsid w:val="00A95659"/>
    <w:rsid w:val="00A97571"/>
    <w:rsid w:val="00AA21EE"/>
    <w:rsid w:val="00AB01AD"/>
    <w:rsid w:val="00AB39C5"/>
    <w:rsid w:val="00AB5E4C"/>
    <w:rsid w:val="00AB7AA2"/>
    <w:rsid w:val="00AC477F"/>
    <w:rsid w:val="00AC62D5"/>
    <w:rsid w:val="00AC690F"/>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67D30"/>
    <w:rsid w:val="00B71EE5"/>
    <w:rsid w:val="00B722D8"/>
    <w:rsid w:val="00B726E2"/>
    <w:rsid w:val="00B76D1F"/>
    <w:rsid w:val="00B80468"/>
    <w:rsid w:val="00B80542"/>
    <w:rsid w:val="00B80E81"/>
    <w:rsid w:val="00B814AB"/>
    <w:rsid w:val="00B92A6D"/>
    <w:rsid w:val="00B93D73"/>
    <w:rsid w:val="00B97860"/>
    <w:rsid w:val="00BA0AF7"/>
    <w:rsid w:val="00BA1B9A"/>
    <w:rsid w:val="00BA5C13"/>
    <w:rsid w:val="00BB0CED"/>
    <w:rsid w:val="00BC03A3"/>
    <w:rsid w:val="00BC4C12"/>
    <w:rsid w:val="00BD114A"/>
    <w:rsid w:val="00BD1C2D"/>
    <w:rsid w:val="00BD2FB3"/>
    <w:rsid w:val="00BD365E"/>
    <w:rsid w:val="00BE4220"/>
    <w:rsid w:val="00BE7113"/>
    <w:rsid w:val="00BE756C"/>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21B60"/>
    <w:rsid w:val="00C3055A"/>
    <w:rsid w:val="00C36F3E"/>
    <w:rsid w:val="00C40E7A"/>
    <w:rsid w:val="00C41FCC"/>
    <w:rsid w:val="00C42438"/>
    <w:rsid w:val="00C42BE0"/>
    <w:rsid w:val="00C475DD"/>
    <w:rsid w:val="00C50EDC"/>
    <w:rsid w:val="00C5498B"/>
    <w:rsid w:val="00C55211"/>
    <w:rsid w:val="00C57E56"/>
    <w:rsid w:val="00C6262B"/>
    <w:rsid w:val="00C6353B"/>
    <w:rsid w:val="00C648F2"/>
    <w:rsid w:val="00C65A09"/>
    <w:rsid w:val="00C66811"/>
    <w:rsid w:val="00C67B48"/>
    <w:rsid w:val="00C70EC7"/>
    <w:rsid w:val="00C71537"/>
    <w:rsid w:val="00C72E37"/>
    <w:rsid w:val="00C806DF"/>
    <w:rsid w:val="00C95D60"/>
    <w:rsid w:val="00CA0CDA"/>
    <w:rsid w:val="00CA2AA6"/>
    <w:rsid w:val="00CA30DA"/>
    <w:rsid w:val="00CC2243"/>
    <w:rsid w:val="00CC2F1D"/>
    <w:rsid w:val="00CD3BD0"/>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4099"/>
    <w:rsid w:val="00D665E9"/>
    <w:rsid w:val="00D667E5"/>
    <w:rsid w:val="00D72F47"/>
    <w:rsid w:val="00D74139"/>
    <w:rsid w:val="00D74A68"/>
    <w:rsid w:val="00D84289"/>
    <w:rsid w:val="00D863B7"/>
    <w:rsid w:val="00D86D31"/>
    <w:rsid w:val="00D90B2F"/>
    <w:rsid w:val="00DA2E7D"/>
    <w:rsid w:val="00DA4D75"/>
    <w:rsid w:val="00DA5B53"/>
    <w:rsid w:val="00DA69CE"/>
    <w:rsid w:val="00DB0A54"/>
    <w:rsid w:val="00DB7DA7"/>
    <w:rsid w:val="00DC119E"/>
    <w:rsid w:val="00DC155E"/>
    <w:rsid w:val="00DC1767"/>
    <w:rsid w:val="00DD0995"/>
    <w:rsid w:val="00DD1797"/>
    <w:rsid w:val="00DD2FCE"/>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849"/>
    <w:rsid w:val="00E46E61"/>
    <w:rsid w:val="00E4707C"/>
    <w:rsid w:val="00E543FD"/>
    <w:rsid w:val="00E548C1"/>
    <w:rsid w:val="00E5532C"/>
    <w:rsid w:val="00E62132"/>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346F"/>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uiPriority w:val="99"/>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915">
      <w:bodyDiv w:val="1"/>
      <w:marLeft w:val="0"/>
      <w:marRight w:val="0"/>
      <w:marTop w:val="0"/>
      <w:marBottom w:val="0"/>
      <w:divBdr>
        <w:top w:val="none" w:sz="0" w:space="0" w:color="auto"/>
        <w:left w:val="none" w:sz="0" w:space="0" w:color="auto"/>
        <w:bottom w:val="none" w:sz="0" w:space="0" w:color="auto"/>
        <w:right w:val="none" w:sz="0" w:space="0" w:color="auto"/>
      </w:divBdr>
    </w:div>
    <w:div w:id="45960100">
      <w:bodyDiv w:val="1"/>
      <w:marLeft w:val="0"/>
      <w:marRight w:val="0"/>
      <w:marTop w:val="0"/>
      <w:marBottom w:val="0"/>
      <w:divBdr>
        <w:top w:val="none" w:sz="0" w:space="0" w:color="auto"/>
        <w:left w:val="none" w:sz="0" w:space="0" w:color="auto"/>
        <w:bottom w:val="none" w:sz="0" w:space="0" w:color="auto"/>
        <w:right w:val="none" w:sz="0" w:space="0" w:color="auto"/>
      </w:divBdr>
    </w:div>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356548454">
      <w:bodyDiv w:val="1"/>
      <w:marLeft w:val="0"/>
      <w:marRight w:val="0"/>
      <w:marTop w:val="0"/>
      <w:marBottom w:val="0"/>
      <w:divBdr>
        <w:top w:val="none" w:sz="0" w:space="0" w:color="auto"/>
        <w:left w:val="none" w:sz="0" w:space="0" w:color="auto"/>
        <w:bottom w:val="none" w:sz="0" w:space="0" w:color="auto"/>
        <w:right w:val="none" w:sz="0" w:space="0" w:color="auto"/>
      </w:divBdr>
      <w:divsChild>
        <w:div w:id="1351182480">
          <w:marLeft w:val="1267"/>
          <w:marRight w:val="0"/>
          <w:marTop w:val="96"/>
          <w:marBottom w:val="0"/>
          <w:divBdr>
            <w:top w:val="none" w:sz="0" w:space="0" w:color="auto"/>
            <w:left w:val="none" w:sz="0" w:space="0" w:color="auto"/>
            <w:bottom w:val="none" w:sz="0" w:space="0" w:color="auto"/>
            <w:right w:val="none" w:sz="0" w:space="0" w:color="auto"/>
          </w:divBdr>
        </w:div>
      </w:divsChild>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3079397">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11386874">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88824033">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0d3c429c-0412-4dc9-8a4d-a7216355f179"/>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elements/1.1/"/>
    <ds:schemaRef ds:uri="http://purl.org/dc/dcmityp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CBEDF164-08B6-4058-9589-58BCD9D74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257D2C-79E5-41F9-823B-F360095E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2017-08-17T19:29:00Z</dcterms:created>
  <dcterms:modified xsi:type="dcterms:W3CDTF">2017-08-17T19:29:00Z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