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127B99BE" w:rsidR="006C2B6B" w:rsidRPr="00E671B3" w:rsidRDefault="00E90922" w:rsidP="00E671B3">
      <w:bookmarkStart w:id="0" w:name="_GoBack"/>
      <w:bookmarkEnd w:id="0"/>
      <w:r>
        <w:t xml:space="preserve"> </w:t>
      </w:r>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415A2F">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415A2F">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2A24F92C" w:rsidR="007A458C" w:rsidRPr="006370D1" w:rsidRDefault="007A458C" w:rsidP="006A18DA">
            <w:r>
              <w:t>T4-05</w:t>
            </w:r>
            <w:r w:rsidR="0094034E">
              <w:t>95</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56CF8BDB" w:rsidR="007A458C" w:rsidRPr="006370D1" w:rsidRDefault="0094034E" w:rsidP="006A18DA">
            <w:r>
              <w:t>VistA Integration Adapter Enhancements</w:t>
            </w:r>
          </w:p>
        </w:tc>
      </w:tr>
      <w:tr w:rsidR="007A458C" w:rsidRPr="00E671B3" w14:paraId="091A0260" w14:textId="77777777" w:rsidTr="00415A2F">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30AD76A5" w:rsidR="007A458C" w:rsidRPr="006370D1" w:rsidRDefault="007A458C" w:rsidP="006370D1">
            <w:r w:rsidRPr="00856158">
              <w:t xml:space="preserve">Offeror </w:t>
            </w:r>
            <w:r w:rsidR="00CD141A">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5CD9C6A2" w:rsidR="007A458C" w:rsidRPr="000E15B7" w:rsidRDefault="004D2BF4" w:rsidP="000E15B7">
            <w:r>
              <w:t>March 13</w:t>
            </w:r>
            <w:r w:rsidR="000E15B7">
              <w:t>, 2015</w:t>
            </w:r>
          </w:p>
        </w:tc>
      </w:tr>
      <w:tr w:rsidR="006C2B6B" w:rsidRPr="00E671B3" w14:paraId="091A02C3" w14:textId="77777777" w:rsidTr="00415A2F">
        <w:trPr>
          <w:trHeight w:val="1786"/>
        </w:trPr>
        <w:tc>
          <w:tcPr>
            <w:tcW w:w="8352" w:type="dxa"/>
            <w:gridSpan w:val="2"/>
            <w:tcBorders>
              <w:top w:val="single" w:sz="2" w:space="0" w:color="auto"/>
              <w:bottom w:val="nil"/>
              <w:right w:val="single" w:sz="2" w:space="0" w:color="auto"/>
            </w:tcBorders>
          </w:tcPr>
          <w:p w14:paraId="091A0261" w14:textId="3AB5B2CB"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3000261F" w:rsidR="007A458C" w:rsidRDefault="007A458C" w:rsidP="007A458C">
            <w:pPr>
              <w:rPr>
                <w:b/>
              </w:rPr>
            </w:pPr>
          </w:p>
          <w:p w14:paraId="3749A25A" w14:textId="77777777" w:rsidR="00135896" w:rsidRDefault="007A458C" w:rsidP="007A458C">
            <w:pPr>
              <w:rPr>
                <w:b/>
              </w:rPr>
            </w:pPr>
            <w:r>
              <w:rPr>
                <w:b/>
                <w:u w:val="single"/>
              </w:rPr>
              <w:t xml:space="preserve">2. </w:t>
            </w:r>
            <w:r w:rsidRPr="009A1184">
              <w:rPr>
                <w:b/>
                <w:u w:val="single"/>
              </w:rPr>
              <w:t xml:space="preserve">Proposal Summary: </w:t>
            </w:r>
            <w:r w:rsidRPr="009A1184">
              <w:rPr>
                <w:b/>
              </w:rPr>
              <w:t xml:space="preserve"> </w:t>
            </w:r>
          </w:p>
          <w:p w14:paraId="451E1CFD" w14:textId="77777777" w:rsidR="003B7E9E" w:rsidRDefault="003B7E9E" w:rsidP="007A458C">
            <w:pPr>
              <w:rPr>
                <w:b/>
              </w:rPr>
            </w:pPr>
          </w:p>
          <w:p w14:paraId="53C304F5" w14:textId="5C5F5413" w:rsidR="00D84266" w:rsidRDefault="00135896" w:rsidP="00D84266">
            <w:r>
              <w:t xml:space="preserve">Offeror C provided a technical approach to the </w:t>
            </w:r>
            <w:r w:rsidR="00D904D1">
              <w:t>VistA Integration Adapter (</w:t>
            </w:r>
            <w:r>
              <w:t>VIA</w:t>
            </w:r>
            <w:r w:rsidR="00D904D1">
              <w:t>)</w:t>
            </w:r>
            <w:r>
              <w:t xml:space="preserve"> Enhancement optional task</w:t>
            </w:r>
            <w:r w:rsidR="00D904D1">
              <w:t>s beginning with an understanding of the problem background followed by its understanding of the Performance Work Statement</w:t>
            </w:r>
            <w:r w:rsidR="008B6CAF">
              <w:t>,</w:t>
            </w:r>
            <w:r w:rsidR="00D904D1">
              <w:t xml:space="preserve"> </w:t>
            </w:r>
            <w:r w:rsidR="008B6CAF">
              <w:t xml:space="preserve">an </w:t>
            </w:r>
            <w:r w:rsidR="00D904D1">
              <w:t xml:space="preserve">overall approach to Active State support with a graphic depiction of its Engineering Lifecycle for </w:t>
            </w:r>
            <w:r w:rsidR="008944A9">
              <w:t>Solution</w:t>
            </w:r>
            <w:r w:rsidR="00D904D1">
              <w:t xml:space="preserve"> Development</w:t>
            </w:r>
            <w:r w:rsidR="008B6CAF">
              <w:t xml:space="preserve"> and finally its approach for each of the nine new enhancements</w:t>
            </w:r>
            <w:r>
              <w:t xml:space="preserve">.  </w:t>
            </w:r>
            <w:r w:rsidR="008B6CAF">
              <w:t>The Offeror</w:t>
            </w:r>
            <w:r>
              <w:t xml:space="preserve"> provided a</w:t>
            </w:r>
            <w:r w:rsidR="00081C6D">
              <w:t>n</w:t>
            </w:r>
            <w:r>
              <w:t xml:space="preserve"> estimated level</w:t>
            </w:r>
            <w:r w:rsidR="00081C6D">
              <w:t xml:space="preserve"> </w:t>
            </w:r>
            <w:r>
              <w:t xml:space="preserve">of effort </w:t>
            </w:r>
            <w:r w:rsidR="008B6CAF" w:rsidRPr="008B6CAF">
              <w:t>by labor category for its team and each tasks of the Performance Work Statement (PWS)</w:t>
            </w:r>
            <w:r w:rsidR="008B6CAF">
              <w:t>.</w:t>
            </w:r>
            <w:r>
              <w:t xml:space="preserve">  </w:t>
            </w:r>
            <w:r w:rsidR="00D84266">
              <w:t xml:space="preserve"> </w:t>
            </w:r>
            <w:r w:rsidR="00081C6D">
              <w:t>The proposal</w:t>
            </w:r>
            <w:r w:rsidR="00D84266">
              <w:t xml:space="preserve"> </w:t>
            </w:r>
            <w:r>
              <w:t xml:space="preserve">described </w:t>
            </w:r>
            <w:r w:rsidR="00081C6D">
              <w:t>a high level approach to</w:t>
            </w:r>
            <w:r>
              <w:t xml:space="preserve"> the </w:t>
            </w:r>
            <w:r w:rsidR="00081C6D">
              <w:t>m</w:t>
            </w:r>
            <w:r>
              <w:t>anageme</w:t>
            </w:r>
            <w:r w:rsidR="00D84266">
              <w:t>n</w:t>
            </w:r>
            <w:r>
              <w:t>t</w:t>
            </w:r>
            <w:r w:rsidR="00D84266">
              <w:t xml:space="preserve"> </w:t>
            </w:r>
            <w:r w:rsidR="00081C6D">
              <w:t>m</w:t>
            </w:r>
            <w:r w:rsidR="00D84266">
              <w:t>et</w:t>
            </w:r>
            <w:r>
              <w:t xml:space="preserve">hodology and staffing that would </w:t>
            </w:r>
            <w:r w:rsidR="00D84266">
              <w:t>be</w:t>
            </w:r>
            <w:r w:rsidR="008B6CAF">
              <w:t xml:space="preserve"> </w:t>
            </w:r>
            <w:r w:rsidR="00081C6D">
              <w:t>would be needed to complete the task</w:t>
            </w:r>
            <w:r w:rsidR="008B6CAF">
              <w:t xml:space="preserve"> along with security clearances</w:t>
            </w:r>
            <w:r w:rsidR="00081C6D">
              <w:t>.</w:t>
            </w:r>
            <w:r>
              <w:t xml:space="preserve"> </w:t>
            </w:r>
            <w:r w:rsidR="00D84266">
              <w:t>L</w:t>
            </w:r>
            <w:r>
              <w:t xml:space="preserve">astly </w:t>
            </w:r>
            <w:r w:rsidR="008B6CAF">
              <w:t xml:space="preserve">Offeror C </w:t>
            </w:r>
            <w:r>
              <w:t xml:space="preserve">provided a GANNT </w:t>
            </w:r>
            <w:r w:rsidR="008B6CAF">
              <w:t>c</w:t>
            </w:r>
            <w:r>
              <w:t>ha</w:t>
            </w:r>
            <w:r w:rsidR="008B6CAF">
              <w:t>r</w:t>
            </w:r>
            <w:r>
              <w:t>t with proposed dates</w:t>
            </w:r>
            <w:r w:rsidR="008B6CAF">
              <w:t xml:space="preserve"> for beginning, ending and duration for each task</w:t>
            </w:r>
            <w:r>
              <w:t>.</w:t>
            </w:r>
          </w:p>
          <w:p w14:paraId="16BEAC28" w14:textId="6C940FF2" w:rsidR="00D84266" w:rsidRDefault="00D84266" w:rsidP="00D84266">
            <w:r>
              <w:t xml:space="preserve"> </w:t>
            </w:r>
          </w:p>
          <w:p w14:paraId="3510902D" w14:textId="50294FD7" w:rsidR="007A458C" w:rsidRDefault="008944A9" w:rsidP="007A458C">
            <w:r>
              <w:t xml:space="preserve">The Offeror has proposed to team with one subcontractor. </w:t>
            </w:r>
          </w:p>
          <w:p w14:paraId="5777D262" w14:textId="77777777" w:rsidR="007A458C" w:rsidRDefault="007A458C" w:rsidP="007A458C"/>
          <w:p w14:paraId="2ACED0BF" w14:textId="1E1EC046" w:rsidR="007A458C" w:rsidRDefault="007A458C" w:rsidP="007A458C">
            <w:r>
              <w:t>After review of the entire proposal, it was determined that the Offeror’s approach contained</w:t>
            </w:r>
            <w:r w:rsidR="004B0D68">
              <w:t xml:space="preserve"> </w:t>
            </w:r>
            <w:r w:rsidR="00BD285C">
              <w:t xml:space="preserve">the </w:t>
            </w:r>
            <w:r w:rsidR="00591686">
              <w:t xml:space="preserve">Significant </w:t>
            </w:r>
            <w:r w:rsidR="004B0D68">
              <w:t>Weakness and</w:t>
            </w:r>
            <w:r>
              <w:t xml:space="preserve"> </w:t>
            </w:r>
            <w:r w:rsidR="00C17EF2">
              <w:t>Deficienc</w:t>
            </w:r>
            <w:r w:rsidR="00BD285C">
              <w:t>y</w:t>
            </w:r>
            <w:r>
              <w:t xml:space="preserve"> detailed below.  The remainder of the </w:t>
            </w:r>
            <w:r w:rsidR="005C6697">
              <w:t>V</w:t>
            </w:r>
            <w:r w:rsidR="008B6CAF">
              <w:t>IA</w:t>
            </w:r>
            <w:r w:rsidR="005C6697">
              <w:t xml:space="preserve"> Enhancements</w:t>
            </w:r>
            <w:r>
              <w:t xml:space="preserve"> requirements was adequately addressed.</w:t>
            </w:r>
          </w:p>
          <w:p w14:paraId="0D799438" w14:textId="77777777" w:rsidR="007A458C" w:rsidRPr="007A458C" w:rsidRDefault="007A458C" w:rsidP="007A458C">
            <w:pPr>
              <w:pStyle w:val="NoSpacing"/>
              <w:rPr>
                <w:b/>
              </w:rPr>
            </w:pPr>
          </w:p>
          <w:p w14:paraId="5DFEDAA8" w14:textId="500F4190" w:rsidR="007A458C" w:rsidRPr="007A458C" w:rsidRDefault="007A458C" w:rsidP="00C17EF2">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56ECF4BA" w14:textId="22C0EADD" w:rsidR="00354F3E" w:rsidRPr="00515998" w:rsidRDefault="00354F3E" w:rsidP="00041B27">
            <w:pPr>
              <w:pStyle w:val="NoSpacing"/>
            </w:pPr>
          </w:p>
          <w:p w14:paraId="5B755A7C" w14:textId="245B9E00" w:rsidR="00354F3E" w:rsidRDefault="005C6697" w:rsidP="00041B27">
            <w:pPr>
              <w:pStyle w:val="NoSpacing"/>
            </w:pPr>
            <w:r>
              <w:t>None</w:t>
            </w:r>
          </w:p>
          <w:p w14:paraId="05F1C183" w14:textId="77777777" w:rsidR="00932F91" w:rsidRDefault="00932F91" w:rsidP="00041B27">
            <w:pPr>
              <w:pStyle w:val="NoSpacing"/>
            </w:pPr>
          </w:p>
          <w:p w14:paraId="0404AD37" w14:textId="46ED5F7E" w:rsidR="00C17EF2" w:rsidRDefault="007A458C" w:rsidP="00C17EF2">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69C92D54" w14:textId="77777777" w:rsidR="005C6697" w:rsidRDefault="005C6697" w:rsidP="00C17EF2">
            <w:pPr>
              <w:rPr>
                <w:b/>
              </w:rPr>
            </w:pPr>
          </w:p>
          <w:p w14:paraId="724ACD5F" w14:textId="2DBB6F3C" w:rsidR="004B0D68" w:rsidRPr="00C17EF2" w:rsidRDefault="00591686" w:rsidP="00C17EF2">
            <w:r>
              <w:rPr>
                <w:b/>
              </w:rPr>
              <w:t xml:space="preserve">Significant </w:t>
            </w:r>
            <w:r w:rsidR="00C17EF2" w:rsidRPr="00972CC5">
              <w:rPr>
                <w:b/>
              </w:rPr>
              <w:t>Weakness #1</w:t>
            </w:r>
            <w:r w:rsidR="00972CC5">
              <w:rPr>
                <w:b/>
              </w:rPr>
              <w:t>:</w:t>
            </w:r>
            <w:r w:rsidR="00C17EF2">
              <w:t xml:space="preserve"> </w:t>
            </w:r>
            <w:r w:rsidR="004B0D68">
              <w:t>(TEP p 18 Section 5</w:t>
            </w:r>
            <w:r w:rsidR="00505FD1">
              <w:t>, Appendix A, pages A-1 – A9</w:t>
            </w:r>
            <w:r w:rsidR="004B0D68">
              <w:t xml:space="preserve">, </w:t>
            </w:r>
            <w:r w:rsidR="00505FD1">
              <w:t>Request for Task Execution Plan (</w:t>
            </w:r>
            <w:r w:rsidR="004B0D68">
              <w:t>RTEP</w:t>
            </w:r>
            <w:r w:rsidR="00505FD1">
              <w:t>)</w:t>
            </w:r>
            <w:r w:rsidR="004B0D68">
              <w:t xml:space="preserve"> </w:t>
            </w:r>
            <w:r w:rsidR="00972CC5">
              <w:t>B.1.4</w:t>
            </w:r>
            <w:r w:rsidR="004B0D68">
              <w:t>)</w:t>
            </w:r>
            <w:r w:rsidR="00505FD1">
              <w:t xml:space="preserve">  </w:t>
            </w:r>
            <w:r w:rsidR="004B0D68">
              <w:t xml:space="preserve">The Offeror does not show any </w:t>
            </w:r>
            <w:r w:rsidR="00F83F78">
              <w:t>User Acceptance</w:t>
            </w:r>
            <w:r w:rsidR="000E5156">
              <w:t xml:space="preserve"> </w:t>
            </w:r>
            <w:r w:rsidR="004B0D68">
              <w:t xml:space="preserve">demonstrations in the GANTT Chart.  </w:t>
            </w:r>
            <w:r w:rsidR="009F679A">
              <w:t xml:space="preserve">Offeror C’s proposal included High-Level Summary draft GANTT chart and a detailed GANTT chart as </w:t>
            </w:r>
            <w:r w:rsidR="009F679A">
              <w:lastRenderedPageBreak/>
              <w:t>an appendix and neither chart included estimated start and finished dates with total task durations for each task in the PWS.  The RTEP instructions clearly stat the Offeror was to provide a “</w:t>
            </w:r>
            <w:r w:rsidR="009F679A" w:rsidRPr="009F679A">
              <w:t>complete GANTT chart indicating expected start and completion dates, for all project tasks and sub-tasks</w:t>
            </w:r>
            <w:r w:rsidR="00251397">
              <w:t>”.</w:t>
            </w:r>
            <w:r w:rsidR="009F679A">
              <w:t xml:space="preserve">  </w:t>
            </w:r>
            <w:r w:rsidR="004B0D68">
              <w:t>The User Acceptance Demonstrations is PWS task 5.3.2 and is crucial for customer acceptance of requirements developed.  The omission of this task in the GANTT Chart puts the Government at risk of not being shown what is being deployed which would be unacceptable.</w:t>
            </w:r>
          </w:p>
          <w:p w14:paraId="1B6ADE08" w14:textId="77777777" w:rsidR="004F5208" w:rsidRPr="00773FFF" w:rsidRDefault="004F5208" w:rsidP="00041B27">
            <w:pPr>
              <w:pStyle w:val="NoSpacing"/>
            </w:pPr>
          </w:p>
          <w:p w14:paraId="7FD5219E" w14:textId="77777777" w:rsidR="00914558" w:rsidRDefault="007A458C" w:rsidP="007A458C">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65DCECB8" w14:textId="77777777" w:rsidR="005C6697" w:rsidRDefault="005C6697" w:rsidP="007A458C">
            <w:pPr>
              <w:pStyle w:val="NoSpacing"/>
              <w:rPr>
                <w:i/>
              </w:rPr>
            </w:pPr>
          </w:p>
          <w:p w14:paraId="53F00050" w14:textId="7136B13C" w:rsidR="00790068" w:rsidRDefault="00914558" w:rsidP="00E32568">
            <w:pPr>
              <w:pStyle w:val="NoSpacing"/>
            </w:pPr>
            <w:r w:rsidRPr="00972CC5">
              <w:rPr>
                <w:b/>
              </w:rPr>
              <w:t>Deficiency # 1</w:t>
            </w:r>
            <w:r>
              <w:t xml:space="preserve"> (TEP p</w:t>
            </w:r>
            <w:r w:rsidR="00B6483E">
              <w:t>ages</w:t>
            </w:r>
            <w:r>
              <w:t xml:space="preserve"> 5</w:t>
            </w:r>
            <w:r w:rsidR="00B6483E">
              <w:t>-16,</w:t>
            </w:r>
            <w:r>
              <w:t xml:space="preserve"> Section 2.2, RTEP</w:t>
            </w:r>
            <w:r w:rsidR="00251397">
              <w:t xml:space="preserve"> B.1.1</w:t>
            </w:r>
            <w:r w:rsidR="00B6483E">
              <w:t>, PWS 5.4</w:t>
            </w:r>
            <w:r>
              <w:t xml:space="preserve">) – </w:t>
            </w:r>
            <w:r w:rsidR="00790068">
              <w:t xml:space="preserve">Offeror C provides an overall approach process and methods for developing VIA and included a graphic depicting its Agile Engineering Lifecycle for Solution Development however, the majority of the tasks and most of the deliverables are not the same tasks and deliverables as </w:t>
            </w:r>
            <w:r w:rsidR="008944A9">
              <w:t>laid</w:t>
            </w:r>
            <w:r w:rsidR="00790068">
              <w:t xml:space="preserve"> out in the PWS.  The Offeror’s approach includes providing an updated Version Description Document and signed Customer Acceptance Forms of which neither are products of the PWS.  </w:t>
            </w:r>
            <w:r w:rsidR="001D21E6">
              <w:t xml:space="preserve">Offeror C’s Agile Engineering Lifecycles portrays VIA Active State as including Development, User Function Testing, Operational Readiness, </w:t>
            </w:r>
            <w:r w:rsidR="008944A9">
              <w:t>Initial</w:t>
            </w:r>
            <w:r w:rsidR="001D21E6">
              <w:t xml:space="preserve"> Operating Capability and Implementation (Function </w:t>
            </w:r>
            <w:r w:rsidR="008944A9">
              <w:t>Operational</w:t>
            </w:r>
            <w:r w:rsidR="001D21E6">
              <w:t xml:space="preserve"> Readiness/National Deployment).  The PWS specifically states, “</w:t>
            </w:r>
            <w:r w:rsidR="001D21E6" w:rsidRPr="001D21E6">
              <w:t>The Active State is composed of the Development, Initial Operating Capability and Deployment Phases</w:t>
            </w:r>
            <w:r w:rsidR="001D21E6">
              <w:t>”</w:t>
            </w:r>
            <w:r w:rsidR="001D21E6" w:rsidRPr="001D21E6">
              <w:t>.</w:t>
            </w:r>
            <w:r w:rsidR="001D21E6">
              <w:t xml:space="preserve"> </w:t>
            </w:r>
            <w:r w:rsidR="00790068">
              <w:t xml:space="preserve"> </w:t>
            </w:r>
            <w:r w:rsidR="001D21E6">
              <w:t>The Offeror’s overview illustration of the VIA Enhancements project significantly decreases the Government’s confidence that the Offeror understands the tasks as described in the PWS</w:t>
            </w:r>
            <w:r w:rsidR="00743A23">
              <w:t xml:space="preserve"> because it deviates to far from the tasks outlined in the PWS.</w:t>
            </w:r>
            <w:r w:rsidR="001D21E6">
              <w:t xml:space="preserve"> </w:t>
            </w:r>
            <w:r w:rsidR="00790068">
              <w:t xml:space="preserve"> </w:t>
            </w:r>
          </w:p>
          <w:p w14:paraId="3BF5F2BF" w14:textId="77777777" w:rsidR="00790068" w:rsidRDefault="00790068" w:rsidP="00E32568">
            <w:pPr>
              <w:pStyle w:val="NoSpacing"/>
            </w:pPr>
          </w:p>
          <w:p w14:paraId="2070EDA3" w14:textId="6531348B" w:rsidR="00CE02C3" w:rsidRDefault="001D21E6" w:rsidP="00E32568">
            <w:pPr>
              <w:pStyle w:val="NoSpacing"/>
            </w:pPr>
            <w:r>
              <w:t>Additionally, t</w:t>
            </w:r>
            <w:r w:rsidR="00914558">
              <w:t>he Offeror</w:t>
            </w:r>
            <w:r w:rsidR="00C846CF">
              <w:t xml:space="preserve"> fails to mention specific deliverables for the optional task</w:t>
            </w:r>
            <w:r w:rsidR="00163BB9">
              <w:t>s</w:t>
            </w:r>
            <w:r w:rsidR="00C846CF">
              <w:t xml:space="preserve"> in the PWS section 5.4.  </w:t>
            </w:r>
            <w:r w:rsidR="00790068">
              <w:t xml:space="preserve">Each of the nine new Enhancement optional tasks </w:t>
            </w:r>
            <w:r w:rsidR="008944A9">
              <w:t>requires</w:t>
            </w:r>
            <w:r w:rsidR="00790068">
              <w:t xml:space="preserve"> the deliverables identified in PWS sections 5.1 through 5.3.  </w:t>
            </w:r>
            <w:r w:rsidR="00E32568">
              <w:t xml:space="preserve">The </w:t>
            </w:r>
            <w:r w:rsidR="00790068">
              <w:t xml:space="preserve">proposed approach </w:t>
            </w:r>
            <w:r w:rsidR="00E32568">
              <w:t xml:space="preserve">for performing the </w:t>
            </w:r>
            <w:r w:rsidR="00790068">
              <w:t>o</w:t>
            </w:r>
            <w:r w:rsidR="00E32568">
              <w:t>ptional task</w:t>
            </w:r>
            <w:r w:rsidR="00B6483E">
              <w:t>s</w:t>
            </w:r>
            <w:r w:rsidR="00E32568">
              <w:t xml:space="preserve"> do not have any information on </w:t>
            </w:r>
            <w:r w:rsidR="00790068">
              <w:t>creation or updating the reports/documents at the increment level</w:t>
            </w:r>
            <w:r w:rsidR="00B6483E">
              <w:t>, which are clearly called out in the PWS for each optional task</w:t>
            </w:r>
            <w:r w:rsidR="00E32568">
              <w:t xml:space="preserve">.  </w:t>
            </w:r>
            <w:r w:rsidR="00743A23">
              <w:t xml:space="preserve">A key </w:t>
            </w:r>
            <w:r w:rsidR="008944A9">
              <w:t>deliverable</w:t>
            </w:r>
            <w:r w:rsidR="00743A23">
              <w:t xml:space="preserve"> for each of the development increments for each optional task is the Open Source Submission Package and this is not identified anywhere in the Offeror’s TEP.  The Offeror merely makes generic statements about the Open Source </w:t>
            </w:r>
            <w:r w:rsidR="008944A9">
              <w:t>Community</w:t>
            </w:r>
            <w:r w:rsidR="00743A23">
              <w:t xml:space="preserve"> or open source systems (pages 1 and 2).  </w:t>
            </w:r>
            <w:r w:rsidR="00E32568">
              <w:t>In only one of the TEP sections</w:t>
            </w:r>
            <w:r w:rsidR="00743A23">
              <w:t>,</w:t>
            </w:r>
            <w:r w:rsidR="00E32568">
              <w:t xml:space="preserve"> 2.2.5</w:t>
            </w:r>
            <w:r w:rsidR="00743A23">
              <w:t xml:space="preserve">, on page </w:t>
            </w:r>
            <w:r w:rsidR="00E32568">
              <w:t xml:space="preserve"> is there mention of updating the Software Design Document and none of the paragraphs mention updating the Interface Control Document which is  a requirement in PWS Section 5.2.  </w:t>
            </w:r>
          </w:p>
          <w:p w14:paraId="2568C894" w14:textId="77777777" w:rsidR="00CE02C3" w:rsidRDefault="00CE02C3" w:rsidP="00E32568">
            <w:pPr>
              <w:pStyle w:val="NoSpacing"/>
            </w:pPr>
          </w:p>
          <w:p w14:paraId="1F8EE930" w14:textId="4FF6C5D5" w:rsidR="00E32568" w:rsidRDefault="00CE02C3" w:rsidP="00415A2F">
            <w:pPr>
              <w:pStyle w:val="NoSpacing"/>
            </w:pPr>
            <w:r>
              <w:t xml:space="preserve">As well, the only mentions the Configuration Management Plan briefly when it states “a configuration analyst familiar with implementing a configuration management plan”.   The PWS requirement is for the Contractor to create a Configuration Management Plan which documents the </w:t>
            </w:r>
            <w:r w:rsidRPr="009B429F">
              <w:t>Configuration Management steps, tools, and methods</w:t>
            </w:r>
            <w:r>
              <w:t xml:space="preserve"> and </w:t>
            </w:r>
            <w:r w:rsidRPr="009B429F">
              <w:t>ensure that a Configuration Management program is applied on all software, systems, and documentation</w:t>
            </w:r>
            <w:r>
              <w:t xml:space="preserve">.  </w:t>
            </w:r>
            <w:r w:rsidR="008944A9">
              <w:t xml:space="preserve">Offeror C’s proposed approach fails to provide any detail as to how it will complete this undertaking for each of the Enhancement tasks.  </w:t>
            </w:r>
            <w:r w:rsidR="00BD44EB">
              <w:t xml:space="preserve">Moreover, the only mention of the User Acceptance Demonstrations in provided in the Offeror’s proposed LOE in which it lists the task title and annotates that it is included with the tasks in PWS 5.4.  On page 4 of Offeror C’s TEP it simply states, “The Offeror will also provide detailed test focused demos as each functional objective is completed”.  </w:t>
            </w:r>
            <w:r w:rsidR="00E32568">
              <w:t>The lack of mention on providing these critical documents</w:t>
            </w:r>
            <w:r w:rsidR="00BD44EB">
              <w:t xml:space="preserve"> or purely restating the requirement introduces </w:t>
            </w:r>
            <w:r w:rsidR="00BD44EB">
              <w:lastRenderedPageBreak/>
              <w:t xml:space="preserve">significant doubt that the Offeror understands the requirements for VIA </w:t>
            </w:r>
            <w:r>
              <w:t xml:space="preserve">Enhancements and </w:t>
            </w:r>
            <w:r w:rsidR="00E32568">
              <w:t xml:space="preserve"> increases the </w:t>
            </w:r>
            <w:r>
              <w:t xml:space="preserve">risk </w:t>
            </w:r>
            <w:r w:rsidR="00E32568">
              <w:t>of unsuccessful completion of the PWS.</w:t>
            </w:r>
          </w:p>
          <w:p w14:paraId="6CCAD1C6" w14:textId="77777777" w:rsidR="00B6483E" w:rsidRDefault="00B6483E" w:rsidP="00E32568">
            <w:pPr>
              <w:pStyle w:val="NoSpacing"/>
            </w:pPr>
          </w:p>
          <w:p w14:paraId="0CA5E3DA" w14:textId="5FD0DEF4" w:rsidR="00415A2F" w:rsidRDefault="00415A2F" w:rsidP="00E32568">
            <w:pPr>
              <w:pStyle w:val="NoSpacing"/>
            </w:pPr>
            <w:r>
              <w:t xml:space="preserve">Overall, Offeror </w:t>
            </w:r>
            <w:r w:rsidR="0026670A">
              <w:t>C’s erroneous</w:t>
            </w:r>
            <w:r>
              <w:t xml:space="preserve"> graphic depiction of its Agile Engineering </w:t>
            </w:r>
            <w:r w:rsidR="008944A9">
              <w:t>Lifecycle</w:t>
            </w:r>
            <w:r>
              <w:t xml:space="preserve"> and omission of key deliverables required under the PWS represents a deficiency of the proposal which increases the risk of unsuccessful contract performance to an unacceptable level.  By failing to meet stated requirements and introducing inaccurate tasks and deliverables, the Offeror’s proposed approach creates an unacceptable risk to the Government with regard to its ability to provide technology solutions critical to delivering reliable, </w:t>
            </w:r>
            <w:r w:rsidRPr="00415A2F">
              <w:t xml:space="preserve">accessible and timely healthcare to Veterans. </w:t>
            </w:r>
            <w:r>
              <w:t xml:space="preserve">  </w:t>
            </w:r>
          </w:p>
          <w:p w14:paraId="5322E45B" w14:textId="77777777" w:rsidR="00415A2F" w:rsidRPr="00E543FD" w:rsidRDefault="00415A2F" w:rsidP="00E32568">
            <w:pPr>
              <w:pStyle w:val="NoSpacing"/>
            </w:pPr>
          </w:p>
          <w:p w14:paraId="2D646920" w14:textId="37AD16C2" w:rsidR="004012EE" w:rsidRDefault="00455ED2"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7777777" w:rsidR="00D253B1" w:rsidRDefault="00D253B1" w:rsidP="00041B27">
            <w:pPr>
              <w:pStyle w:val="NoSpacing"/>
            </w:pPr>
          </w:p>
          <w:p w14:paraId="3C7F4F80" w14:textId="26263F6A" w:rsidR="005C6697" w:rsidRDefault="005C6697" w:rsidP="00041B27">
            <w:pPr>
              <w:pStyle w:val="NoSpacing"/>
            </w:pPr>
            <w:r>
              <w:t>None</w:t>
            </w:r>
          </w:p>
          <w:p w14:paraId="7B19C1A1" w14:textId="77777777" w:rsidR="005C6697" w:rsidRPr="007B55E1" w:rsidRDefault="005C6697" w:rsidP="00041B27">
            <w:pPr>
              <w:pStyle w:val="NoSpacing"/>
            </w:pPr>
          </w:p>
          <w:p w14:paraId="091A029F" w14:textId="1986395F" w:rsidR="00D863B7" w:rsidRPr="00041B27" w:rsidRDefault="00455ED2"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20A2CA91" w:rsidR="00F30321" w:rsidRDefault="00041B27" w:rsidP="00041B27">
            <w:pPr>
              <w:pStyle w:val="NoSpacing"/>
            </w:pPr>
            <w:r>
              <w:t xml:space="preserve">Overall the Offeror demonstrates a </w:t>
            </w:r>
            <w:r w:rsidR="00415A2F">
              <w:t xml:space="preserve">lack of </w:t>
            </w:r>
            <w:r>
              <w:t>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2B22D897" w:rsidR="00473B02" w:rsidRPr="00F30321" w:rsidRDefault="00F30321" w:rsidP="00041B27">
            <w:pPr>
              <w:pStyle w:val="NoSpacing"/>
              <w:rPr>
                <w:i/>
              </w:rPr>
            </w:pPr>
            <w:r>
              <w:t xml:space="preserve"> </w:t>
            </w:r>
            <w:r w:rsidR="00041B27">
              <w:t xml:space="preserve">Overall the Offeror demonstrates an approach that is </w:t>
            </w:r>
            <w:r w:rsidR="00415A2F">
              <w:t>cannot be expected to meet the requirements</w:t>
            </w:r>
            <w:r w:rsidR="00041B27">
              <w:t xml:space="preserve"> and is considered </w:t>
            </w:r>
            <w:r w:rsidR="00415A2F">
              <w:t xml:space="preserve">very high </w:t>
            </w:r>
            <w:r w:rsidR="00041B27">
              <w:t>risk.</w:t>
            </w:r>
          </w:p>
          <w:p w14:paraId="091A02A8" w14:textId="77777777" w:rsidR="00D863B7" w:rsidRDefault="00D863B7" w:rsidP="00041B27">
            <w:pPr>
              <w:pStyle w:val="NoSpacing"/>
            </w:pPr>
          </w:p>
          <w:p w14:paraId="78822009" w14:textId="13FD3090" w:rsidR="005C6697" w:rsidRDefault="00455ED2" w:rsidP="00984BD3">
            <w:r>
              <w:rPr>
                <w:b/>
                <w:u w:val="single"/>
              </w:rPr>
              <w:t>8</w:t>
            </w:r>
            <w:r w:rsidR="00F8248B" w:rsidRPr="00041B27">
              <w:rPr>
                <w:b/>
                <w:u w:val="single"/>
              </w:rPr>
              <w:t>. Rating:</w:t>
            </w:r>
            <w:r w:rsidR="00F8248B" w:rsidRPr="00041B27">
              <w:rPr>
                <w:b/>
              </w:rPr>
              <w:t xml:space="preserve"> </w:t>
            </w:r>
            <w:r w:rsidR="00984BD3" w:rsidRPr="00984BD3">
              <w:t>Unacceptable</w:t>
            </w:r>
          </w:p>
          <w:p w14:paraId="495EF7BB" w14:textId="77777777" w:rsidR="005C6697" w:rsidRDefault="005C6697" w:rsidP="00984BD3"/>
          <w:p w14:paraId="51FBF482" w14:textId="5FC1ED5A" w:rsidR="00984BD3" w:rsidRPr="00984BD3" w:rsidRDefault="00984BD3" w:rsidP="00984BD3">
            <w:r w:rsidRPr="00984BD3">
              <w:t>A TEP that fails to meet any of the Government’s requirements after the final evaluation shall be ineligible for award regardless of whether it can be corrected without a major rewrite or revision of the TEP.</w:t>
            </w:r>
          </w:p>
          <w:p w14:paraId="091A02AF" w14:textId="7CF8059B" w:rsidR="00F30321" w:rsidRPr="00F30321" w:rsidRDefault="00F30321" w:rsidP="004012EE">
            <w:pPr>
              <w:pStyle w:val="NoSpacing"/>
            </w:pP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2" w14:textId="77777777" w:rsidR="004C5DEC" w:rsidRPr="00E671B3" w:rsidRDefault="004C5DEC" w:rsidP="006A18DA"/>
          <w:p w14:paraId="091A02B3" w14:textId="740D80DE" w:rsidR="002E71AA" w:rsidRPr="00E671B3" w:rsidRDefault="007A458C" w:rsidP="007A458C">
            <w:r w:rsidRPr="00E671B3">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415A2F">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415A2F">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8" w14:textId="77777777" w:rsidR="003874B3" w:rsidRPr="00E671B3" w:rsidRDefault="003874B3" w:rsidP="006A18DA">
            <w:pPr>
              <w:rPr>
                <w:b/>
              </w:rPr>
            </w:pPr>
          </w:p>
          <w:p w14:paraId="091A02CA" w14:textId="77777777" w:rsidR="003874B3" w:rsidRPr="00E671B3" w:rsidRDefault="003874B3" w:rsidP="00030AD1">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415A2F">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0AD1"/>
    <w:rsid w:val="00035AF8"/>
    <w:rsid w:val="000404B9"/>
    <w:rsid w:val="00041B27"/>
    <w:rsid w:val="00047A9E"/>
    <w:rsid w:val="000605BB"/>
    <w:rsid w:val="00060DE3"/>
    <w:rsid w:val="00061455"/>
    <w:rsid w:val="00075269"/>
    <w:rsid w:val="00081086"/>
    <w:rsid w:val="00081762"/>
    <w:rsid w:val="00081A0D"/>
    <w:rsid w:val="00081C6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15B7"/>
    <w:rsid w:val="000E30A3"/>
    <w:rsid w:val="000E3936"/>
    <w:rsid w:val="000E5156"/>
    <w:rsid w:val="000F7D76"/>
    <w:rsid w:val="00100971"/>
    <w:rsid w:val="00100D0B"/>
    <w:rsid w:val="001032C5"/>
    <w:rsid w:val="00105C1D"/>
    <w:rsid w:val="00105C6D"/>
    <w:rsid w:val="00111B7E"/>
    <w:rsid w:val="00115686"/>
    <w:rsid w:val="0011592B"/>
    <w:rsid w:val="001253AD"/>
    <w:rsid w:val="00125B3F"/>
    <w:rsid w:val="00134CEA"/>
    <w:rsid w:val="00135467"/>
    <w:rsid w:val="00135896"/>
    <w:rsid w:val="0014376C"/>
    <w:rsid w:val="00150D71"/>
    <w:rsid w:val="00152463"/>
    <w:rsid w:val="00156EAF"/>
    <w:rsid w:val="001575CF"/>
    <w:rsid w:val="001631B3"/>
    <w:rsid w:val="00163BB9"/>
    <w:rsid w:val="001648DC"/>
    <w:rsid w:val="00165BEE"/>
    <w:rsid w:val="00170546"/>
    <w:rsid w:val="00173996"/>
    <w:rsid w:val="00176508"/>
    <w:rsid w:val="001806B1"/>
    <w:rsid w:val="00184B7E"/>
    <w:rsid w:val="001937FC"/>
    <w:rsid w:val="00193B31"/>
    <w:rsid w:val="001A000A"/>
    <w:rsid w:val="001A4FB6"/>
    <w:rsid w:val="001A64D4"/>
    <w:rsid w:val="001B6183"/>
    <w:rsid w:val="001C1764"/>
    <w:rsid w:val="001C6A4F"/>
    <w:rsid w:val="001D21E6"/>
    <w:rsid w:val="001D3288"/>
    <w:rsid w:val="001D4D63"/>
    <w:rsid w:val="001D5B60"/>
    <w:rsid w:val="001D5EB5"/>
    <w:rsid w:val="001E147E"/>
    <w:rsid w:val="001E4DA1"/>
    <w:rsid w:val="001E6FB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0314"/>
    <w:rsid w:val="00251397"/>
    <w:rsid w:val="002532AC"/>
    <w:rsid w:val="00253C64"/>
    <w:rsid w:val="002611D0"/>
    <w:rsid w:val="0026670A"/>
    <w:rsid w:val="00274900"/>
    <w:rsid w:val="00280F39"/>
    <w:rsid w:val="0028228C"/>
    <w:rsid w:val="00285876"/>
    <w:rsid w:val="00285B8F"/>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360B"/>
    <w:rsid w:val="002F4D17"/>
    <w:rsid w:val="002F7125"/>
    <w:rsid w:val="00301A9A"/>
    <w:rsid w:val="00302EF4"/>
    <w:rsid w:val="00304D5B"/>
    <w:rsid w:val="003058C3"/>
    <w:rsid w:val="00310F8F"/>
    <w:rsid w:val="00316BFA"/>
    <w:rsid w:val="0032040A"/>
    <w:rsid w:val="00323BAC"/>
    <w:rsid w:val="00333517"/>
    <w:rsid w:val="003417A8"/>
    <w:rsid w:val="00354F3E"/>
    <w:rsid w:val="003577B7"/>
    <w:rsid w:val="00361C62"/>
    <w:rsid w:val="003626BE"/>
    <w:rsid w:val="00363A06"/>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A49D6"/>
    <w:rsid w:val="003A733C"/>
    <w:rsid w:val="003B74E2"/>
    <w:rsid w:val="003B7E9E"/>
    <w:rsid w:val="003C09C1"/>
    <w:rsid w:val="003C1A15"/>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5A2F"/>
    <w:rsid w:val="00417542"/>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55ED2"/>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0D68"/>
    <w:rsid w:val="004B1767"/>
    <w:rsid w:val="004B1B4E"/>
    <w:rsid w:val="004B33C5"/>
    <w:rsid w:val="004C4628"/>
    <w:rsid w:val="004C5DEC"/>
    <w:rsid w:val="004D0504"/>
    <w:rsid w:val="004D2BF4"/>
    <w:rsid w:val="004E08D9"/>
    <w:rsid w:val="004E0D59"/>
    <w:rsid w:val="004E32CC"/>
    <w:rsid w:val="004E3868"/>
    <w:rsid w:val="004F5208"/>
    <w:rsid w:val="0050440A"/>
    <w:rsid w:val="00505FD1"/>
    <w:rsid w:val="00506739"/>
    <w:rsid w:val="00507DFE"/>
    <w:rsid w:val="005118C3"/>
    <w:rsid w:val="00511FC0"/>
    <w:rsid w:val="00514312"/>
    <w:rsid w:val="005143ED"/>
    <w:rsid w:val="00515998"/>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1686"/>
    <w:rsid w:val="00593230"/>
    <w:rsid w:val="00593356"/>
    <w:rsid w:val="005957A9"/>
    <w:rsid w:val="00596054"/>
    <w:rsid w:val="00596973"/>
    <w:rsid w:val="00597085"/>
    <w:rsid w:val="005A4A69"/>
    <w:rsid w:val="005B1C55"/>
    <w:rsid w:val="005C6697"/>
    <w:rsid w:val="005D010B"/>
    <w:rsid w:val="005E166E"/>
    <w:rsid w:val="005E1FAE"/>
    <w:rsid w:val="005E2F5C"/>
    <w:rsid w:val="005F4420"/>
    <w:rsid w:val="005F5BB5"/>
    <w:rsid w:val="006064BE"/>
    <w:rsid w:val="00613396"/>
    <w:rsid w:val="00614E54"/>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515A"/>
    <w:rsid w:val="007251BB"/>
    <w:rsid w:val="007260D8"/>
    <w:rsid w:val="00726C23"/>
    <w:rsid w:val="007335C9"/>
    <w:rsid w:val="00734F8A"/>
    <w:rsid w:val="00735C86"/>
    <w:rsid w:val="00735D80"/>
    <w:rsid w:val="00743A23"/>
    <w:rsid w:val="0077207C"/>
    <w:rsid w:val="00773FFF"/>
    <w:rsid w:val="0077432B"/>
    <w:rsid w:val="00780226"/>
    <w:rsid w:val="00781F01"/>
    <w:rsid w:val="00784844"/>
    <w:rsid w:val="007867CC"/>
    <w:rsid w:val="007867E3"/>
    <w:rsid w:val="0078690A"/>
    <w:rsid w:val="007869ED"/>
    <w:rsid w:val="0078783A"/>
    <w:rsid w:val="00790068"/>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C2B41"/>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6FE"/>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820F7"/>
    <w:rsid w:val="00890A10"/>
    <w:rsid w:val="008944A9"/>
    <w:rsid w:val="008A4918"/>
    <w:rsid w:val="008A66C1"/>
    <w:rsid w:val="008B0F54"/>
    <w:rsid w:val="008B2D4D"/>
    <w:rsid w:val="008B43A6"/>
    <w:rsid w:val="008B5988"/>
    <w:rsid w:val="008B6CAF"/>
    <w:rsid w:val="008C35ED"/>
    <w:rsid w:val="008C701A"/>
    <w:rsid w:val="008D2DDE"/>
    <w:rsid w:val="008D4693"/>
    <w:rsid w:val="008E024C"/>
    <w:rsid w:val="008E3006"/>
    <w:rsid w:val="008E3F71"/>
    <w:rsid w:val="008E7A8B"/>
    <w:rsid w:val="008E7BCB"/>
    <w:rsid w:val="008F1D57"/>
    <w:rsid w:val="008F48A1"/>
    <w:rsid w:val="00900506"/>
    <w:rsid w:val="00900BA5"/>
    <w:rsid w:val="009068D2"/>
    <w:rsid w:val="00907ADC"/>
    <w:rsid w:val="00912FA0"/>
    <w:rsid w:val="00914558"/>
    <w:rsid w:val="00930F5F"/>
    <w:rsid w:val="00932F91"/>
    <w:rsid w:val="0093466C"/>
    <w:rsid w:val="0094034E"/>
    <w:rsid w:val="00943F27"/>
    <w:rsid w:val="0094405C"/>
    <w:rsid w:val="0094540A"/>
    <w:rsid w:val="00947B8F"/>
    <w:rsid w:val="0095737C"/>
    <w:rsid w:val="009656E9"/>
    <w:rsid w:val="00972C17"/>
    <w:rsid w:val="00972CC5"/>
    <w:rsid w:val="00984BD3"/>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9F679A"/>
    <w:rsid w:val="00A02052"/>
    <w:rsid w:val="00A02B37"/>
    <w:rsid w:val="00A11E2B"/>
    <w:rsid w:val="00A1202F"/>
    <w:rsid w:val="00A12045"/>
    <w:rsid w:val="00A13EE1"/>
    <w:rsid w:val="00A22764"/>
    <w:rsid w:val="00A27662"/>
    <w:rsid w:val="00A317AB"/>
    <w:rsid w:val="00A328B2"/>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5337"/>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483E"/>
    <w:rsid w:val="00B67320"/>
    <w:rsid w:val="00B71EE5"/>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85C"/>
    <w:rsid w:val="00BD2FB3"/>
    <w:rsid w:val="00BD365E"/>
    <w:rsid w:val="00BD44EB"/>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17EF2"/>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846CF"/>
    <w:rsid w:val="00C95D60"/>
    <w:rsid w:val="00CA0CDA"/>
    <w:rsid w:val="00CA2AA6"/>
    <w:rsid w:val="00CA30DA"/>
    <w:rsid w:val="00CC2F1D"/>
    <w:rsid w:val="00CD141A"/>
    <w:rsid w:val="00CE02C3"/>
    <w:rsid w:val="00CE3576"/>
    <w:rsid w:val="00CE4487"/>
    <w:rsid w:val="00CE723E"/>
    <w:rsid w:val="00CE7283"/>
    <w:rsid w:val="00CF31B5"/>
    <w:rsid w:val="00CF5F8B"/>
    <w:rsid w:val="00D0635C"/>
    <w:rsid w:val="00D114AC"/>
    <w:rsid w:val="00D155D5"/>
    <w:rsid w:val="00D1650F"/>
    <w:rsid w:val="00D174C4"/>
    <w:rsid w:val="00D253B1"/>
    <w:rsid w:val="00D34D15"/>
    <w:rsid w:val="00D352B3"/>
    <w:rsid w:val="00D42CB2"/>
    <w:rsid w:val="00D4525A"/>
    <w:rsid w:val="00D538AA"/>
    <w:rsid w:val="00D53C6F"/>
    <w:rsid w:val="00D54431"/>
    <w:rsid w:val="00D54FB3"/>
    <w:rsid w:val="00D56E28"/>
    <w:rsid w:val="00D57DD8"/>
    <w:rsid w:val="00D665E9"/>
    <w:rsid w:val="00D667E5"/>
    <w:rsid w:val="00D72F47"/>
    <w:rsid w:val="00D74139"/>
    <w:rsid w:val="00D74A68"/>
    <w:rsid w:val="00D84266"/>
    <w:rsid w:val="00D84289"/>
    <w:rsid w:val="00D863B7"/>
    <w:rsid w:val="00D86D31"/>
    <w:rsid w:val="00D904D1"/>
    <w:rsid w:val="00D90B2F"/>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063B"/>
    <w:rsid w:val="00E03D9D"/>
    <w:rsid w:val="00E1243F"/>
    <w:rsid w:val="00E14063"/>
    <w:rsid w:val="00E21F34"/>
    <w:rsid w:val="00E223F0"/>
    <w:rsid w:val="00E2381C"/>
    <w:rsid w:val="00E32568"/>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3F78"/>
    <w:rsid w:val="00F86C67"/>
    <w:rsid w:val="00FA010F"/>
    <w:rsid w:val="00FA1D6F"/>
    <w:rsid w:val="00FA210B"/>
    <w:rsid w:val="00FA455E"/>
    <w:rsid w:val="00FB4C79"/>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www.w3.org/XML/1998/namespace"/>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0d3c429c-0412-4dc9-8a4d-a7216355f179"/>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9014107F-EDBC-4E39-83BB-42EDE098F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8DB8A0-589F-4E56-A689-9CA64BAC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2017-08-17T19:30:00Z</dcterms:created>
  <dcterms:modified xsi:type="dcterms:W3CDTF">2017-08-17T19:30:00Z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