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r>
        <w:t xml:space="preserve"/>
      </w:r>
    </w:p>
    <w:p>
      <w:pPr>
        <w:spacing w:before="0" w:after="80"/>
        <w:jc w:val="center"/>
      </w:pPr>
      <w:r>
        <w:rPr>
          <w:rFonts w:ascii="Arial" w:cs="Arial" w:eastAsia="Arial" w:hAnsi="Arial"/>
          <w:color w:val="2E75B6"/>
          <w:sz w:val="24"/>
          <w:szCs w:val="24"/>
        </w:rPr>
        <w:t xml:space="preserve">VistA / CPRS</w:t>
      </w:r>
    </w:p>
    <w:p>
      <w:pPr>
        <w:spacing w:before="0" w:after="120"/>
        <w:jc w:val="center"/>
      </w:pPr>
      <w:r>
        <w:rPr>
          <w:rFonts w:ascii="Arial" w:cs="Arial" w:eastAsia="Arial" w:hAnsi="Arial"/>
          <w:b/>
          <w:bCs/>
          <w:color w:val="1F3864"/>
          <w:sz w:val="52"/>
          <w:szCs w:val="52"/>
        </w:rPr>
        <w:t xml:space="preserve">Patient Care Encounter (PCE)</w:t>
      </w:r>
    </w:p>
    <w:p>
      <w:pPr>
        <w:spacing w:before="0" w:after="480"/>
        <w:jc w:val="center"/>
      </w:pPr>
      <w:r>
        <w:rPr>
          <w:rFonts w:ascii="Arial" w:cs="Arial" w:eastAsia="Arial" w:hAnsi="Arial"/>
          <w:color w:val="595959"/>
          <w:sz w:val="24"/>
          <w:szCs w:val="24"/>
        </w:rPr>
        <w:t xml:space="preserve">Encounter Documentation in VistA/CPRS: A Developer &amp; Implementer Reference</w:t>
      </w:r>
    </w:p>
    <w:p>
      <w:pPr>
        <w:pBdr>
          <w:bottom w:val="single" w:color="2E75B6" w:sz="6" w:space="1"/>
        </w:pBdr>
        <w:spacing w:before="0" w:after="480"/>
      </w:pPr>
    </w:p>
    <w:p>
      <w:pPr>
        <w:spacing w:before="0" w:after="80"/>
        <w:jc w:val="center"/>
      </w:pPr>
      <w:r>
        <w:rPr>
          <w:rFonts w:ascii="Arial" w:cs="Arial" w:eastAsia="Arial" w:hAnsi="Arial"/>
          <w:i/>
          <w:iCs/>
          <w:color w:val="595959"/>
          <w:sz w:val="22"/>
          <w:szCs w:val="22"/>
        </w:rPr>
        <w:t xml:space="preserve">Synthesised from the VA VistA Documentation Library (VDL)</w:t>
      </w:r>
    </w:p>
    <w:p>
      <w:pPr>
        <w:spacing w:before="0" w:after="80"/>
        <w:jc w:val="center"/>
      </w:pPr>
      <w:r>
        <w:rPr>
          <w:rFonts w:ascii="Arial" w:cs="Arial" w:eastAsia="Arial" w:hAnsi="Arial"/>
          <w:color w:val="595959"/>
          <w:sz w:val="20"/>
          <w:szCs w:val="20"/>
        </w:rPr>
        <w:t xml:space="preserve">Primary sources: PCE Technical Manual (px_tm.docx), PCE User Manual (px_um.docx), CPRS User Manual — identified in VDL inventory</w:t>
      </w:r>
    </w:p>
    <w:p>
      <w:pPr>
        <w:spacing w:before="0" w:after="240"/>
        <w:jc w:val="center"/>
      </w:pPr>
      <w:r>
        <w:rPr>
          <w:rFonts w:ascii="Arial" w:cs="Arial" w:eastAsia="Arial" w:hAnsi="Arial"/>
          <w:color w:val="595959"/>
          <w:sz w:val="20"/>
          <w:szCs w:val="20"/>
        </w:rPr>
        <w:t xml:space="preserve">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9000" w:sz="4"/>
              <w:left w:val="single" w:color="BF9000" w:sz="18"/>
              <w:bottom w:val="single" w:color="BF9000" w:sz="4"/>
              <w:right w:val="single" w:color="BF9000" w:sz="4"/>
            </w:tcBorders>
            <w:shd w:fill="FFF2CC" w:val="clear"/>
            <w:tcMar>
              <w:top w:type="dxa" w:w="80"/>
              <w:left w:type="dxa" w:w="160"/>
              <w:bottom w:type="dxa" w:w="80"/>
              <w:right w:type="dxa" w:w="120"/>
            </w:tcMar>
          </w:tcPr>
          <w:p>
            <w:pPr>
              <w:spacing w:before="0" w:after="0"/>
            </w:pPr>
            <w:r>
              <w:rPr>
                <w:rFonts w:ascii="Arial" w:cs="Arial" w:eastAsia="Arial" w:hAnsi="Arial"/>
                <w:b/>
                <w:bCs/>
                <w:color w:val="BF9000"/>
                <w:sz w:val="20"/>
                <w:szCs w:val="20"/>
              </w:rPr>
              <w:t xml:space="preserve">VDL COVERAGE: </w:t>
            </w:r>
            <w:r>
              <w:rPr>
                <w:rFonts w:ascii="Arial" w:cs="Arial" w:eastAsia="Arial" w:hAnsi="Arial"/>
                <w:color w:val="4A4A4A"/>
                <w:sz w:val="20"/>
                <w:szCs w:val="20"/>
              </w:rPr>
              <w:t xml:space="preserve">PCE source documents (px_tm.docx, px_um.docx, pxqr.docx, pxumappx.docx) were identified in the VDL inventory but not fetched at time of writing. This guide is synthesised from CPRS documentation cross-references and VDL inventory metadata. Content describes the PCE package as of PX*1*241. Material should be verified against fetched source documents.</w:t>
            </w:r>
          </w:p>
        </w:tc>
      </w:tr>
    </w:tbl>
    <w:p>
      <w:pPr>
        <w:spacing w:before="0" w:after="0"/>
      </w:pPr>
      <w:r>
        <w:br w:type="page"/>
      </w:r>
    </w:p>
    <w:p>
      <w:pPr>
        <w:pStyle w:val="Heading1"/>
        <w:pBdr>
          <w:bottom w:val="single" w:color="2E75B6" w:sz="6" w:space="4"/>
        </w:pBdr>
        <w:spacing w:before="360" w:after="160"/>
      </w:pPr>
      <w:r>
        <w:rPr>
          <w:rFonts w:ascii="Arial" w:cs="Arial" w:eastAsia="Arial" w:hAnsi="Arial"/>
          <w:b/>
          <w:bCs/>
          <w:color w:val="1F3864"/>
          <w:sz w:val="32"/>
          <w:szCs w:val="32"/>
        </w:rPr>
        <w:t xml:space="preserve">1. What PCE Is and Why It Exists</w:t>
      </w:r>
    </w:p>
    <w:p>
      <w:pPr>
        <w:spacing w:before="60" w:after="100"/>
      </w:pPr>
      <w:r>
        <w:rPr>
          <w:rFonts w:ascii="Arial" w:cs="Arial" w:eastAsia="Arial" w:hAnsi="Arial"/>
          <w:color w:val="595959"/>
          <w:sz w:val="22"/>
          <w:szCs w:val="22"/>
        </w:rPr>
        <w:t xml:space="preserve">Patient Care Encounter (PCE) is the VistA package responsible for capturing structured clinical encounter data at the point of care. Its package namespace is PX, its current version is PX*1.0, and its primary patch line runs through PX*1*241 and later.</w:t>
      </w:r>
    </w:p>
    <w:p>
      <w:pPr>
        <w:spacing w:before="80" w:after="0"/>
      </w:pPr>
      <w:r>
        <w:t xml:space="preserve"/>
      </w:r>
    </w:p>
    <w:p>
      <w:pPr>
        <w:spacing w:before="60" w:after="100"/>
      </w:pPr>
      <w:r>
        <w:rPr>
          <w:rFonts w:ascii="Arial" w:cs="Arial" w:eastAsia="Arial" w:hAnsi="Arial"/>
          <w:color w:val="595959"/>
          <w:sz w:val="22"/>
          <w:szCs w:val="22"/>
        </w:rPr>
        <w:t xml:space="preserve">PCE exists to answer a question that the clinical documentation packages (TIU for progress notes, PSO for pharmacy orders) do not answer: what happened during this specific visit? PCE records the clinical context of a visit — who the patient saw, why they came, what was diagnosed, what procedures were performed, and whether preventive care (immunisations, patient education, skin tests) was delivered.</w:t>
      </w:r>
    </w:p>
    <w:p>
      <w:pPr>
        <w:spacing w:before="80" w:after="0"/>
      </w:pPr>
      <w:r>
        <w:t xml:space="preserve"/>
      </w:r>
    </w:p>
    <w:p>
      <w:pPr>
        <w:spacing w:before="60" w:after="100"/>
      </w:pPr>
      <w:r>
        <w:rPr>
          <w:rFonts w:ascii="Arial" w:cs="Arial" w:eastAsia="Arial" w:hAnsi="Arial"/>
          <w:color w:val="595959"/>
          <w:sz w:val="22"/>
          <w:szCs w:val="22"/>
        </w:rPr>
        <w:t xml:space="preserve">This data serves multiple downstream purposes: workload reporting for VA resource allocation, performance measure calculation, clinical reminder resolution, and the Ambulatory Care Reporting Program (ACRP) mandated data feeds.</w:t>
      </w:r>
    </w:p>
    <w:p>
      <w:pPr>
        <w:spacing w:before="80" w:after="0"/>
      </w:pPr>
      <w:r>
        <w:t xml:space="preserve"/>
      </w:r>
    </w:p>
    <w:p>
      <w:pPr>
        <w:pStyle w:val="Heading2"/>
        <w:spacing w:before="280" w:after="120"/>
      </w:pPr>
      <w:r>
        <w:rPr>
          <w:rFonts w:ascii="Arial" w:cs="Arial" w:eastAsia="Arial" w:hAnsi="Arial"/>
          <w:b/>
          <w:bCs/>
          <w:color w:val="2E75B6"/>
          <w:sz w:val="26"/>
          <w:szCs w:val="26"/>
        </w:rPr>
        <w:t xml:space="preserve">1.1 PCE vs. Other Documentation Packages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Package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What It Records</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Relationship to PCE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bCs/>
                <w:color w:val="1F1F1F"/>
                <w:sz w:val="20"/>
                <w:szCs w:val="20"/>
              </w:rPr>
              <w:t xml:space="preserve">PCE (PX*1)</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Structured encounter data: diagnoses (ICD), CPT procedures, providers, immunisations, education, skin tests, health factors</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Authoritative source for encounter-level structured data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F1F1F"/>
                <w:sz w:val="20"/>
                <w:szCs w:val="20"/>
              </w:rPr>
              <w:t xml:space="preserve">TIU (TIU*1)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Free-text clinical documents: progress notes, discharge summaries, consult results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TIU documents are associated with a PCE visit via the VISIT file (#9000010). One visit can have many TIU documents; one TIU document points to one visit.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bCs/>
                <w:color w:val="1F1F1F"/>
                <w:sz w:val="20"/>
                <w:szCs w:val="20"/>
              </w:rPr>
              <w:t xml:space="preserve">Scheduling (SD*5.3)</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Appointment data: scheduled clinic, stop codes, check-in/out times, no-show status</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A scheduled appointment creates a visit stub in PCE's VISIT file when the patient is checked in. PCE data is attached to this stub.</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F1F1F"/>
                <w:sz w:val="20"/>
                <w:szCs w:val="20"/>
              </w:rPr>
              <w:t xml:space="preserve">Problem List (GMPL*2)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Longitudinal problem list: active/inactive diagnoses coded with ICD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Problems are separate from encounter diagnoses. PCE records the ICD codes used to justify this visit; GMPL maintains the ongoing problem list. They can overlap but are independently maintained.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bCs/>
                <w:color w:val="1F1F1F"/>
                <w:sz w:val="20"/>
                <w:szCs w:val="20"/>
              </w:rPr>
              <w:t xml:space="preserve">Clinical Reminders (PXRM*2)</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Reminder definitions, resolution criteria, reminder dialogs</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Clinical Reminders resolves reminders based on PCE encounter data. A health factor, immunisation, or diagnosis documented in PCE can satisfy a reminder. This is the primary integration point.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F1F1F"/>
                <w:sz w:val="20"/>
                <w:szCs w:val="20"/>
              </w:rPr>
              <w:t xml:space="preserve">Health Summary (GMTS*2.7)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Configurable patient summary templates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Health Summary includes a PCE encounter component (SCE: Selected Clinical Encounters) that retrieves PCE visit data for display in CPRS Reports.</w:t>
            </w:r>
          </w:p>
        </w:tc>
      </w:tr>
    </w:tbl>
    <w:p>
      <w:pPr>
        <w:spacing w:before="0" w:after="0"/>
      </w:pPr>
      <w:r>
        <w:br w:type="page"/>
      </w:r>
    </w:p>
    <w:p>
      <w:pPr>
        <w:pStyle w:val="Heading1"/>
        <w:pBdr>
          <w:bottom w:val="single" w:color="2E75B6" w:sz="6" w:space="4"/>
        </w:pBdr>
        <w:spacing w:before="360" w:after="160"/>
      </w:pPr>
      <w:r>
        <w:rPr>
          <w:rFonts w:ascii="Arial" w:cs="Arial" w:eastAsia="Arial" w:hAnsi="Arial"/>
          <w:b/>
          <w:bCs/>
          <w:color w:val="1F3864"/>
          <w:sz w:val="32"/>
          <w:szCs w:val="32"/>
        </w:rPr>
        <w:t xml:space="preserve">2. PCE Data Model</w:t>
      </w:r>
    </w:p>
    <w:p>
      <w:pPr>
        <w:spacing w:before="60" w:after="100"/>
      </w:pPr>
      <w:r>
        <w:rPr>
          <w:rFonts w:ascii="Arial" w:cs="Arial" w:eastAsia="Arial" w:hAnsi="Arial"/>
          <w:color w:val="595959"/>
          <w:sz w:val="22"/>
          <w:szCs w:val="22"/>
        </w:rPr>
        <w:t xml:space="preserve">PCE is built around a single organising concept: the Visit. Every piece of PCE data is anchored to a Visit entry in VistA file #9000010 (VISIT). Understanding the Visit file is prerequisite to understanding PCE's data model and its relationships to CPRS.</w:t>
      </w:r>
    </w:p>
    <w:p>
      <w:pPr>
        <w:spacing w:before="80" w:after="0"/>
      </w:pPr>
      <w:r>
        <w:t xml:space="preserve"/>
      </w:r>
    </w:p>
    <w:p>
      <w:pPr>
        <w:pStyle w:val="Heading2"/>
        <w:spacing w:before="280" w:after="120"/>
      </w:pPr>
      <w:r>
        <w:rPr>
          <w:rFonts w:ascii="Arial" w:cs="Arial" w:eastAsia="Arial" w:hAnsi="Arial"/>
          <w:b/>
          <w:bCs/>
          <w:color w:val="2E75B6"/>
          <w:sz w:val="26"/>
          <w:szCs w:val="26"/>
        </w:rPr>
        <w:t xml:space="preserve">2.1 The VISIT File (#9000010)</w:t>
      </w:r>
    </w:p>
    <w:p>
      <w:pPr>
        <w:spacing w:before="60" w:after="100"/>
      </w:pPr>
      <w:r>
        <w:rPr>
          <w:rFonts w:ascii="Arial" w:cs="Arial" w:eastAsia="Arial" w:hAnsi="Arial"/>
          <w:color w:val="595959"/>
          <w:sz w:val="22"/>
          <w:szCs w:val="22"/>
        </w:rPr>
        <w:t xml:space="preserve">A Visit represents a single clinical encounter between a patient and the VA healthcare system. Key Visit attributes:</w:t>
      </w:r>
    </w:p>
    <w:p>
      <w:pPr>
        <w:spacing w:before="80" w:after="0"/>
      </w:pPr>
      <w:r>
        <w:t xml:space="preserve"/>
      </w:r>
    </w:p>
    <w:p>
      <w:pPr>
        <w:pStyle w:val="ListParagraph"/>
        <w:numPr>
          <w:ilvl w:val="0"/>
          <w:numId w:val="2"/>
        </w:numPr>
        <w:spacing w:before="40" w:after="40"/>
      </w:pPr>
      <w:r>
        <w:rPr>
          <w:rFonts w:ascii="Arial" w:cs="Arial" w:eastAsia="Arial" w:hAnsi="Arial"/>
          <w:color w:val="595959"/>
          <w:sz w:val="22"/>
          <w:szCs w:val="22"/>
        </w:rPr>
        <w:t xml:space="preserve">Patient (pointer to PATIENT file #2)</w:t>
      </w:r>
    </w:p>
    <w:p>
      <w:pPr>
        <w:pStyle w:val="ListParagraph"/>
        <w:numPr>
          <w:ilvl w:val="0"/>
          <w:numId w:val="2"/>
        </w:numPr>
        <w:spacing w:before="40" w:after="40"/>
      </w:pPr>
      <w:r>
        <w:rPr>
          <w:rFonts w:ascii="Arial" w:cs="Arial" w:eastAsia="Arial" w:hAnsi="Arial"/>
          <w:color w:val="595959"/>
          <w:sz w:val="22"/>
          <w:szCs w:val="22"/>
        </w:rPr>
        <w:t xml:space="preserve">Visit/Admit Date &amp; Time</w:t>
      </w:r>
    </w:p>
    <w:p>
      <w:pPr>
        <w:pStyle w:val="ListParagraph"/>
        <w:numPr>
          <w:ilvl w:val="0"/>
          <w:numId w:val="2"/>
        </w:numPr>
        <w:spacing w:before="40" w:after="40"/>
      </w:pPr>
      <w:r>
        <w:rPr>
          <w:rFonts w:ascii="Arial" w:cs="Arial" w:eastAsia="Arial" w:hAnsi="Arial"/>
          <w:color w:val="595959"/>
          <w:sz w:val="22"/>
          <w:szCs w:val="22"/>
        </w:rPr>
        <w:t xml:space="preserve">Location (pointer to Hospital Location file #44 — the clinic)</w:t>
      </w:r>
    </w:p>
    <w:p>
      <w:pPr>
        <w:pStyle w:val="ListParagraph"/>
        <w:numPr>
          <w:ilvl w:val="0"/>
          <w:numId w:val="2"/>
        </w:numPr>
        <w:spacing w:before="40" w:after="40"/>
      </w:pPr>
      <w:r>
        <w:rPr>
          <w:rFonts w:ascii="Arial" w:cs="Arial" w:eastAsia="Arial" w:hAnsi="Arial"/>
          <w:color w:val="595959"/>
          <w:sz w:val="22"/>
          <w:szCs w:val="22"/>
        </w:rPr>
        <w:t xml:space="preserve">Service Category: A=Ambulatory, T=Telephone, C=Chart Review, E=Event, H=Hospitalization, I=In Hospital, N=Not Found, O=Observation, R=Nursing Home, S=Day Surgery, X=Ancillary</w:t>
      </w:r>
    </w:p>
    <w:p>
      <w:pPr>
        <w:pStyle w:val="ListParagraph"/>
        <w:numPr>
          <w:ilvl w:val="0"/>
          <w:numId w:val="2"/>
        </w:numPr>
        <w:spacing w:before="40" w:after="40"/>
      </w:pPr>
      <w:r>
        <w:rPr>
          <w:rFonts w:ascii="Arial" w:cs="Arial" w:eastAsia="Arial" w:hAnsi="Arial"/>
          <w:color w:val="595959"/>
          <w:sz w:val="22"/>
          <w:szCs w:val="22"/>
        </w:rPr>
        <w:t xml:space="preserve">Type: E=Event, P=Hospitalization (for inpatient PCE)</w:t>
      </w:r>
    </w:p>
    <w:p>
      <w:pPr>
        <w:pStyle w:val="ListParagraph"/>
        <w:numPr>
          <w:ilvl w:val="0"/>
          <w:numId w:val="2"/>
        </w:numPr>
        <w:spacing w:before="40" w:after="40"/>
      </w:pPr>
      <w:r>
        <w:rPr>
          <w:rFonts w:ascii="Arial" w:cs="Arial" w:eastAsia="Arial" w:hAnsi="Arial"/>
          <w:color w:val="595959"/>
          <w:sz w:val="22"/>
          <w:szCs w:val="22"/>
        </w:rPr>
        <w:t xml:space="preserve">Patient Class: Outpatient or Inpatient</w:t>
      </w:r>
    </w:p>
    <w:p>
      <w:pPr>
        <w:pStyle w:val="ListParagraph"/>
        <w:numPr>
          <w:ilvl w:val="0"/>
          <w:numId w:val="2"/>
        </w:numPr>
        <w:spacing w:before="40" w:after="40"/>
      </w:pPr>
      <w:r>
        <w:rPr>
          <w:rFonts w:ascii="Arial" w:cs="Arial" w:eastAsia="Arial" w:hAnsi="Arial"/>
          <w:color w:val="595959"/>
          <w:sz w:val="22"/>
          <w:szCs w:val="22"/>
        </w:rPr>
        <w:t xml:space="preserve">Primary Stop Code and Secondary Stop Code (DSS workload reporting)</w:t>
      </w:r>
    </w:p>
    <w:p>
      <w:pPr>
        <w:pStyle w:val="ListParagraph"/>
        <w:numPr>
          <w:ilvl w:val="0"/>
          <w:numId w:val="2"/>
        </w:numPr>
        <w:spacing w:before="40" w:after="40"/>
      </w:pPr>
      <w:r>
        <w:rPr>
          <w:rFonts w:ascii="Arial" w:cs="Arial" w:eastAsia="Arial" w:hAnsi="Arial"/>
          <w:color w:val="595959"/>
          <w:sz w:val="22"/>
          <w:szCs w:val="22"/>
        </w:rPr>
        <w:t xml:space="preserve">Providers: attending, primary, other (each as a separate sub-file entry)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9000" w:sz="4"/>
              <w:left w:val="single" w:color="BF9000" w:sz="18"/>
              <w:bottom w:val="single" w:color="BF9000" w:sz="4"/>
              <w:right w:val="single" w:color="BF9000" w:sz="4"/>
            </w:tcBorders>
            <w:shd w:fill="FFF2CC" w:val="clear"/>
            <w:tcMar>
              <w:top w:type="dxa" w:w="80"/>
              <w:left w:type="dxa" w:w="160"/>
              <w:bottom w:type="dxa" w:w="80"/>
              <w:right w:type="dxa" w:w="120"/>
            </w:tcMar>
          </w:tcPr>
          <w:p>
            <w:pPr>
              <w:spacing w:before="0" w:after="0"/>
            </w:pPr>
            <w:r>
              <w:rPr>
                <w:rFonts w:ascii="Arial" w:cs="Arial" w:eastAsia="Arial" w:hAnsi="Arial"/>
                <w:b/>
                <w:bCs/>
                <w:color w:val="BF9000"/>
                <w:sz w:val="20"/>
                <w:szCs w:val="20"/>
              </w:rPr>
              <w:t xml:space="preserve">NOTE: </w:t>
            </w:r>
            <w:r>
              <w:rPr>
                <w:rFonts w:ascii="Arial" w:cs="Arial" w:eastAsia="Arial" w:hAnsi="Arial"/>
                <w:color w:val="4A4A4A"/>
                <w:sz w:val="20"/>
                <w:szCs w:val="20"/>
              </w:rPr>
              <w:t xml:space="preserve">Service Category is critical for reporting. A=Ambulatory is the most common for outpatient visits. Telephone encounters (T) and Chart Reviews (C) generate PCE data but are not counted as face-to-face visits for most workload measures. Implementers should verify that the correct Service Category is being set by the encounter form configuration.</w:t>
            </w:r>
          </w:p>
        </w:tc>
      </w:tr>
    </w:tbl>
    <w:p>
      <w:pPr>
        <w:spacing w:before="80" w:after="0"/>
      </w:pPr>
      <w:r>
        <w:t xml:space="preserve"/>
      </w:r>
    </w:p>
    <w:p>
      <w:pPr>
        <w:pStyle w:val="Heading2"/>
        <w:spacing w:before="280" w:after="120"/>
      </w:pPr>
      <w:r>
        <w:rPr>
          <w:rFonts w:ascii="Arial" w:cs="Arial" w:eastAsia="Arial" w:hAnsi="Arial"/>
          <w:b/>
          <w:bCs/>
          <w:color w:val="2E75B6"/>
          <w:sz w:val="26"/>
          <w:szCs w:val="26"/>
        </w:rPr>
        <w:t xml:space="preserve">2.2 PCE Sub-Files: What Is Documented Per Visit</w:t>
      </w:r>
    </w:p>
    <w:p>
      <w:pPr>
        <w:spacing w:before="60" w:after="100"/>
      </w:pPr>
      <w:r>
        <w:rPr>
          <w:rFonts w:ascii="Arial" w:cs="Arial" w:eastAsia="Arial" w:hAnsi="Arial"/>
          <w:color w:val="595959"/>
          <w:sz w:val="22"/>
          <w:szCs w:val="22"/>
        </w:rPr>
        <w:t xml:space="preserve">Attached to each VISIT entry are multiple sub-files, each capturing a distinct type of encounter data. These are the core PCE data elements:</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Data Element</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File #</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What Is Captured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bCs/>
                <w:color w:val="1F1F1F"/>
                <w:sz w:val="20"/>
                <w:szCs w:val="20"/>
              </w:rPr>
              <w:t xml:space="preserve">Visit Diagnosis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#9000010.07</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ICD-9/ICD-10 diagnosis codes for this visit. Not the same as the Problem List. Each diagnosis has a Primary/Secondary flag, a Cause of DX (provider assessment vs. referral), and a pointer to the POV (Purpose of Visit) entry. Multiple diagnoses per visit allowed.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F1F1F"/>
                <w:sz w:val="20"/>
                <w:szCs w:val="20"/>
              </w:rPr>
              <w:t xml:space="preserve">Visit Procedure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#9000010.08</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CPT (procedure) codes documented for this visit. Provider, quantity, modifiers captured. Required for ACRP workload reporting. Procedure codes determine DSS stop code assignment in many cases.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bCs/>
                <w:color w:val="1F1F1F"/>
                <w:sz w:val="20"/>
                <w:szCs w:val="20"/>
              </w:rPr>
              <w:t xml:space="preserve">Provider</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#9000010.06</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All clinical providers involved in the visit. Primary provider designation required. Co-providers (nurses, students, residents) recorded separately. Provider's role and time documented.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F1F1F"/>
                <w:sz w:val="20"/>
                <w:szCs w:val="20"/>
              </w:rPr>
              <w:t xml:space="preserve">Immunisation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#9000010.11</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Vaccines administered during the visit. Immunisation name (pointer to IMMUNIZATION file #9999999.14), lot number, route, site, VIS date. Required for national immunisation registry reporting.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bCs/>
                <w:color w:val="1F1F1F"/>
                <w:sz w:val="20"/>
                <w:szCs w:val="20"/>
              </w:rPr>
              <w:t xml:space="preserve">Skin Test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#9000010.12</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TB skin tests (PPD), CoK, Histoplasmin. Result, reading date, result magnitude recorded. Separate from immunisations.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F1F1F"/>
                <w:sz w:val="20"/>
                <w:szCs w:val="20"/>
              </w:rPr>
              <w:t xml:space="preserve">Patient Education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#9000010.16</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Health education topics covered with the patient. Topic (pointer to EDUCATION TOPICS file), level of understanding, provider. Supports health education performance measures.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bCs/>
                <w:color w:val="1F1F1F"/>
                <w:sz w:val="20"/>
                <w:szCs w:val="20"/>
              </w:rPr>
              <w:t xml:space="preserve">Health Factor</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#9000010.23</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Coded clinical observations not captured by ICD/CPT: smoking status, alcohol use, BMI category, fall risk, advance directive completion, etc. Health Factors are defined locally and nationally. Key input to Clinical Reminders.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F1F1F"/>
                <w:sz w:val="20"/>
                <w:szCs w:val="20"/>
              </w:rPr>
              <w:t xml:space="preserve">Exam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#9000010.13</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Physical examination findings. Exam type and result (normal/abnormal/not done). Used by some Clinical Reminders and performance measures.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bCs/>
                <w:color w:val="1F1F1F"/>
                <w:sz w:val="20"/>
                <w:szCs w:val="20"/>
              </w:rPr>
              <w:t xml:space="preserve">Treatment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#9000010.18</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Non-CPT treatments administered (e.g., wound care, IV fluids). Less commonly used than CPT coding.</w:t>
            </w:r>
          </w:p>
        </w:tc>
      </w:tr>
    </w:tbl>
    <w:p>
      <w:pPr>
        <w:spacing w:before="160" w:after="0"/>
      </w:pPr>
      <w:r>
        <w:t xml:space="preserve"/>
      </w:r>
    </w:p>
    <w:p>
      <w:pPr>
        <w:pStyle w:val="Heading2"/>
        <w:spacing w:before="280" w:after="120"/>
      </w:pPr>
      <w:r>
        <w:rPr>
          <w:rFonts w:ascii="Arial" w:cs="Arial" w:eastAsia="Arial" w:hAnsi="Arial"/>
          <w:b/>
          <w:bCs/>
          <w:color w:val="2E75B6"/>
          <w:sz w:val="26"/>
          <w:szCs w:val="26"/>
        </w:rPr>
        <w:t xml:space="preserve">2.3 ICD-10 Compliance</w:t>
      </w:r>
    </w:p>
    <w:p>
      <w:pPr>
        <w:spacing w:before="60" w:after="100"/>
      </w:pPr>
      <w:r>
        <w:rPr>
          <w:rFonts w:ascii="Arial" w:cs="Arial" w:eastAsia="Arial" w:hAnsi="Arial"/>
          <w:color w:val="595959"/>
          <w:sz w:val="22"/>
          <w:szCs w:val="22"/>
        </w:rPr>
        <w:t xml:space="preserve">PCE was updated for ICD-10 compliance via PX*1*199 (ICD-10 Release Notes: px_1_p199_rn.docx in VDL). As of the ICD-10 implementation date (October 1, 2015), all new Visit Diagnosis entries use ICD-10-CM codes. Historical entries coded under ICD-9 are preserved as-is. The PCE package supports dual display of ICD-9 and ICD-10 for historical record review.</w:t>
      </w:r>
    </w:p>
    <w:p>
      <w:pPr>
        <w:spacing w:before="0" w:after="0"/>
      </w:pPr>
      <w:r>
        <w:br w:type="page"/>
      </w:r>
    </w:p>
    <w:p>
      <w:pPr>
        <w:pStyle w:val="Heading1"/>
        <w:pBdr>
          <w:bottom w:val="single" w:color="2E75B6" w:sz="6" w:space="4"/>
        </w:pBdr>
        <w:spacing w:before="360" w:after="160"/>
      </w:pPr>
      <w:r>
        <w:rPr>
          <w:rFonts w:ascii="Arial" w:cs="Arial" w:eastAsia="Arial" w:hAnsi="Arial"/>
          <w:b/>
          <w:bCs/>
          <w:color w:val="1F3864"/>
          <w:sz w:val="32"/>
          <w:szCs w:val="32"/>
        </w:rPr>
        <w:t xml:space="preserve">3. How Encounter Data Is Entered in CPRS</w:t>
      </w:r>
    </w:p>
    <w:p>
      <w:pPr>
        <w:spacing w:before="60" w:after="100"/>
      </w:pPr>
      <w:r>
        <w:rPr>
          <w:rFonts w:ascii="Arial" w:cs="Arial" w:eastAsia="Arial" w:hAnsi="Arial"/>
          <w:color w:val="595959"/>
          <w:sz w:val="22"/>
          <w:szCs w:val="22"/>
        </w:rPr>
        <w:t xml:space="preserve">PCE data is not entered directly through a dedicated PCE screen in the CPRS GUI. Instead, PCE data entry is integrated into the clinical workflow at several points. Understanding these entry points is essential for implementers configuring encounter documentation.</w:t>
      </w:r>
    </w:p>
    <w:p>
      <w:pPr>
        <w:spacing w:before="80" w:after="0"/>
      </w:pPr>
      <w:r>
        <w:t xml:space="preserve"/>
      </w:r>
    </w:p>
    <w:p>
      <w:pPr>
        <w:pStyle w:val="Heading2"/>
        <w:spacing w:before="280" w:after="120"/>
      </w:pPr>
      <w:r>
        <w:rPr>
          <w:rFonts w:ascii="Arial" w:cs="Arial" w:eastAsia="Arial" w:hAnsi="Arial"/>
          <w:b/>
          <w:bCs/>
          <w:color w:val="2E75B6"/>
          <w:sz w:val="26"/>
          <w:szCs w:val="26"/>
        </w:rPr>
        <w:t xml:space="preserve">3.1 The Encounter Form (Primary Entry Point)</w:t>
      </w:r>
    </w:p>
    <w:p>
      <w:pPr>
        <w:spacing w:before="60" w:after="100"/>
      </w:pPr>
      <w:r>
        <w:rPr>
          <w:rFonts w:ascii="Arial" w:cs="Arial" w:eastAsia="Arial" w:hAnsi="Arial"/>
          <w:color w:val="595959"/>
          <w:sz w:val="22"/>
          <w:szCs w:val="22"/>
        </w:rPr>
        <w:t xml:space="preserve">The primary PCE data entry interface in CPRS is the Encounter Form, accessible via the Encounter button in the CPRS toolbar or the Tools menu. The Encounter Form presents a structured dialog for entering:</w:t>
      </w:r>
    </w:p>
    <w:p>
      <w:pPr>
        <w:spacing w:before="80" w:after="0"/>
      </w:pPr>
      <w:r>
        <w:t xml:space="preserve"/>
      </w:r>
    </w:p>
    <w:p>
      <w:pPr>
        <w:pStyle w:val="ListParagraph"/>
        <w:numPr>
          <w:ilvl w:val="0"/>
          <w:numId w:val="2"/>
        </w:numPr>
        <w:spacing w:before="40" w:after="40"/>
      </w:pPr>
      <w:r>
        <w:rPr>
          <w:rFonts w:ascii="Arial" w:cs="Arial" w:eastAsia="Arial" w:hAnsi="Arial"/>
          <w:color w:val="595959"/>
          <w:sz w:val="22"/>
          <w:szCs w:val="22"/>
        </w:rPr>
        <w:t xml:space="preserve">Visit date and location (if not automatically set from scheduling)</w:t>
      </w:r>
    </w:p>
    <w:p>
      <w:pPr>
        <w:pStyle w:val="ListParagraph"/>
        <w:numPr>
          <w:ilvl w:val="0"/>
          <w:numId w:val="2"/>
        </w:numPr>
        <w:spacing w:before="40" w:after="40"/>
      </w:pPr>
      <w:r>
        <w:rPr>
          <w:rFonts w:ascii="Arial" w:cs="Arial" w:eastAsia="Arial" w:hAnsi="Arial"/>
          <w:color w:val="595959"/>
          <w:sz w:val="22"/>
          <w:szCs w:val="22"/>
        </w:rPr>
        <w:t xml:space="preserve">Service category (ambulatory, telephone, etc.)</w:t>
      </w:r>
    </w:p>
    <w:p>
      <w:pPr>
        <w:pStyle w:val="ListParagraph"/>
        <w:numPr>
          <w:ilvl w:val="0"/>
          <w:numId w:val="2"/>
        </w:numPr>
        <w:spacing w:before="40" w:after="40"/>
      </w:pPr>
      <w:r>
        <w:rPr>
          <w:rFonts w:ascii="Arial" w:cs="Arial" w:eastAsia="Arial" w:hAnsi="Arial"/>
          <w:color w:val="595959"/>
          <w:sz w:val="22"/>
          <w:szCs w:val="22"/>
        </w:rPr>
        <w:t xml:space="preserve">Providers (primary and additional)</w:t>
      </w:r>
    </w:p>
    <w:p>
      <w:pPr>
        <w:pStyle w:val="ListParagraph"/>
        <w:numPr>
          <w:ilvl w:val="0"/>
          <w:numId w:val="2"/>
        </w:numPr>
        <w:spacing w:before="40" w:after="40"/>
      </w:pPr>
      <w:r>
        <w:rPr>
          <w:rFonts w:ascii="Arial" w:cs="Arial" w:eastAsia="Arial" w:hAnsi="Arial"/>
          <w:color w:val="595959"/>
          <w:sz w:val="22"/>
          <w:szCs w:val="22"/>
        </w:rPr>
        <w:t xml:space="preserve">Diagnoses (ICD-10 codes, with search and favourites)</w:t>
      </w:r>
    </w:p>
    <w:p>
      <w:pPr>
        <w:pStyle w:val="ListParagraph"/>
        <w:numPr>
          <w:ilvl w:val="0"/>
          <w:numId w:val="2"/>
        </w:numPr>
        <w:spacing w:before="40" w:after="40"/>
      </w:pPr>
      <w:r>
        <w:rPr>
          <w:rFonts w:ascii="Arial" w:cs="Arial" w:eastAsia="Arial" w:hAnsi="Arial"/>
          <w:color w:val="595959"/>
          <w:sz w:val="22"/>
          <w:szCs w:val="22"/>
        </w:rPr>
        <w:t xml:space="preserve">Procedures (CPT codes)</w:t>
      </w:r>
    </w:p>
    <w:p>
      <w:pPr>
        <w:pStyle w:val="ListParagraph"/>
        <w:numPr>
          <w:ilvl w:val="0"/>
          <w:numId w:val="2"/>
        </w:numPr>
        <w:spacing w:before="40" w:after="40"/>
      </w:pPr>
      <w:r>
        <w:rPr>
          <w:rFonts w:ascii="Arial" w:cs="Arial" w:eastAsia="Arial" w:hAnsi="Arial"/>
          <w:color w:val="595959"/>
          <w:sz w:val="22"/>
          <w:szCs w:val="22"/>
        </w:rPr>
        <w:t xml:space="preserve">Immunisations administered</w:t>
      </w:r>
    </w:p>
    <w:p>
      <w:pPr>
        <w:pStyle w:val="ListParagraph"/>
        <w:numPr>
          <w:ilvl w:val="0"/>
          <w:numId w:val="2"/>
        </w:numPr>
        <w:spacing w:before="40" w:after="40"/>
      </w:pPr>
      <w:r>
        <w:rPr>
          <w:rFonts w:ascii="Arial" w:cs="Arial" w:eastAsia="Arial" w:hAnsi="Arial"/>
          <w:color w:val="595959"/>
          <w:sz w:val="22"/>
          <w:szCs w:val="22"/>
        </w:rPr>
        <w:t xml:space="preserve">Patient education provided</w:t>
      </w:r>
    </w:p>
    <w:p>
      <w:pPr>
        <w:pStyle w:val="ListParagraph"/>
        <w:numPr>
          <w:ilvl w:val="0"/>
          <w:numId w:val="2"/>
        </w:numPr>
        <w:spacing w:before="40" w:after="40"/>
      </w:pPr>
      <w:r>
        <w:rPr>
          <w:rFonts w:ascii="Arial" w:cs="Arial" w:eastAsia="Arial" w:hAnsi="Arial"/>
          <w:color w:val="595959"/>
          <w:sz w:val="22"/>
          <w:szCs w:val="22"/>
        </w:rPr>
        <w:t xml:space="preserve">Health factors documented</w:t>
      </w:r>
    </w:p>
    <w:p>
      <w:pPr>
        <w:pStyle w:val="ListParagraph"/>
        <w:numPr>
          <w:ilvl w:val="0"/>
          <w:numId w:val="2"/>
        </w:numPr>
        <w:spacing w:before="40" w:after="40"/>
      </w:pPr>
      <w:r>
        <w:rPr>
          <w:rFonts w:ascii="Arial" w:cs="Arial" w:eastAsia="Arial" w:hAnsi="Arial"/>
          <w:color w:val="595959"/>
          <w:sz w:val="22"/>
          <w:szCs w:val="22"/>
        </w:rPr>
        <w:t xml:space="preserve">Skin tests</w:t>
      </w:r>
    </w:p>
    <w:p>
      <w:pPr>
        <w:spacing w:before="80" w:after="0"/>
      </w:pPr>
      <w:r>
        <w:t xml:space="preserve"/>
      </w:r>
    </w:p>
    <w:p>
      <w:pPr>
        <w:spacing w:before="60" w:after="100"/>
      </w:pPr>
      <w:r>
        <w:rPr>
          <w:rFonts w:ascii="Arial" w:cs="Arial" w:eastAsia="Arial" w:hAnsi="Arial"/>
          <w:color w:val="595959"/>
          <w:sz w:val="22"/>
          <w:szCs w:val="22"/>
        </w:rPr>
        <w:t xml:space="preserve">The Encounter Form is configurable at the site level. Encounter Form configuration determines which data elements are required vs. optional, which diagnosis and procedure codes appear in site-configured pick lists, and whether the form auto-populates from scheduled appointment data.</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9000" w:sz="4"/>
              <w:left w:val="single" w:color="BF9000" w:sz="18"/>
              <w:bottom w:val="single" w:color="BF9000" w:sz="4"/>
              <w:right w:val="single" w:color="BF9000" w:sz="4"/>
            </w:tcBorders>
            <w:shd w:fill="FFF2CC" w:val="clear"/>
            <w:tcMar>
              <w:top w:type="dxa" w:w="80"/>
              <w:left w:type="dxa" w:w="160"/>
              <w:bottom w:type="dxa" w:w="80"/>
              <w:right w:type="dxa" w:w="120"/>
            </w:tcMar>
          </w:tcPr>
          <w:p>
            <w:pPr>
              <w:spacing w:before="0" w:after="0"/>
            </w:pPr>
            <w:r>
              <w:rPr>
                <w:rFonts w:ascii="Arial" w:cs="Arial" w:eastAsia="Arial" w:hAnsi="Arial"/>
                <w:b/>
                <w:bCs/>
                <w:color w:val="BF9000"/>
                <w:sz w:val="20"/>
                <w:szCs w:val="20"/>
              </w:rPr>
              <w:t xml:space="preserve">NOTE: </w:t>
            </w:r>
            <w:r>
              <w:rPr>
                <w:rFonts w:ascii="Arial" w:cs="Arial" w:eastAsia="Arial" w:hAnsi="Arial"/>
                <w:color w:val="4A4A4A"/>
                <w:sz w:val="20"/>
                <w:szCs w:val="20"/>
              </w:rPr>
              <w:t xml:space="preserve">The Encounter Form requires that a CPRS encounter (Visit) context be established before clinical notes can be signed in many CPRS configurations. Sites configure ORWPCE REQUIRE PROVIDER as a key parameter controlling whether provider documentation on the encounter is mandatory before note signing.</w:t>
            </w:r>
          </w:p>
        </w:tc>
      </w:tr>
    </w:tbl>
    <w:p>
      <w:pPr>
        <w:spacing w:before="80" w:after="0"/>
      </w:pPr>
      <w:r>
        <w:t xml:space="preserve"/>
      </w:r>
    </w:p>
    <w:p>
      <w:pPr>
        <w:pStyle w:val="Heading2"/>
        <w:spacing w:before="280" w:after="120"/>
      </w:pPr>
      <w:r>
        <w:rPr>
          <w:rFonts w:ascii="Arial" w:cs="Arial" w:eastAsia="Arial" w:hAnsi="Arial"/>
          <w:b/>
          <w:bCs/>
          <w:color w:val="2E75B6"/>
          <w:sz w:val="26"/>
          <w:szCs w:val="26"/>
        </w:rPr>
        <w:t xml:space="preserve">3.2 Clinical Reminder Dialogs (Secondary Entry Point)</w:t>
      </w:r>
    </w:p>
    <w:p>
      <w:pPr>
        <w:spacing w:before="60" w:after="100"/>
      </w:pPr>
      <w:r>
        <w:rPr>
          <w:rFonts w:ascii="Arial" w:cs="Arial" w:eastAsia="Arial" w:hAnsi="Arial"/>
          <w:color w:val="595959"/>
          <w:sz w:val="22"/>
          <w:szCs w:val="22"/>
        </w:rPr>
        <w:t xml:space="preserve">Clinical Reminder dialogs are a major secondary PCE data entry point. When a clinician resolves a Clinical Reminder through the CPRS Reminders drawer or the Coversheet reminders pane, the reminder dialog can automatically generate PCE encounter data as part of the resolution.</w:t>
      </w:r>
    </w:p>
    <w:p>
      <w:pPr>
        <w:spacing w:before="80" w:after="0"/>
      </w:pPr>
      <w:r>
        <w:t xml:space="preserve"/>
      </w:r>
    </w:p>
    <w:p>
      <w:pPr>
        <w:spacing w:before="60" w:after="100"/>
      </w:pPr>
      <w:r>
        <w:rPr>
          <w:rFonts w:ascii="Arial" w:cs="Arial" w:eastAsia="Arial" w:hAnsi="Arial"/>
          <w:color w:val="595959"/>
          <w:sz w:val="22"/>
          <w:szCs w:val="22"/>
        </w:rPr>
        <w:t xml:space="preserve">A single reminder dialog resolution can simultaneously:</w:t>
      </w:r>
    </w:p>
    <w:p>
      <w:pPr>
        <w:spacing w:before="80" w:after="0"/>
      </w:pPr>
      <w:r>
        <w:t xml:space="preserve"/>
      </w:r>
    </w:p>
    <w:p>
      <w:pPr>
        <w:pStyle w:val="ListParagraph"/>
        <w:numPr>
          <w:ilvl w:val="0"/>
          <w:numId w:val="2"/>
        </w:numPr>
        <w:spacing w:before="40" w:after="40"/>
      </w:pPr>
      <w:r>
        <w:rPr>
          <w:rFonts w:ascii="Arial" w:cs="Arial" w:eastAsia="Arial" w:hAnsi="Arial"/>
          <w:color w:val="595959"/>
          <w:sz w:val="22"/>
          <w:szCs w:val="22"/>
        </w:rPr>
        <w:t xml:space="preserve">Document a Health Factor (e.g., 'TOBACCO USE SCREENED' health factor)</w:t>
      </w:r>
    </w:p>
    <w:p>
      <w:pPr>
        <w:pStyle w:val="ListParagraph"/>
        <w:numPr>
          <w:ilvl w:val="0"/>
          <w:numId w:val="2"/>
        </w:numPr>
        <w:spacing w:before="40" w:after="40"/>
      </w:pPr>
      <w:r>
        <w:rPr>
          <w:rFonts w:ascii="Arial" w:cs="Arial" w:eastAsia="Arial" w:hAnsi="Arial"/>
          <w:color w:val="595959"/>
          <w:sz w:val="22"/>
          <w:szCs w:val="22"/>
        </w:rPr>
        <w:t xml:space="preserve">Record an Immunisation (e.g., influenza vaccine administered)</w:t>
      </w:r>
    </w:p>
    <w:p>
      <w:pPr>
        <w:pStyle w:val="ListParagraph"/>
        <w:numPr>
          <w:ilvl w:val="0"/>
          <w:numId w:val="2"/>
        </w:numPr>
        <w:spacing w:before="40" w:after="40"/>
      </w:pPr>
      <w:r>
        <w:rPr>
          <w:rFonts w:ascii="Arial" w:cs="Arial" w:eastAsia="Arial" w:hAnsi="Arial"/>
          <w:color w:val="595959"/>
          <w:sz w:val="22"/>
          <w:szCs w:val="22"/>
        </w:rPr>
        <w:t xml:space="preserve">Add a CPT procedure code to the encounter</w:t>
      </w:r>
    </w:p>
    <w:p>
      <w:pPr>
        <w:pStyle w:val="ListParagraph"/>
        <w:numPr>
          <w:ilvl w:val="0"/>
          <w:numId w:val="2"/>
        </w:numPr>
        <w:spacing w:before="40" w:after="40"/>
      </w:pPr>
      <w:r>
        <w:rPr>
          <w:rFonts w:ascii="Arial" w:cs="Arial" w:eastAsia="Arial" w:hAnsi="Arial"/>
          <w:color w:val="595959"/>
          <w:sz w:val="22"/>
          <w:szCs w:val="22"/>
        </w:rPr>
        <w:t xml:space="preserve">Add an ICD-10 diagnosis code to the encounter</w:t>
      </w:r>
    </w:p>
    <w:p>
      <w:pPr>
        <w:pStyle w:val="ListParagraph"/>
        <w:numPr>
          <w:ilvl w:val="0"/>
          <w:numId w:val="2"/>
        </w:numPr>
        <w:spacing w:before="40" w:after="40"/>
      </w:pPr>
      <w:r>
        <w:rPr>
          <w:rFonts w:ascii="Arial" w:cs="Arial" w:eastAsia="Arial" w:hAnsi="Arial"/>
          <w:color w:val="595959"/>
          <w:sz w:val="22"/>
          <w:szCs w:val="22"/>
        </w:rPr>
        <w:t xml:space="preserve">Create or insert text into a TIU progress note</w:t>
      </w:r>
    </w:p>
    <w:p>
      <w:pPr>
        <w:pStyle w:val="ListParagraph"/>
        <w:numPr>
          <w:ilvl w:val="0"/>
          <w:numId w:val="2"/>
        </w:numPr>
        <w:spacing w:before="40" w:after="40"/>
      </w:pPr>
      <w:r>
        <w:rPr>
          <w:rFonts w:ascii="Arial" w:cs="Arial" w:eastAsia="Arial" w:hAnsi="Arial"/>
          <w:color w:val="595959"/>
          <w:sz w:val="22"/>
          <w:szCs w:val="22"/>
        </w:rPr>
        <w:t xml:space="preserve">Mark the reminder as satisfied (so it does not appear as due again)</w:t>
      </w:r>
    </w:p>
    <w:p>
      <w:pPr>
        <w:spacing w:before="80" w:after="0"/>
      </w:pPr>
      <w:r>
        <w:t xml:space="preserve"/>
      </w:r>
    </w:p>
    <w:p>
      <w:pPr>
        <w:spacing w:before="60" w:after="100"/>
      </w:pPr>
      <w:r>
        <w:rPr>
          <w:rFonts w:ascii="Arial" w:cs="Arial" w:eastAsia="Arial" w:hAnsi="Arial"/>
          <w:color w:val="595959"/>
          <w:sz w:val="22"/>
          <w:szCs w:val="22"/>
        </w:rPr>
        <w:t xml:space="preserve">This integration between Clinical Reminders (PXRM*2) and PCE (PX*1) is the mechanism by which VistA automates much of the performance measure documentation burden. A correctly configured reminder dialog documents the clinical fact, satisfies the reminder, and generates workload data — all in a single clinician interaction.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9000" w:sz="4"/>
              <w:left w:val="single" w:color="BF9000" w:sz="18"/>
              <w:bottom w:val="single" w:color="BF9000" w:sz="4"/>
              <w:right w:val="single" w:color="BF9000" w:sz="4"/>
            </w:tcBorders>
            <w:shd w:fill="FFF2CC" w:val="clear"/>
            <w:tcMar>
              <w:top w:type="dxa" w:w="80"/>
              <w:left w:type="dxa" w:w="160"/>
              <w:bottom w:type="dxa" w:w="80"/>
              <w:right w:type="dxa" w:w="120"/>
            </w:tcMar>
          </w:tcPr>
          <w:p>
            <w:pPr>
              <w:spacing w:before="0" w:after="0"/>
            </w:pPr>
            <w:r>
              <w:rPr>
                <w:rFonts w:ascii="Arial" w:cs="Arial" w:eastAsia="Arial" w:hAnsi="Arial"/>
                <w:b/>
                <w:bCs/>
                <w:color w:val="BF9000"/>
                <w:sz w:val="20"/>
                <w:szCs w:val="20"/>
              </w:rPr>
              <w:t xml:space="preserve">VDL GAP: </w:t>
            </w:r>
            <w:r>
              <w:rPr>
                <w:rFonts w:ascii="Arial" w:cs="Arial" w:eastAsia="Arial" w:hAnsi="Arial"/>
                <w:color w:val="4A4A4A"/>
                <w:sz w:val="20"/>
                <w:szCs w:val="20"/>
              </w:rPr>
              <w:t xml:space="preserve">Clinical Reminder configuration is the most complex area of PCE-adjacent configuration. The Clinical Reminders Manager Manual (pxrm_2_mm.docx) and Clinician User Guide (pxrm_2_4_um.docx) are the primary references. Both were identified in the VDL inventory but not fetched at time of writing.</w:t>
            </w:r>
          </w:p>
        </w:tc>
      </w:tr>
    </w:tbl>
    <w:p>
      <w:pPr>
        <w:spacing w:before="80" w:after="0"/>
      </w:pPr>
      <w:r>
        <w:t xml:space="preserve"/>
      </w:r>
    </w:p>
    <w:p>
      <w:pPr>
        <w:pStyle w:val="Heading2"/>
        <w:spacing w:before="280" w:after="120"/>
      </w:pPr>
      <w:r>
        <w:rPr>
          <w:rFonts w:ascii="Arial" w:cs="Arial" w:eastAsia="Arial" w:hAnsi="Arial"/>
          <w:b/>
          <w:bCs/>
          <w:color w:val="2E75B6"/>
          <w:sz w:val="26"/>
          <w:szCs w:val="26"/>
        </w:rPr>
        <w:t xml:space="preserve">3.3 Note Signing with Encounter Association</w:t>
      </w:r>
    </w:p>
    <w:p>
      <w:pPr>
        <w:spacing w:before="60" w:after="100"/>
      </w:pPr>
      <w:r>
        <w:rPr>
          <w:rFonts w:ascii="Arial" w:cs="Arial" w:eastAsia="Arial" w:hAnsi="Arial"/>
          <w:color w:val="595959"/>
          <w:sz w:val="22"/>
          <w:szCs w:val="22"/>
        </w:rPr>
        <w:t xml:space="preserve">When a clinician signs a TIU progress note in CPRS, the system checks whether an encounter (Visit) context has been established for that note's date and location. If no encounter exists, CPRS can prompt the clinician to complete encounter data before or after signing, depending on site parameter configuration.</w:t>
      </w:r>
    </w:p>
    <w:p>
      <w:pPr>
        <w:spacing w:before="80" w:after="0"/>
      </w:pPr>
      <w:r>
        <w:t xml:space="preserve"/>
      </w:r>
    </w:p>
    <w:p>
      <w:pPr>
        <w:pStyle w:val="ListParagraph"/>
        <w:numPr>
          <w:ilvl w:val="0"/>
          <w:numId w:val="2"/>
        </w:numPr>
        <w:spacing w:before="40" w:after="40"/>
      </w:pPr>
      <w:r>
        <w:rPr>
          <w:rFonts w:ascii="Arial" w:cs="Arial" w:eastAsia="Arial" w:hAnsi="Arial"/>
          <w:color w:val="595959"/>
          <w:sz w:val="22"/>
          <w:szCs w:val="22"/>
        </w:rPr>
        <w:t xml:space="preserve">ORWPCE REQUIRE PROVIDER — if set, requires provider to be documented on encounter before note can be signed</w:t>
      </w:r>
    </w:p>
    <w:p>
      <w:pPr>
        <w:pStyle w:val="ListParagraph"/>
        <w:numPr>
          <w:ilvl w:val="0"/>
          <w:numId w:val="2"/>
        </w:numPr>
        <w:spacing w:before="40" w:after="40"/>
      </w:pPr>
      <w:r>
        <w:rPr>
          <w:rFonts w:ascii="Arial" w:cs="Arial" w:eastAsia="Arial" w:hAnsi="Arial"/>
          <w:color w:val="595959"/>
          <w:sz w:val="22"/>
          <w:szCs w:val="22"/>
        </w:rPr>
        <w:t xml:space="preserve">ORWPCE ANYTIME ENCOUNTERS — controls whether encounters can be backdated</w:t>
      </w:r>
    </w:p>
    <w:p>
      <w:pPr>
        <w:pStyle w:val="ListParagraph"/>
        <w:numPr>
          <w:ilvl w:val="0"/>
          <w:numId w:val="2"/>
        </w:numPr>
        <w:spacing w:before="40" w:after="40"/>
      </w:pPr>
      <w:r>
        <w:rPr>
          <w:rFonts w:ascii="Arial" w:cs="Arial" w:eastAsia="Arial" w:hAnsi="Arial"/>
          <w:color w:val="595959"/>
          <w:sz w:val="22"/>
          <w:szCs w:val="22"/>
        </w:rPr>
        <w:t xml:space="preserve">ORWPCE DEFAULT ENCOUNTER FORM — determines which encounter form opens by default</w:t>
      </w:r>
    </w:p>
    <w:p>
      <w:pPr>
        <w:spacing w:before="80" w:after="0"/>
      </w:pPr>
      <w:r>
        <w:t xml:space="preserve"/>
      </w:r>
    </w:p>
    <w:p>
      <w:pPr>
        <w:pStyle w:val="Heading2"/>
        <w:spacing w:before="280" w:after="120"/>
      </w:pPr>
      <w:r>
        <w:rPr>
          <w:rFonts w:ascii="Arial" w:cs="Arial" w:eastAsia="Arial" w:hAnsi="Arial"/>
          <w:b/>
          <w:bCs/>
          <w:color w:val="2E75B6"/>
          <w:sz w:val="26"/>
          <w:szCs w:val="26"/>
        </w:rPr>
        <w:t xml:space="preserve">3.4 Visit Tracking (PX*1*164)</w:t>
      </w:r>
    </w:p>
    <w:p>
      <w:pPr>
        <w:spacing w:before="60" w:after="100"/>
      </w:pPr>
      <w:r>
        <w:rPr>
          <w:rFonts w:ascii="Arial" w:cs="Arial" w:eastAsia="Arial" w:hAnsi="Arial"/>
          <w:color w:val="595959"/>
          <w:sz w:val="22"/>
          <w:szCs w:val="22"/>
        </w:rPr>
        <w:t xml:space="preserve">PX*1*164 (Visit Tracking Release Notes: px_1_p164_rn.docx) introduced enhanced visit tracking capabilities. Visit Tracking automates Visit creation for certain event types, reducing the manual encounter documentation burden. Key behaviours:</w:t>
      </w:r>
    </w:p>
    <w:p>
      <w:pPr>
        <w:spacing w:before="80" w:after="0"/>
      </w:pPr>
      <w:r>
        <w:t xml:space="preserve"/>
      </w:r>
    </w:p>
    <w:p>
      <w:pPr>
        <w:pStyle w:val="ListParagraph"/>
        <w:numPr>
          <w:ilvl w:val="0"/>
          <w:numId w:val="2"/>
        </w:numPr>
        <w:spacing w:before="40" w:after="40"/>
      </w:pPr>
      <w:r>
        <w:rPr>
          <w:rFonts w:ascii="Arial" w:cs="Arial" w:eastAsia="Arial" w:hAnsi="Arial"/>
          <w:color w:val="595959"/>
          <w:sz w:val="22"/>
          <w:szCs w:val="22"/>
        </w:rPr>
        <w:t xml:space="preserve">Automatic Visit creation when a patient is checked into a clinic via the Scheduling package</w:t>
      </w:r>
    </w:p>
    <w:p>
      <w:pPr>
        <w:pStyle w:val="ListParagraph"/>
        <w:numPr>
          <w:ilvl w:val="0"/>
          <w:numId w:val="2"/>
        </w:numPr>
        <w:spacing w:before="40" w:after="40"/>
      </w:pPr>
      <w:r>
        <w:rPr>
          <w:rFonts w:ascii="Arial" w:cs="Arial" w:eastAsia="Arial" w:hAnsi="Arial"/>
          <w:color w:val="595959"/>
          <w:sz w:val="22"/>
          <w:szCs w:val="22"/>
        </w:rPr>
        <w:t xml:space="preserve">Visit stub pre-populated with clinic location and appointment date/time</w:t>
      </w:r>
    </w:p>
    <w:p>
      <w:pPr>
        <w:pStyle w:val="ListParagraph"/>
        <w:numPr>
          <w:ilvl w:val="0"/>
          <w:numId w:val="2"/>
        </w:numPr>
        <w:spacing w:before="40" w:after="40"/>
      </w:pPr>
      <w:r>
        <w:rPr>
          <w:rFonts w:ascii="Arial" w:cs="Arial" w:eastAsia="Arial" w:hAnsi="Arial"/>
          <w:color w:val="595959"/>
          <w:sz w:val="22"/>
          <w:szCs w:val="22"/>
        </w:rPr>
        <w:t xml:space="preserve">Provider auto-populated from appointment record if configured</w:t>
      </w:r>
    </w:p>
    <w:p>
      <w:pPr>
        <w:pStyle w:val="ListParagraph"/>
        <w:numPr>
          <w:ilvl w:val="0"/>
          <w:numId w:val="2"/>
        </w:numPr>
        <w:spacing w:before="40" w:after="40"/>
      </w:pPr>
      <w:r>
        <w:rPr>
          <w:rFonts w:ascii="Arial" w:cs="Arial" w:eastAsia="Arial" w:hAnsi="Arial"/>
          <w:color w:val="595959"/>
          <w:sz w:val="22"/>
          <w:szCs w:val="22"/>
        </w:rPr>
        <w:t xml:space="preserve">Reduces cases where clinicians sign notes without completing encounter data</w:t>
      </w:r>
    </w:p>
    <w:p>
      <w:pPr>
        <w:spacing w:before="0" w:after="0"/>
      </w:pPr>
      <w:r>
        <w:br w:type="page"/>
      </w:r>
    </w:p>
    <w:p>
      <w:pPr>
        <w:pStyle w:val="Heading1"/>
        <w:pBdr>
          <w:bottom w:val="single" w:color="2E75B6" w:sz="6" w:space="4"/>
        </w:pBdr>
        <w:spacing w:before="360" w:after="160"/>
      </w:pPr>
      <w:r>
        <w:rPr>
          <w:rFonts w:ascii="Arial" w:cs="Arial" w:eastAsia="Arial" w:hAnsi="Arial"/>
          <w:b/>
          <w:bCs/>
          <w:color w:val="1F3864"/>
          <w:sz w:val="32"/>
          <w:szCs w:val="32"/>
        </w:rPr>
        <w:t xml:space="preserve">4. PCE Integration Points</w:t>
      </w:r>
    </w:p>
    <w:p>
      <w:pPr>
        <w:pStyle w:val="Heading2"/>
        <w:spacing w:before="280" w:after="120"/>
      </w:pPr>
      <w:r>
        <w:rPr>
          <w:rFonts w:ascii="Arial" w:cs="Arial" w:eastAsia="Arial" w:hAnsi="Arial"/>
          <w:b/>
          <w:bCs/>
          <w:color w:val="2E75B6"/>
          <w:sz w:val="26"/>
          <w:szCs w:val="26"/>
        </w:rPr>
        <w:t xml:space="preserve">4.1 Clinical Reminders (PXRM*2): The Tightest Integration</w:t>
      </w:r>
    </w:p>
    <w:p>
      <w:pPr>
        <w:spacing w:before="60" w:after="100"/>
      </w:pPr>
      <w:r>
        <w:rPr>
          <w:rFonts w:ascii="Arial" w:cs="Arial" w:eastAsia="Arial" w:hAnsi="Arial"/>
          <w:color w:val="595959"/>
          <w:sz w:val="22"/>
          <w:szCs w:val="22"/>
        </w:rPr>
        <w:t xml:space="preserve">Clinical Reminders and PCE are deeply integrated. Reminder logic evaluates PCE data to determine whether a reminder is due, applicable, or already satisfied. The integration operates in both directions:</w:t>
      </w:r>
    </w:p>
    <w:p>
      <w:pPr>
        <w:spacing w:before="80" w:after="0"/>
      </w:pPr>
      <w:r>
        <w:t xml:space="preserve"/>
      </w:r>
    </w:p>
    <w:p>
      <w:pPr>
        <w:pStyle w:val="Heading3"/>
        <w:spacing w:before="200" w:after="80"/>
      </w:pPr>
      <w:r>
        <w:rPr>
          <w:rFonts w:ascii="Arial" w:cs="Arial" w:eastAsia="Arial" w:hAnsi="Arial"/>
          <w:b/>
          <w:bCs/>
          <w:color w:val="1F3864"/>
          <w:sz w:val="22"/>
          <w:szCs w:val="22"/>
        </w:rPr>
        <w:t xml:space="preserve">PCE → Reminders (Reminder Evaluation)</w:t>
      </w:r>
    </w:p>
    <w:p>
      <w:pPr>
        <w:spacing w:before="60" w:after="100"/>
      </w:pPr>
      <w:r>
        <w:rPr>
          <w:rFonts w:ascii="Arial" w:cs="Arial" w:eastAsia="Arial" w:hAnsi="Arial"/>
          <w:color w:val="595959"/>
          <w:sz w:val="22"/>
          <w:szCs w:val="22"/>
        </w:rPr>
        <w:t xml:space="preserve">When a reminder is evaluated for a patient, PXRM queries PCE visit history to find:</w:t>
      </w:r>
    </w:p>
    <w:p>
      <w:pPr>
        <w:pStyle w:val="ListParagraph"/>
        <w:numPr>
          <w:ilvl w:val="0"/>
          <w:numId w:val="2"/>
        </w:numPr>
        <w:spacing w:before="40" w:after="40"/>
      </w:pPr>
      <w:r>
        <w:rPr>
          <w:rFonts w:ascii="Arial" w:cs="Arial" w:eastAsia="Arial" w:hAnsi="Arial"/>
          <w:color w:val="595959"/>
          <w:sz w:val="22"/>
          <w:szCs w:val="22"/>
        </w:rPr>
        <w:t xml:space="preserve">Health factors documented within a time range (e.g., 'TOBACCO USE SCREENED' health factor within the last 12 months → tobacco screening reminder satisfied)</w:t>
      </w:r>
    </w:p>
    <w:p>
      <w:pPr>
        <w:pStyle w:val="ListParagraph"/>
        <w:numPr>
          <w:ilvl w:val="0"/>
          <w:numId w:val="2"/>
        </w:numPr>
        <w:spacing w:before="40" w:after="40"/>
      </w:pPr>
      <w:r>
        <w:rPr>
          <w:rFonts w:ascii="Arial" w:cs="Arial" w:eastAsia="Arial" w:hAnsi="Arial"/>
          <w:color w:val="595959"/>
          <w:sz w:val="22"/>
          <w:szCs w:val="22"/>
        </w:rPr>
        <w:t xml:space="preserve">Immunisations recorded (e.g., influenza vaccine given → flu reminder satisfied for this season)</w:t>
      </w:r>
    </w:p>
    <w:p>
      <w:pPr>
        <w:pStyle w:val="ListParagraph"/>
        <w:numPr>
          <w:ilvl w:val="0"/>
          <w:numId w:val="2"/>
        </w:numPr>
        <w:spacing w:before="40" w:after="40"/>
      </w:pPr>
      <w:r>
        <w:rPr>
          <w:rFonts w:ascii="Arial" w:cs="Arial" w:eastAsia="Arial" w:hAnsi="Arial"/>
          <w:color w:val="595959"/>
          <w:sz w:val="22"/>
          <w:szCs w:val="22"/>
        </w:rPr>
        <w:t xml:space="preserve">Diagnoses documented (e.g., ICD-10 code for diabetes on any visit → diabetic reminder cohort inclusion)</w:t>
      </w:r>
    </w:p>
    <w:p>
      <w:pPr>
        <w:pStyle w:val="ListParagraph"/>
        <w:numPr>
          <w:ilvl w:val="0"/>
          <w:numId w:val="2"/>
        </w:numPr>
        <w:spacing w:before="40" w:after="40"/>
      </w:pPr>
      <w:r>
        <w:rPr>
          <w:rFonts w:ascii="Arial" w:cs="Arial" w:eastAsia="Arial" w:hAnsi="Arial"/>
          <w:color w:val="595959"/>
          <w:sz w:val="22"/>
          <w:szCs w:val="22"/>
        </w:rPr>
        <w:t xml:space="preserve">CPT procedures performed (e.g., mammography CPT code documented → mammogram reminder satisfied)</w:t>
      </w:r>
    </w:p>
    <w:p>
      <w:pPr>
        <w:spacing w:before="80" w:after="0"/>
      </w:pPr>
      <w:r>
        <w:t xml:space="preserve"/>
      </w:r>
    </w:p>
    <w:p>
      <w:pPr>
        <w:pStyle w:val="Heading3"/>
        <w:spacing w:before="200" w:after="80"/>
      </w:pPr>
      <w:r>
        <w:rPr>
          <w:rFonts w:ascii="Arial" w:cs="Arial" w:eastAsia="Arial" w:hAnsi="Arial"/>
          <w:b/>
          <w:bCs/>
          <w:color w:val="1F3864"/>
          <w:sz w:val="22"/>
          <w:szCs w:val="22"/>
        </w:rPr>
        <w:t xml:space="preserve">Reminders → PCE (Data Entry via Dialog)</w:t>
      </w:r>
    </w:p>
    <w:p>
      <w:pPr>
        <w:spacing w:before="60" w:after="100"/>
      </w:pPr>
      <w:r>
        <w:rPr>
          <w:rFonts w:ascii="Arial" w:cs="Arial" w:eastAsia="Arial" w:hAnsi="Arial"/>
          <w:color w:val="595959"/>
          <w:sz w:val="22"/>
          <w:szCs w:val="22"/>
        </w:rPr>
        <w:t xml:space="preserve">When a clinician resolves a reminder through a CPRS reminder dialog, the dialog resolution can write PCE data. Dialog elements are configured to generate specific PCE entries upon selection. See Section 3.2 for detail.</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9000" w:sz="4"/>
              <w:left w:val="single" w:color="BF9000" w:sz="18"/>
              <w:bottom w:val="single" w:color="BF9000" w:sz="4"/>
              <w:right w:val="single" w:color="BF9000" w:sz="4"/>
            </w:tcBorders>
            <w:shd w:fill="FFF2CC" w:val="clear"/>
            <w:tcMar>
              <w:top w:type="dxa" w:w="80"/>
              <w:left w:type="dxa" w:w="160"/>
              <w:bottom w:type="dxa" w:w="80"/>
              <w:right w:type="dxa" w:w="120"/>
            </w:tcMar>
          </w:tcPr>
          <w:p>
            <w:pPr>
              <w:spacing w:before="0" w:after="0"/>
            </w:pPr>
            <w:r>
              <w:rPr>
                <w:rFonts w:ascii="Arial" w:cs="Arial" w:eastAsia="Arial" w:hAnsi="Arial"/>
                <w:b/>
                <w:bCs/>
                <w:color w:val="BF9000"/>
                <w:sz w:val="20"/>
                <w:szCs w:val="20"/>
              </w:rPr>
              <w:t xml:space="preserve">NOTE: </w:t>
            </w:r>
            <w:r>
              <w:rPr>
                <w:rFonts w:ascii="Arial" w:cs="Arial" w:eastAsia="Arial" w:hAnsi="Arial"/>
                <w:color w:val="4A4A4A"/>
                <w:sz w:val="20"/>
                <w:szCs w:val="20"/>
              </w:rPr>
              <w:t xml:space="preserve">The Reminder Term is the mechanism that bridges PXRM and PCE. Each Reminder Term specifies what PCE data elements (health factors, immunisations, diagnoses, CPT codes) satisfy that term. Terms are assembled into Reminder Definitions. The Clinical Reminders Index Technical Manual (pxrm_index_tm.docx) covers this in detail.</w:t>
            </w:r>
          </w:p>
        </w:tc>
      </w:tr>
    </w:tbl>
    <w:p>
      <w:pPr>
        <w:spacing w:before="80" w:after="0"/>
      </w:pPr>
      <w:r>
        <w:t xml:space="preserve"/>
      </w:r>
    </w:p>
    <w:p>
      <w:pPr>
        <w:pStyle w:val="Heading2"/>
        <w:spacing w:before="280" w:after="120"/>
      </w:pPr>
      <w:r>
        <w:rPr>
          <w:rFonts w:ascii="Arial" w:cs="Arial" w:eastAsia="Arial" w:hAnsi="Arial"/>
          <w:b/>
          <w:bCs/>
          <w:color w:val="2E75B6"/>
          <w:sz w:val="26"/>
          <w:szCs w:val="26"/>
        </w:rPr>
        <w:t xml:space="preserve">4.2 Health Summary (GMTS*2.7): The SCE Component</w:t>
      </w:r>
    </w:p>
    <w:p>
      <w:pPr>
        <w:spacing w:before="60" w:after="100"/>
      </w:pPr>
      <w:r>
        <w:rPr>
          <w:rFonts w:ascii="Arial" w:cs="Arial" w:eastAsia="Arial" w:hAnsi="Arial"/>
          <w:color w:val="595959"/>
          <w:sz w:val="22"/>
          <w:szCs w:val="22"/>
        </w:rPr>
        <w:t xml:space="preserve">Health Summary's SCE (Selected Clinical Encounters) component retrieves PCE visit data for display in CPRS Reports. The SCE component shows:</w:t>
      </w:r>
    </w:p>
    <w:p>
      <w:pPr>
        <w:pStyle w:val="ListParagraph"/>
        <w:numPr>
          <w:ilvl w:val="0"/>
          <w:numId w:val="2"/>
        </w:numPr>
        <w:spacing w:before="40" w:after="40"/>
      </w:pPr>
      <w:r>
        <w:rPr>
          <w:rFonts w:ascii="Arial" w:cs="Arial" w:eastAsia="Arial" w:hAnsi="Arial"/>
          <w:color w:val="595959"/>
          <w:sz w:val="22"/>
          <w:szCs w:val="22"/>
        </w:rPr>
        <w:t xml:space="preserve">Visit date, clinic, service category</w:t>
      </w:r>
    </w:p>
    <w:p>
      <w:pPr>
        <w:pStyle w:val="ListParagraph"/>
        <w:numPr>
          <w:ilvl w:val="0"/>
          <w:numId w:val="2"/>
        </w:numPr>
        <w:spacing w:before="40" w:after="40"/>
      </w:pPr>
      <w:r>
        <w:rPr>
          <w:rFonts w:ascii="Arial" w:cs="Arial" w:eastAsia="Arial" w:hAnsi="Arial"/>
          <w:color w:val="595959"/>
          <w:sz w:val="22"/>
          <w:szCs w:val="22"/>
        </w:rPr>
        <w:t xml:space="preserve">Primary and secondary providers</w:t>
      </w:r>
    </w:p>
    <w:p>
      <w:pPr>
        <w:pStyle w:val="ListParagraph"/>
        <w:numPr>
          <w:ilvl w:val="0"/>
          <w:numId w:val="2"/>
        </w:numPr>
        <w:spacing w:before="40" w:after="40"/>
      </w:pPr>
      <w:r>
        <w:rPr>
          <w:rFonts w:ascii="Arial" w:cs="Arial" w:eastAsia="Arial" w:hAnsi="Arial"/>
          <w:color w:val="595959"/>
          <w:sz w:val="22"/>
          <w:szCs w:val="22"/>
        </w:rPr>
        <w:t xml:space="preserve">ICD-10 diagnoses documented for that visit</w:t>
      </w:r>
    </w:p>
    <w:p>
      <w:pPr>
        <w:pStyle w:val="ListParagraph"/>
        <w:numPr>
          <w:ilvl w:val="0"/>
          <w:numId w:val="2"/>
        </w:numPr>
        <w:spacing w:before="40" w:after="40"/>
      </w:pPr>
      <w:r>
        <w:rPr>
          <w:rFonts w:ascii="Arial" w:cs="Arial" w:eastAsia="Arial" w:hAnsi="Arial"/>
          <w:color w:val="595959"/>
          <w:sz w:val="22"/>
          <w:szCs w:val="22"/>
        </w:rPr>
        <w:t xml:space="preserve">CPT procedures documented</w:t>
      </w:r>
    </w:p>
    <w:p>
      <w:pPr>
        <w:pStyle w:val="ListParagraph"/>
        <w:numPr>
          <w:ilvl w:val="0"/>
          <w:numId w:val="2"/>
        </w:numPr>
        <w:spacing w:before="40" w:after="40"/>
      </w:pPr>
      <w:r>
        <w:rPr>
          <w:rFonts w:ascii="Arial" w:cs="Arial" w:eastAsia="Arial" w:hAnsi="Arial"/>
          <w:color w:val="595959"/>
          <w:sz w:val="22"/>
          <w:szCs w:val="22"/>
        </w:rPr>
        <w:t xml:space="preserve">Health factors recorded</w:t>
      </w:r>
    </w:p>
    <w:p>
      <w:pPr>
        <w:pStyle w:val="ListParagraph"/>
        <w:numPr>
          <w:ilvl w:val="0"/>
          <w:numId w:val="2"/>
        </w:numPr>
        <w:spacing w:before="40" w:after="40"/>
      </w:pPr>
      <w:r>
        <w:rPr>
          <w:rFonts w:ascii="Arial" w:cs="Arial" w:eastAsia="Arial" w:hAnsi="Arial"/>
          <w:color w:val="595959"/>
          <w:sz w:val="22"/>
          <w:szCs w:val="22"/>
        </w:rPr>
        <w:t xml:space="preserve">Immunisations given</w:t>
      </w:r>
    </w:p>
    <w:p>
      <w:pPr>
        <w:spacing w:before="80" w:after="0"/>
      </w:pPr>
      <w:r>
        <w:t xml:space="preserve"/>
      </w:r>
    </w:p>
    <w:p>
      <w:pPr>
        <w:spacing w:before="60" w:after="100"/>
      </w:pPr>
      <w:r>
        <w:rPr>
          <w:rFonts w:ascii="Arial" w:cs="Arial" w:eastAsia="Arial" w:hAnsi="Arial"/>
          <w:color w:val="595959"/>
          <w:sz w:val="22"/>
          <w:szCs w:val="22"/>
        </w:rPr>
        <w:t xml:space="preserve">SCE is configurable: the Health Summary type definition can specify maximum occurrences (how many visits to show), date range, and which PCE data elements to include. This makes Health Summary the primary mechanism for surfacing PCE encounter history in CPRS's Reports tab.</w:t>
      </w:r>
    </w:p>
    <w:p>
      <w:pPr>
        <w:spacing w:before="80" w:after="0"/>
      </w:pPr>
      <w:r>
        <w:t xml:space="preserve"/>
      </w:r>
    </w:p>
    <w:p>
      <w:pPr>
        <w:pStyle w:val="Heading2"/>
        <w:spacing w:before="280" w:after="120"/>
      </w:pPr>
      <w:r>
        <w:rPr>
          <w:rFonts w:ascii="Arial" w:cs="Arial" w:eastAsia="Arial" w:hAnsi="Arial"/>
          <w:b/>
          <w:bCs/>
          <w:color w:val="2E75B6"/>
          <w:sz w:val="26"/>
          <w:szCs w:val="26"/>
        </w:rPr>
        <w:t xml:space="preserve">4.3 Ambulatory Care Reporting Program (ACRP)</w:t>
      </w:r>
    </w:p>
    <w:p>
      <w:pPr>
        <w:spacing w:before="60" w:after="100"/>
      </w:pPr>
      <w:r>
        <w:rPr>
          <w:rFonts w:ascii="Arial" w:cs="Arial" w:eastAsia="Arial" w:hAnsi="Arial"/>
          <w:color w:val="595959"/>
          <w:sz w:val="22"/>
          <w:szCs w:val="22"/>
        </w:rPr>
        <w:t xml:space="preserve">PCE is the primary data source for the VA's ACRP workload reporting. The Ambulatory Care Reporting package (ACR) extracts PCE visit data and transmits it to the Austin Information Technology Center (AITC) for national workload accounting. Key implementation points:</w:t>
      </w:r>
    </w:p>
    <w:p>
      <w:pPr>
        <w:spacing w:before="80" w:after="0"/>
      </w:pPr>
      <w:r>
        <w:t xml:space="preserve"/>
      </w:r>
    </w:p>
    <w:p>
      <w:pPr>
        <w:pStyle w:val="ListParagraph"/>
        <w:numPr>
          <w:ilvl w:val="0"/>
          <w:numId w:val="2"/>
        </w:numPr>
        <w:spacing w:before="40" w:after="40"/>
      </w:pPr>
      <w:r>
        <w:rPr>
          <w:rFonts w:ascii="Arial" w:cs="Arial" w:eastAsia="Arial" w:hAnsi="Arial"/>
          <w:color w:val="595959"/>
          <w:sz w:val="22"/>
          <w:szCs w:val="22"/>
        </w:rPr>
        <w:t xml:space="preserve">ACRP extracts run nightly from VistA sites</w:t>
      </w:r>
    </w:p>
    <w:p>
      <w:pPr>
        <w:pStyle w:val="ListParagraph"/>
        <w:numPr>
          <w:ilvl w:val="0"/>
          <w:numId w:val="2"/>
        </w:numPr>
        <w:spacing w:before="40" w:after="40"/>
      </w:pPr>
      <w:r>
        <w:rPr>
          <w:rFonts w:ascii="Arial" w:cs="Arial" w:eastAsia="Arial" w:hAnsi="Arial"/>
          <w:color w:val="595959"/>
          <w:sz w:val="22"/>
          <w:szCs w:val="22"/>
        </w:rPr>
        <w:t xml:space="preserve">Stop codes (primary and secondary, from Hospital Location file #44) are critical workload attribution fields</w:t>
      </w:r>
    </w:p>
    <w:p>
      <w:pPr>
        <w:pStyle w:val="ListParagraph"/>
        <w:numPr>
          <w:ilvl w:val="0"/>
          <w:numId w:val="2"/>
        </w:numPr>
        <w:spacing w:before="40" w:after="40"/>
      </w:pPr>
      <w:r>
        <w:rPr>
          <w:rFonts w:ascii="Arial" w:cs="Arial" w:eastAsia="Arial" w:hAnsi="Arial"/>
          <w:color w:val="595959"/>
          <w:sz w:val="22"/>
          <w:szCs w:val="22"/>
        </w:rPr>
        <w:t xml:space="preserve">Encounters without a completed encounter form (no ICD code, no provider) may be flagged as incomplete and excluded from workload counts</w:t>
      </w:r>
    </w:p>
    <w:p>
      <w:pPr>
        <w:pStyle w:val="ListParagraph"/>
        <w:numPr>
          <w:ilvl w:val="0"/>
          <w:numId w:val="2"/>
        </w:numPr>
        <w:spacing w:before="40" w:after="40"/>
      </w:pPr>
      <w:r>
        <w:rPr>
          <w:rFonts w:ascii="Arial" w:cs="Arial" w:eastAsia="Arial" w:hAnsi="Arial"/>
          <w:color w:val="595959"/>
          <w:sz w:val="22"/>
          <w:szCs w:val="22"/>
        </w:rPr>
        <w:t xml:space="preserve">The Ambulatory Care Reporting Technical Manual (acr_p_pimstm.docx) and User Manual (acr_puse.docx) are in the VDL inventory under the ACR package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9000" w:sz="4"/>
              <w:left w:val="single" w:color="BF9000" w:sz="18"/>
              <w:bottom w:val="single" w:color="BF9000" w:sz="4"/>
              <w:right w:val="single" w:color="BF9000" w:sz="4"/>
            </w:tcBorders>
            <w:shd w:fill="FFF2CC" w:val="clear"/>
            <w:tcMar>
              <w:top w:type="dxa" w:w="80"/>
              <w:left w:type="dxa" w:w="160"/>
              <w:bottom w:type="dxa" w:w="80"/>
              <w:right w:type="dxa" w:w="120"/>
            </w:tcMar>
          </w:tcPr>
          <w:p>
            <w:pPr>
              <w:spacing w:before="0" w:after="0"/>
            </w:pPr>
            <w:r>
              <w:rPr>
                <w:rFonts w:ascii="Arial" w:cs="Arial" w:eastAsia="Arial" w:hAnsi="Arial"/>
                <w:b/>
                <w:bCs/>
                <w:color w:val="BF9000"/>
                <w:sz w:val="20"/>
                <w:szCs w:val="20"/>
              </w:rPr>
              <w:t xml:space="preserve">NOTE: </w:t>
            </w:r>
            <w:r>
              <w:rPr>
                <w:rFonts w:ascii="Arial" w:cs="Arial" w:eastAsia="Arial" w:hAnsi="Arial"/>
                <w:color w:val="4A4A4A"/>
                <w:sz w:val="20"/>
                <w:szCs w:val="20"/>
              </w:rPr>
              <w:t xml:space="preserve">Incomplete encounter documentation is a common operational issue. Sites should configure the Incomplete Encounter Management Module (IEMM, part of ACR) to alert clinicians and supervisors when encounters lack required PCE data elements. The IEMM is covered in the ACR package documentation.</w:t>
            </w:r>
          </w:p>
        </w:tc>
      </w:tr>
    </w:tbl>
    <w:p>
      <w:pPr>
        <w:spacing w:before="80" w:after="0"/>
      </w:pPr>
      <w:r>
        <w:t xml:space="preserve"/>
      </w:r>
    </w:p>
    <w:p>
      <w:pPr>
        <w:pStyle w:val="Heading2"/>
        <w:spacing w:before="280" w:after="120"/>
      </w:pPr>
      <w:r>
        <w:rPr>
          <w:rFonts w:ascii="Arial" w:cs="Arial" w:eastAsia="Arial" w:hAnsi="Arial"/>
          <w:b/>
          <w:bCs/>
          <w:color w:val="2E75B6"/>
          <w:sz w:val="26"/>
          <w:szCs w:val="26"/>
        </w:rPr>
        <w:t xml:space="preserve">4.4 PCE Standardisation (PX*1*211, PX*1*234)</w:t>
      </w:r>
    </w:p>
    <w:p>
      <w:pPr>
        <w:spacing w:before="60" w:after="100"/>
      </w:pPr>
      <w:r>
        <w:rPr>
          <w:rFonts w:ascii="Arial" w:cs="Arial" w:eastAsia="Arial" w:hAnsi="Arial"/>
          <w:color w:val="595959"/>
          <w:sz w:val="22"/>
          <w:szCs w:val="22"/>
        </w:rPr>
        <w:t xml:space="preserve">Two significant PCE standardisation patches affect implementers at sites with complex multi-division or multi-facility configurations:</w:t>
      </w:r>
    </w:p>
    <w:p>
      <w:pPr>
        <w:spacing w:before="80" w:after="0"/>
      </w:pPr>
      <w:r>
        <w:t xml:space="preserve"/>
      </w:r>
    </w:p>
    <w:p>
      <w:pPr>
        <w:pStyle w:val="ListParagraph"/>
        <w:numPr>
          <w:ilvl w:val="0"/>
          <w:numId w:val="2"/>
        </w:numPr>
        <w:spacing w:before="40" w:after="40"/>
      </w:pPr>
      <w:r>
        <w:rPr>
          <w:rFonts w:ascii="Arial" w:cs="Arial" w:eastAsia="Arial" w:hAnsi="Arial"/>
          <w:color w:val="595959"/>
          <w:sz w:val="22"/>
          <w:szCs w:val="22"/>
        </w:rPr>
        <w:t xml:space="preserve">PX*1*211 (PCE Standardization): standardised how PCE data is stored across divisions; affects sites with multiple divisions sharing a single VistA system</w:t>
      </w:r>
    </w:p>
    <w:p>
      <w:pPr>
        <w:pStyle w:val="ListParagraph"/>
        <w:numPr>
          <w:ilvl w:val="0"/>
          <w:numId w:val="2"/>
        </w:numPr>
        <w:spacing w:before="40" w:after="40"/>
      </w:pPr>
      <w:r>
        <w:rPr>
          <w:rFonts w:ascii="Arial" w:cs="Arial" w:eastAsia="Arial" w:hAnsi="Arial"/>
          <w:color w:val="595959"/>
          <w:sz w:val="22"/>
          <w:szCs w:val="22"/>
        </w:rPr>
        <w:t xml:space="preserve">PX*1*234: follow-on standardisation patch; DIBR guides for both patches are in the VDL inventory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9000" w:sz="4"/>
              <w:left w:val="single" w:color="BF9000" w:sz="18"/>
              <w:bottom w:val="single" w:color="BF9000" w:sz="4"/>
              <w:right w:val="single" w:color="BF9000" w:sz="4"/>
            </w:tcBorders>
            <w:shd w:fill="FFF2CC" w:val="clear"/>
            <w:tcMar>
              <w:top w:type="dxa" w:w="80"/>
              <w:left w:type="dxa" w:w="160"/>
              <w:bottom w:type="dxa" w:w="80"/>
              <w:right w:type="dxa" w:w="120"/>
            </w:tcMar>
          </w:tcPr>
          <w:p>
            <w:pPr>
              <w:spacing w:before="0" w:after="0"/>
            </w:pPr>
            <w:r>
              <w:rPr>
                <w:rFonts w:ascii="Arial" w:cs="Arial" w:eastAsia="Arial" w:hAnsi="Arial"/>
                <w:b/>
                <w:bCs/>
                <w:color w:val="BF9000"/>
                <w:sz w:val="20"/>
                <w:szCs w:val="20"/>
              </w:rPr>
              <w:t xml:space="preserve">NOTE: </w:t>
            </w:r>
            <w:r>
              <w:rPr>
                <w:rFonts w:ascii="Arial" w:cs="Arial" w:eastAsia="Arial" w:hAnsi="Arial"/>
                <w:color w:val="4A4A4A"/>
                <w:sz w:val="20"/>
                <w:szCs w:val="20"/>
              </w:rPr>
              <w:t xml:space="preserve">Both patches have Deployment, Installation, Back-out, and Rollback Guides (DIBR) in the VDL inventory. Sites upgrading to or past these patches should review the DIBR guides carefully; PX*1*211 required data migration steps at some sites.</w:t>
            </w:r>
          </w:p>
        </w:tc>
      </w:tr>
    </w:tbl>
    <w:p>
      <w:pPr>
        <w:spacing w:before="0" w:after="0"/>
      </w:pPr>
      <w:r>
        <w:br w:type="page"/>
      </w:r>
    </w:p>
    <w:p>
      <w:pPr>
        <w:pStyle w:val="Heading1"/>
        <w:pBdr>
          <w:bottom w:val="single" w:color="2E75B6" w:sz="6" w:space="4"/>
        </w:pBdr>
        <w:spacing w:before="360" w:after="160"/>
      </w:pPr>
      <w:r>
        <w:rPr>
          <w:rFonts w:ascii="Arial" w:cs="Arial" w:eastAsia="Arial" w:hAnsi="Arial"/>
          <w:b/>
          <w:bCs/>
          <w:color w:val="1F3864"/>
          <w:sz w:val="32"/>
          <w:szCs w:val="32"/>
        </w:rPr>
        <w:t xml:space="preserve">5. Where PCE Data Surfaces in CPRS</w:t>
      </w:r>
    </w:p>
    <w:p>
      <w:pPr>
        <w:spacing w:before="60" w:after="100"/>
      </w:pPr>
      <w:r>
        <w:rPr>
          <w:rFonts w:ascii="Arial" w:cs="Arial" w:eastAsia="Arial" w:hAnsi="Arial"/>
          <w:color w:val="595959"/>
          <w:sz w:val="22"/>
          <w:szCs w:val="22"/>
        </w:rPr>
        <w:t xml:space="preserve">PCE data is not directly visible as a named 'PCE section' in CPRS. Instead, PCE encounter data surfaces through several CPRS features in context-specific ways.</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CPRS Location</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PCE Data Shown</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Implementation Notes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bCs/>
                <w:color w:val="1F1F1F"/>
                <w:sz w:val="20"/>
                <w:szCs w:val="20"/>
              </w:rPr>
              <w:t xml:space="preserve">Coversheet → Clinical Reminders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Reminder due/satisfied status (derived from PCE data evaluation)</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Reminders are evaluated using PCE health factors, immunisations, diagnoses. Clinician sees the result (due/satisfied), not the raw PCE data. Clicking a reminder opens the reminder dialog which can add PCE data.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F1F1F"/>
                <w:sz w:val="20"/>
                <w:szCs w:val="20"/>
              </w:rPr>
              <w:t xml:space="preserve">Reports → Health Summary → SCE component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Past encounters: date, clinic, diagnoses, CPT codes, providers, health factors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Requires Health Summary type configured with SCE component. Most detailed PCE history view available in CPRS Reports tab. Date range and occurrence count configurable in GMTS.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bCs/>
                <w:color w:val="1F1F1F"/>
                <w:sz w:val="20"/>
                <w:szCs w:val="20"/>
              </w:rPr>
              <w:t xml:space="preserve">Encounter button / Encounter Form</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Active encounter data entry and edit</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The Encounter Form is the UI for entering and reviewing PCE data for the current visit. Accessible from toolbar or Tools menu. Shows current encounter diagnoses, procedures, providers, etc.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F1F1F"/>
                <w:sz w:val="20"/>
                <w:szCs w:val="20"/>
              </w:rPr>
              <w:t xml:space="preserve">Note signing flow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Encounter completion prompt (if ORWPCE REQUIRE PROVIDER set)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If PCE encounter data is incomplete, CPRS prompts during note signing. This is not a display of PCE data but a gate that enforces encounter documentation.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bCs/>
                <w:color w:val="1F1F1F"/>
                <w:sz w:val="20"/>
                <w:szCs w:val="20"/>
              </w:rPr>
              <w:t xml:space="preserve">Reminder dialog (Reminders drawer)</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Health factors, immunisations, CPT codes written to PCE via dialog</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Not a passive display — this is active PCE data entry triggered by reminder resolution. The effect (data written to PCE) is visible subsequently in the Encounter Form and Health Summary SCE.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F1F1F"/>
                <w:sz w:val="20"/>
                <w:szCs w:val="20"/>
              </w:rPr>
              <w:t xml:space="preserve">CPRS Reports → Visits (via GMTS)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Visit-level summary (clinic, date, providers)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If Health Summary is configured with an ADC (Admissions, Discharges, Clinics) or AV (Ambulatory Visit) component, outpatient visit history is visible. These components draw on both scheduling (SD) and PCE data.</w:t>
            </w:r>
          </w:p>
        </w:tc>
      </w:tr>
    </w:tbl>
    <w:p>
      <w:pPr>
        <w:spacing w:before="160" w:after="0"/>
      </w:pPr>
      <w:r>
        <w:t xml:space="preserve"/>
      </w:r>
    </w:p>
    <w:p>
      <w:pPr>
        <w:pStyle w:val="Heading2"/>
        <w:spacing w:before="280" w:after="120"/>
      </w:pPr>
      <w:r>
        <w:rPr>
          <w:rFonts w:ascii="Arial" w:cs="Arial" w:eastAsia="Arial" w:hAnsi="Arial"/>
          <w:b/>
          <w:bCs/>
          <w:color w:val="2E75B6"/>
          <w:sz w:val="26"/>
          <w:szCs w:val="26"/>
        </w:rPr>
        <w:t xml:space="preserve">5.1 Health Factors: The Most Flexible PCE Data Element</w:t>
      </w:r>
    </w:p>
    <w:p>
      <w:pPr>
        <w:spacing w:before="60" w:after="100"/>
      </w:pPr>
      <w:r>
        <w:rPr>
          <w:rFonts w:ascii="Arial" w:cs="Arial" w:eastAsia="Arial" w:hAnsi="Arial"/>
          <w:color w:val="595959"/>
          <w:sz w:val="22"/>
          <w:szCs w:val="22"/>
        </w:rPr>
        <w:t xml:space="preserve">Health Factors deserve special attention because they are the most commonly used PCE data element for Clinical Reminders integration and performance measure documentation. A Health Factor is a coded, structured clinical observation that does not have a corresponding ICD or CPT code.</w:t>
      </w:r>
    </w:p>
    <w:p>
      <w:pPr>
        <w:spacing w:before="80" w:after="0"/>
      </w:pPr>
      <w:r>
        <w:t xml:space="preserve"/>
      </w:r>
    </w:p>
    <w:p>
      <w:pPr>
        <w:spacing w:before="60" w:after="100"/>
      </w:pPr>
      <w:r>
        <w:rPr>
          <w:rFonts w:ascii="Arial" w:cs="Arial" w:eastAsia="Arial" w:hAnsi="Arial"/>
          <w:color w:val="595959"/>
          <w:sz w:val="22"/>
          <w:szCs w:val="22"/>
        </w:rPr>
        <w:t xml:space="preserve">Examples of nationally-defined Health Factors relevant to CPRS/PCE implementers:</w:t>
      </w:r>
    </w:p>
    <w:p>
      <w:pPr>
        <w:pStyle w:val="ListParagraph"/>
        <w:numPr>
          <w:ilvl w:val="0"/>
          <w:numId w:val="2"/>
        </w:numPr>
        <w:spacing w:before="40" w:after="40"/>
      </w:pPr>
      <w:r>
        <w:rPr>
          <w:rFonts w:ascii="Arial" w:cs="Arial" w:eastAsia="Arial" w:hAnsi="Arial"/>
          <w:color w:val="595959"/>
          <w:sz w:val="22"/>
          <w:szCs w:val="22"/>
        </w:rPr>
        <w:t xml:space="preserve">TOBACCO USE ASSESSED — documents that tobacco use was screened</w:t>
      </w:r>
    </w:p>
    <w:p>
      <w:pPr>
        <w:pStyle w:val="ListParagraph"/>
        <w:numPr>
          <w:ilvl w:val="0"/>
          <w:numId w:val="2"/>
        </w:numPr>
        <w:spacing w:before="40" w:after="40"/>
      </w:pPr>
      <w:r>
        <w:rPr>
          <w:rFonts w:ascii="Arial" w:cs="Arial" w:eastAsia="Arial" w:hAnsi="Arial"/>
          <w:color w:val="595959"/>
          <w:sz w:val="22"/>
          <w:szCs w:val="22"/>
        </w:rPr>
        <w:t xml:space="preserve">CURRENT SMOKER, NEVER SMOKER, FORMER SMOKER — tobacco use status</w:t>
      </w:r>
    </w:p>
    <w:p>
      <w:pPr>
        <w:pStyle w:val="ListParagraph"/>
        <w:numPr>
          <w:ilvl w:val="0"/>
          <w:numId w:val="2"/>
        </w:numPr>
        <w:spacing w:before="40" w:after="40"/>
      </w:pPr>
      <w:r>
        <w:rPr>
          <w:rFonts w:ascii="Arial" w:cs="Arial" w:eastAsia="Arial" w:hAnsi="Arial"/>
          <w:color w:val="595959"/>
          <w:sz w:val="22"/>
          <w:szCs w:val="22"/>
        </w:rPr>
        <w:t xml:space="preserve">ALCOHOL USE SCREENED — alcohol screening documented</w:t>
      </w:r>
    </w:p>
    <w:p>
      <w:pPr>
        <w:pStyle w:val="ListParagraph"/>
        <w:numPr>
          <w:ilvl w:val="0"/>
          <w:numId w:val="2"/>
        </w:numPr>
        <w:spacing w:before="40" w:after="40"/>
      </w:pPr>
      <w:r>
        <w:rPr>
          <w:rFonts w:ascii="Arial" w:cs="Arial" w:eastAsia="Arial" w:hAnsi="Arial"/>
          <w:color w:val="595959"/>
          <w:sz w:val="22"/>
          <w:szCs w:val="22"/>
        </w:rPr>
        <w:t xml:space="preserve">ADVANCE DIRECTIVE DISCUSSED — advance care planning conversation</w:t>
      </w:r>
    </w:p>
    <w:p>
      <w:pPr>
        <w:pStyle w:val="ListParagraph"/>
        <w:numPr>
          <w:ilvl w:val="0"/>
          <w:numId w:val="2"/>
        </w:numPr>
        <w:spacing w:before="40" w:after="40"/>
      </w:pPr>
      <w:r>
        <w:rPr>
          <w:rFonts w:ascii="Arial" w:cs="Arial" w:eastAsia="Arial" w:hAnsi="Arial"/>
          <w:color w:val="595959"/>
          <w:sz w:val="22"/>
          <w:szCs w:val="22"/>
        </w:rPr>
        <w:t xml:space="preserve">BMI — body mass index category health factors (often auto-generated from GMRV vitals)</w:t>
      </w:r>
    </w:p>
    <w:p>
      <w:pPr>
        <w:pStyle w:val="ListParagraph"/>
        <w:numPr>
          <w:ilvl w:val="0"/>
          <w:numId w:val="2"/>
        </w:numPr>
        <w:spacing w:before="40" w:after="40"/>
      </w:pPr>
      <w:r>
        <w:rPr>
          <w:rFonts w:ascii="Arial" w:cs="Arial" w:eastAsia="Arial" w:hAnsi="Arial"/>
          <w:color w:val="595959"/>
          <w:sz w:val="22"/>
          <w:szCs w:val="22"/>
        </w:rPr>
        <w:t xml:space="preserve">COLORECTAL CANCER SCREEN — screening status documentation</w:t>
      </w:r>
    </w:p>
    <w:p>
      <w:pPr>
        <w:spacing w:before="80" w:after="0"/>
      </w:pPr>
      <w:r>
        <w:t xml:space="preserve"/>
      </w:r>
    </w:p>
    <w:p>
      <w:pPr>
        <w:spacing w:before="60" w:after="100"/>
      </w:pPr>
      <w:r>
        <w:rPr>
          <w:rFonts w:ascii="Arial" w:cs="Arial" w:eastAsia="Arial" w:hAnsi="Arial"/>
          <w:color w:val="595959"/>
          <w:sz w:val="22"/>
          <w:szCs w:val="22"/>
        </w:rPr>
        <w:t xml:space="preserve">Sites can define local Health Factors in addition to national ones. Health Factors are organised into Health Factor Categories (file #9999999.64). Both the factor and its category must be defined before a factor can be used in a reminder or documented on an encounter.</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9000" w:sz="4"/>
              <w:left w:val="single" w:color="BF9000" w:sz="18"/>
              <w:bottom w:val="single" w:color="BF9000" w:sz="4"/>
              <w:right w:val="single" w:color="BF9000" w:sz="4"/>
            </w:tcBorders>
            <w:shd w:fill="FFF2CC" w:val="clear"/>
            <w:tcMar>
              <w:top w:type="dxa" w:w="80"/>
              <w:left w:type="dxa" w:w="160"/>
              <w:bottom w:type="dxa" w:w="80"/>
              <w:right w:type="dxa" w:w="120"/>
            </w:tcMar>
          </w:tcPr>
          <w:p>
            <w:pPr>
              <w:spacing w:before="0" w:after="0"/>
            </w:pPr>
            <w:r>
              <w:rPr>
                <w:rFonts w:ascii="Arial" w:cs="Arial" w:eastAsia="Arial" w:hAnsi="Arial"/>
                <w:b/>
                <w:bCs/>
                <w:color w:val="BF9000"/>
                <w:sz w:val="20"/>
                <w:szCs w:val="20"/>
              </w:rPr>
              <w:t xml:space="preserve">NOTE: </w:t>
            </w:r>
            <w:r>
              <w:rPr>
                <w:rFonts w:ascii="Arial" w:cs="Arial" w:eastAsia="Arial" w:hAnsi="Arial"/>
                <w:color w:val="4A4A4A"/>
                <w:sz w:val="20"/>
                <w:szCs w:val="20"/>
              </w:rPr>
              <w:t xml:space="preserve">Health Factor naming conventions matter for reminder evaluation. PXRM reminder terms reference specific health factor names by file entry. If a local site creates a health factor with a slightly different name than expected by a national reminder definition, the reminder will not evaluate correctly. Sites should follow VA national naming conventions when adding health factors.</w:t>
            </w:r>
          </w:p>
        </w:tc>
      </w:tr>
    </w:tbl>
    <w:p>
      <w:pPr>
        <w:spacing w:before="0" w:after="0"/>
      </w:pPr>
      <w:r>
        <w:br w:type="page"/>
      </w:r>
    </w:p>
    <w:p>
      <w:pPr>
        <w:pStyle w:val="Heading1"/>
        <w:pBdr>
          <w:bottom w:val="single" w:color="2E75B6" w:sz="6" w:space="4"/>
        </w:pBdr>
        <w:spacing w:before="360" w:after="160"/>
      </w:pPr>
      <w:r>
        <w:rPr>
          <w:rFonts w:ascii="Arial" w:cs="Arial" w:eastAsia="Arial" w:hAnsi="Arial"/>
          <w:b/>
          <w:bCs/>
          <w:color w:val="1F3864"/>
          <w:sz w:val="32"/>
          <w:szCs w:val="32"/>
        </w:rPr>
        <w:t xml:space="preserve">6. PCE Configuration for Implementers</w:t>
      </w:r>
    </w:p>
    <w:p>
      <w:pPr>
        <w:pStyle w:val="Heading2"/>
        <w:spacing w:before="280" w:after="120"/>
      </w:pPr>
      <w:r>
        <w:rPr>
          <w:rFonts w:ascii="Arial" w:cs="Arial" w:eastAsia="Arial" w:hAnsi="Arial"/>
          <w:b/>
          <w:bCs/>
          <w:color w:val="2E75B6"/>
          <w:sz w:val="26"/>
          <w:szCs w:val="26"/>
        </w:rPr>
        <w:t xml:space="preserve">6.1 Key PCE Parameters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Parameter</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Level</w:t>
            </w:r>
          </w:p>
        </w:tc>
        <w:tc>
          <w:tcPr>
            <w:tcW w:type="dxa" w:w="5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Effect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bCs/>
                <w:color w:val="1F1F1F"/>
                <w:sz w:val="20"/>
                <w:szCs w:val="20"/>
              </w:rPr>
              <w:t xml:space="preserve">ORWPCE REQUIRE PROVIDER</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System/User</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If set, provider documentation on the encounter is required before a progress note can be signed. Most sites set this at System level.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F1F1F"/>
                <w:sz w:val="20"/>
                <w:szCs w:val="20"/>
              </w:rPr>
              <w:t xml:space="preserve">ORWPCE ANYTIME ENCOUNTERS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System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Allows clinicians to document encounters for dates other than today. Required for late encounter documentation. Security key PXCE ANYTIME ENCOUNTER controls access.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bCs/>
                <w:color w:val="1F1F1F"/>
                <w:sz w:val="20"/>
                <w:szCs w:val="20"/>
              </w:rPr>
              <w:t xml:space="preserve">ORWPCE DEFAULT ENCOUNTER FORM</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System/User</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Specifies which encounter form template opens by default when the Encounter button is pressed.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F1F1F"/>
                <w:sz w:val="20"/>
                <w:szCs w:val="20"/>
              </w:rPr>
              <w:t xml:space="preserve">ORWPCE DISABLE EDITING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System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Prevents editing of encounter data after it has been submitted. Sites with strict encounter data integrity requirements may set this.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bCs/>
                <w:color w:val="1F1F1F"/>
                <w:sz w:val="20"/>
                <w:szCs w:val="20"/>
              </w:rPr>
              <w:t xml:space="preserve">PXCE PARAMETERS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System</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Master PCE configuration file; controls overall PCE behaviour including workload credit generation and stop code assignment rules.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F1F1F"/>
                <w:sz w:val="20"/>
                <w:szCs w:val="20"/>
              </w:rPr>
              <w:t xml:space="preserve">ORWPCE VISION CATEGORIES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System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Configures vision-related encounter form options for optometry clinics.</w:t>
            </w:r>
          </w:p>
        </w:tc>
      </w:tr>
    </w:tbl>
    <w:p>
      <w:pPr>
        <w:spacing w:before="160" w:after="0"/>
      </w:pPr>
      <w:r>
        <w:t xml:space="preserve"/>
      </w:r>
    </w:p>
    <w:p>
      <w:pPr>
        <w:pStyle w:val="Heading2"/>
        <w:spacing w:before="280" w:after="120"/>
      </w:pPr>
      <w:r>
        <w:rPr>
          <w:rFonts w:ascii="Arial" w:cs="Arial" w:eastAsia="Arial" w:hAnsi="Arial"/>
          <w:b/>
          <w:bCs/>
          <w:color w:val="2E75B6"/>
          <w:sz w:val="26"/>
          <w:szCs w:val="26"/>
        </w:rPr>
        <w:t xml:space="preserve">6.2 Stop Code Configuration</w:t>
      </w:r>
    </w:p>
    <w:p>
      <w:pPr>
        <w:spacing w:before="60" w:after="100"/>
      </w:pPr>
      <w:r>
        <w:rPr>
          <w:rFonts w:ascii="Arial" w:cs="Arial" w:eastAsia="Arial" w:hAnsi="Arial"/>
          <w:color w:val="595959"/>
          <w:sz w:val="22"/>
          <w:szCs w:val="22"/>
        </w:rPr>
        <w:t xml:space="preserve">DSS (Decision Support System) stop codes are the primary workload attribution mechanism in VistA. Each clinic (Hospital Location file #44) has a primary stop code and optionally a secondary stop code. These codes appear on PCE visit records and are used by ACRP for workload reporting.</w:t>
      </w:r>
    </w:p>
    <w:p>
      <w:pPr>
        <w:spacing w:before="80" w:after="0"/>
      </w:pPr>
      <w:r>
        <w:t xml:space="preserve"/>
      </w:r>
    </w:p>
    <w:p>
      <w:pPr>
        <w:pStyle w:val="ListParagraph"/>
        <w:numPr>
          <w:ilvl w:val="0"/>
          <w:numId w:val="2"/>
        </w:numPr>
        <w:spacing w:before="40" w:after="40"/>
      </w:pPr>
      <w:r>
        <w:rPr>
          <w:rFonts w:ascii="Arial" w:cs="Arial" w:eastAsia="Arial" w:hAnsi="Arial"/>
          <w:color w:val="595959"/>
          <w:sz w:val="22"/>
          <w:szCs w:val="22"/>
        </w:rPr>
        <w:t xml:space="preserve">Primary stop code: the clinical specialty of the visit (e.g., 323 = Primary Care, 502 = Mental Health)</w:t>
      </w:r>
    </w:p>
    <w:p>
      <w:pPr>
        <w:pStyle w:val="ListParagraph"/>
        <w:numPr>
          <w:ilvl w:val="0"/>
          <w:numId w:val="2"/>
        </w:numPr>
        <w:spacing w:before="40" w:after="40"/>
      </w:pPr>
      <w:r>
        <w:rPr>
          <w:rFonts w:ascii="Arial" w:cs="Arial" w:eastAsia="Arial" w:hAnsi="Arial"/>
          <w:color w:val="595959"/>
          <w:sz w:val="22"/>
          <w:szCs w:val="22"/>
        </w:rPr>
        <w:t xml:space="preserve">Secondary stop code: the provider type or care modality (e.g., 534 = Nurse Practitioner visit)</w:t>
      </w:r>
    </w:p>
    <w:p>
      <w:pPr>
        <w:pStyle w:val="ListParagraph"/>
        <w:numPr>
          <w:ilvl w:val="0"/>
          <w:numId w:val="2"/>
        </w:numPr>
        <w:spacing w:before="40" w:after="40"/>
      </w:pPr>
      <w:r>
        <w:rPr>
          <w:rFonts w:ascii="Arial" w:cs="Arial" w:eastAsia="Arial" w:hAnsi="Arial"/>
          <w:color w:val="595959"/>
          <w:sz w:val="22"/>
          <w:szCs w:val="22"/>
        </w:rPr>
        <w:t xml:space="preserve">Credit stop codes: some stop code combinations generate DSS workload credit; others do not</w:t>
      </w:r>
    </w:p>
    <w:p>
      <w:pPr>
        <w:pStyle w:val="ListParagraph"/>
        <w:numPr>
          <w:ilvl w:val="0"/>
          <w:numId w:val="2"/>
        </w:numPr>
        <w:spacing w:before="40" w:after="40"/>
      </w:pPr>
      <w:r>
        <w:rPr>
          <w:rFonts w:ascii="Arial" w:cs="Arial" w:eastAsia="Arial" w:hAnsi="Arial"/>
          <w:color w:val="595959"/>
          <w:sz w:val="22"/>
          <w:szCs w:val="22"/>
        </w:rPr>
        <w:t xml:space="preserve">Telephone and chart review stop codes: specific stop codes designated for non-face-to-face encounters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9000" w:sz="4"/>
              <w:left w:val="single" w:color="BF9000" w:sz="18"/>
              <w:bottom w:val="single" w:color="BF9000" w:sz="4"/>
              <w:right w:val="single" w:color="BF9000" w:sz="4"/>
            </w:tcBorders>
            <w:shd w:fill="FFF2CC" w:val="clear"/>
            <w:tcMar>
              <w:top w:type="dxa" w:w="80"/>
              <w:left w:type="dxa" w:w="160"/>
              <w:bottom w:type="dxa" w:w="80"/>
              <w:right w:type="dxa" w:w="120"/>
            </w:tcMar>
          </w:tcPr>
          <w:p>
            <w:pPr>
              <w:spacing w:before="0" w:after="0"/>
            </w:pPr>
            <w:r>
              <w:rPr>
                <w:rFonts w:ascii="Arial" w:cs="Arial" w:eastAsia="Arial" w:hAnsi="Arial"/>
                <w:b/>
                <w:bCs/>
                <w:color w:val="BF9000"/>
                <w:sz w:val="20"/>
                <w:szCs w:val="20"/>
              </w:rPr>
              <w:t xml:space="preserve">NOTE: </w:t>
            </w:r>
            <w:r>
              <w:rPr>
                <w:rFonts w:ascii="Arial" w:cs="Arial" w:eastAsia="Arial" w:hAnsi="Arial"/>
                <w:color w:val="4A4A4A"/>
                <w:sz w:val="20"/>
                <w:szCs w:val="20"/>
              </w:rPr>
              <w:t xml:space="preserve">Stop code configuration errors are among the most common ACRP data quality issues. A clinic with an incorrect primary stop code will misattribute workload for every encounter in that clinic. Stop code changes require coordination with the DSS Coordinator at each VAMC.</w:t>
            </w:r>
          </w:p>
        </w:tc>
      </w:tr>
    </w:tbl>
    <w:p>
      <w:pPr>
        <w:spacing w:before="80" w:after="0"/>
      </w:pPr>
      <w:r>
        <w:t xml:space="preserve"/>
      </w:r>
    </w:p>
    <w:p>
      <w:pPr>
        <w:pStyle w:val="Heading2"/>
        <w:spacing w:before="280" w:after="120"/>
      </w:pPr>
      <w:r>
        <w:rPr>
          <w:rFonts w:ascii="Arial" w:cs="Arial" w:eastAsia="Arial" w:hAnsi="Arial"/>
          <w:b/>
          <w:bCs/>
          <w:color w:val="2E75B6"/>
          <w:sz w:val="26"/>
          <w:szCs w:val="26"/>
        </w:rPr>
        <w:t xml:space="preserve">6.3 Encounter Form Configuration</w:t>
      </w:r>
    </w:p>
    <w:p>
      <w:pPr>
        <w:spacing w:before="60" w:after="100"/>
      </w:pPr>
      <w:r>
        <w:rPr>
          <w:rFonts w:ascii="Arial" w:cs="Arial" w:eastAsia="Arial" w:hAnsi="Arial"/>
          <w:color w:val="595959"/>
          <w:sz w:val="22"/>
          <w:szCs w:val="22"/>
        </w:rPr>
        <w:t xml:space="preserve">The CPRS Encounter Form is configurable via the ICD Diagnosis and CPT Procedure pick lists, which are maintained in VistA by CACs and IRM:</w:t>
      </w:r>
    </w:p>
    <w:p>
      <w:pPr>
        <w:spacing w:before="80" w:after="0"/>
      </w:pPr>
      <w:r>
        <w:t xml:space="preserve"/>
      </w:r>
    </w:p>
    <w:p>
      <w:pPr>
        <w:pStyle w:val="ListParagraph"/>
        <w:numPr>
          <w:ilvl w:val="0"/>
          <w:numId w:val="2"/>
        </w:numPr>
        <w:spacing w:before="40" w:after="40"/>
      </w:pPr>
      <w:r>
        <w:rPr>
          <w:rFonts w:ascii="Arial" w:cs="Arial" w:eastAsia="Arial" w:hAnsi="Arial"/>
          <w:color w:val="595959"/>
          <w:sz w:val="22"/>
          <w:szCs w:val="22"/>
        </w:rPr>
        <w:t xml:space="preserve">Encounter form diagnosis favourites: sites maintain lists of commonly-used ICD-10 codes for each specialty clinic, surfaced as a quick-pick list in the encounter form</w:t>
      </w:r>
    </w:p>
    <w:p>
      <w:pPr>
        <w:pStyle w:val="ListParagraph"/>
        <w:numPr>
          <w:ilvl w:val="0"/>
          <w:numId w:val="2"/>
        </w:numPr>
        <w:spacing w:before="40" w:after="40"/>
      </w:pPr>
      <w:r>
        <w:rPr>
          <w:rFonts w:ascii="Arial" w:cs="Arial" w:eastAsia="Arial" w:hAnsi="Arial"/>
          <w:color w:val="595959"/>
          <w:sz w:val="22"/>
          <w:szCs w:val="22"/>
        </w:rPr>
        <w:t xml:space="preserve">Encounter form procedure favourites: CPT code favourites per clinic/specialty</w:t>
      </w:r>
    </w:p>
    <w:p>
      <w:pPr>
        <w:pStyle w:val="ListParagraph"/>
        <w:numPr>
          <w:ilvl w:val="0"/>
          <w:numId w:val="2"/>
        </w:numPr>
        <w:spacing w:before="40" w:after="40"/>
      </w:pPr>
      <w:r>
        <w:rPr>
          <w:rFonts w:ascii="Arial" w:cs="Arial" w:eastAsia="Arial" w:hAnsi="Arial"/>
          <w:color w:val="595959"/>
          <w:sz w:val="22"/>
          <w:szCs w:val="22"/>
        </w:rPr>
        <w:t xml:space="preserve">Immunisation lot files: lot numbers must be entered in the IMMUNIZATION LOT file (#9999999.41) before a vaccine can be documented in PCE</w:t>
      </w:r>
    </w:p>
    <w:p>
      <w:pPr>
        <w:pStyle w:val="ListParagraph"/>
        <w:numPr>
          <w:ilvl w:val="0"/>
          <w:numId w:val="2"/>
        </w:numPr>
        <w:spacing w:before="40" w:after="40"/>
      </w:pPr>
      <w:r>
        <w:rPr>
          <w:rFonts w:ascii="Arial" w:cs="Arial" w:eastAsia="Arial" w:hAnsi="Arial"/>
          <w:color w:val="595959"/>
          <w:sz w:val="22"/>
          <w:szCs w:val="22"/>
        </w:rPr>
        <w:t xml:space="preserve">Health Education topic file: topics must be defined in EDUCATION TOPICS file (#9999999.09)</w:t>
      </w:r>
    </w:p>
    <w:p>
      <w:pPr>
        <w:spacing w:before="0" w:after="0"/>
      </w:pPr>
      <w:r>
        <w:br w:type="page"/>
      </w:r>
    </w:p>
    <w:p>
      <w:pPr>
        <w:pStyle w:val="Heading1"/>
        <w:pBdr>
          <w:bottom w:val="single" w:color="2E75B6" w:sz="6" w:space="4"/>
        </w:pBdr>
        <w:spacing w:before="360" w:after="160"/>
      </w:pPr>
      <w:r>
        <w:rPr>
          <w:rFonts w:ascii="Arial" w:cs="Arial" w:eastAsia="Arial" w:hAnsi="Arial"/>
          <w:b/>
          <w:bCs/>
          <w:color w:val="1F3864"/>
          <w:sz w:val="32"/>
          <w:szCs w:val="32"/>
        </w:rPr>
        <w:t xml:space="preserve">7. VDL Coverage Gaps and Further Reading</w:t>
      </w:r>
    </w:p>
    <w:p>
      <w:pPr>
        <w:spacing w:before="60" w:after="100"/>
      </w:pPr>
      <w:r>
        <w:rPr>
          <w:rFonts w:ascii="Arial" w:cs="Arial" w:eastAsia="Arial" w:hAnsi="Arial"/>
          <w:color w:val="595959"/>
          <w:sz w:val="22"/>
          <w:szCs w:val="22"/>
        </w:rPr>
        <w:t xml:space="preserve">This guide was synthesised from CPRS documentation cross-references and VDL inventory metadata. The following PCE-specific documents are in the VDL inventory and should be fetched for deeper reading.</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Document</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Filename</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URL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bCs/>
                <w:color w:val="1F1F1F"/>
                <w:sz w:val="20"/>
                <w:szCs w:val="20"/>
              </w:rPr>
              <w:t xml:space="preserve">PCE Technical Manual</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px_tm.docx</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https://www.va.gov/documents/Clinical/Patient_Care_Encounter_(PCE)/px_tm.docx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F1F1F"/>
                <w:sz w:val="20"/>
                <w:szCs w:val="20"/>
              </w:rPr>
              <w:t xml:space="preserve">PCE User Manual (PX*1*241)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px_um.docx</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https://www.va.gov/documents/Clinical/Patient_Care_Encounter_(PCE)/px_um.docx</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bCs/>
                <w:color w:val="1F1F1F"/>
                <w:sz w:val="20"/>
                <w:szCs w:val="20"/>
              </w:rPr>
              <w:t xml:space="preserve">PCE Quick Reference Card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pxqr.docx</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https://www.va.gov/documents/Clinical/Patient_Care_Encounter_(PCE)/pxqr.docx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F1F1F"/>
                <w:sz w:val="20"/>
                <w:szCs w:val="20"/>
              </w:rPr>
              <w:t xml:space="preserve">PCE User Manual Appendices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pxumappx.docx</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https://www.va.gov/documents/Clinical/Patient_Care_Encounter_(PCE)/pxumappx.docx</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bCs/>
                <w:color w:val="1F1F1F"/>
                <w:sz w:val="20"/>
                <w:szCs w:val="20"/>
              </w:rPr>
              <w:t xml:space="preserve">Clinical Reminders Clinician User Guide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pxrm_2_4_um.docx</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https://www.va.gov/documents/Clinical/CPRS-Clinical_Reminders/pxrm_2_4_um.docx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F1F1F"/>
                <w:sz w:val="20"/>
                <w:szCs w:val="20"/>
              </w:rPr>
              <w:t xml:space="preserve">Clinical Reminders Manager Manual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pxrm_2_mm.docx</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https://www.va.gov/documents/Clinical/CPRS-Clinical_Reminders/pxrm_2_mm.docx</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bCs/>
                <w:color w:val="1F1F1F"/>
                <w:sz w:val="20"/>
                <w:szCs w:val="20"/>
              </w:rPr>
              <w:t xml:space="preserve">ACR Ambulatory Care Reporting Tech Manual</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acr_p_pimstm.docx</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https://www.va.gov/documents/Clinical/Ambulatory_Care_Rptg_(ACR)/acr_p_pimstm.docx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F1F1F"/>
                <w:sz w:val="20"/>
                <w:szCs w:val="20"/>
              </w:rPr>
              <w:t xml:space="preserve">ACR Ambulatory Care Reporting User Manual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acr_puse.docx</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https://www.va.gov/documents/Clinical/Ambulatory_Care_Rptg_(ACR)/acr_puse.docx</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bCs/>
                <w:color w:val="1F1F1F"/>
                <w:sz w:val="20"/>
                <w:szCs w:val="20"/>
              </w:rPr>
              <w:t xml:space="preserve">Health Summary User Manual</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hsum_2_7_um.docx</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595959"/>
                <w:sz w:val="20"/>
                <w:szCs w:val="20"/>
              </w:rPr>
              <w:t xml:space="preserve">https://www.va.gov/documents/Clinical/CPRS-Health_Summary/hsum_2_7_um.docx</w:t>
            </w:r>
          </w:p>
        </w:tc>
      </w:tr>
    </w:tbl>
    <w:p>
      <w:pPr>
        <w:spacing w:before="160" w:after="0"/>
      </w:pPr>
      <w:r>
        <w:t xml:space="preserve"/>
      </w:r>
    </w:p>
    <w:p>
      <w:pPr>
        <w:pStyle w:val="Heading2"/>
        <w:spacing w:before="280" w:after="120"/>
      </w:pPr>
      <w:r>
        <w:rPr>
          <w:rFonts w:ascii="Arial" w:cs="Arial" w:eastAsia="Arial" w:hAnsi="Arial"/>
          <w:b/>
          <w:bCs/>
          <w:color w:val="2E75B6"/>
          <w:sz w:val="26"/>
          <w:szCs w:val="26"/>
        </w:rPr>
        <w:t xml:space="preserve">Primary Sources Used</w:t>
      </w:r>
    </w:p>
    <w:p>
      <w:pPr>
        <w:pStyle w:val="ListParagraph"/>
        <w:numPr>
          <w:ilvl w:val="0"/>
          <w:numId w:val="2"/>
        </w:numPr>
        <w:spacing w:before="40" w:after="40"/>
      </w:pPr>
      <w:r>
        <w:rPr>
          <w:rFonts w:ascii="Arial" w:cs="Arial" w:eastAsia="Arial" w:hAnsi="Arial"/>
          <w:color w:val="595959"/>
          <w:sz w:val="22"/>
          <w:szCs w:val="22"/>
        </w:rPr>
        <w:t xml:space="preserve">CPRS User Manual: GUI Version (cprsguium.docx) — OR*3.0*626 — fetched</w:t>
      </w:r>
    </w:p>
    <w:p>
      <w:pPr>
        <w:pStyle w:val="ListParagraph"/>
        <w:numPr>
          <w:ilvl w:val="0"/>
          <w:numId w:val="2"/>
        </w:numPr>
        <w:spacing w:before="40" w:after="40"/>
      </w:pPr>
      <w:r>
        <w:rPr>
          <w:rFonts w:ascii="Arial" w:cs="Arial" w:eastAsia="Arial" w:hAnsi="Arial"/>
          <w:color w:val="595959"/>
          <w:sz w:val="22"/>
          <w:szCs w:val="22"/>
        </w:rPr>
        <w:t xml:space="preserve">CPRS Technical Manual: GUI Version (cprsguitm.docx) — OR*3.0*636 — fetched</w:t>
      </w:r>
    </w:p>
    <w:p>
      <w:pPr>
        <w:pStyle w:val="ListParagraph"/>
        <w:numPr>
          <w:ilvl w:val="0"/>
          <w:numId w:val="2"/>
        </w:numPr>
        <w:spacing w:before="40" w:after="40"/>
      </w:pPr>
      <w:r>
        <w:rPr>
          <w:rFonts w:ascii="Arial" w:cs="Arial" w:eastAsia="Arial" w:hAnsi="Arial"/>
          <w:color w:val="595959"/>
          <w:sz w:val="22"/>
          <w:szCs w:val="22"/>
        </w:rPr>
        <w:t xml:space="preserve">CPRS Setup Guide (cprssetup.docx) — fetched</w:t>
      </w:r>
    </w:p>
    <w:p>
      <w:pPr>
        <w:pStyle w:val="ListParagraph"/>
        <w:numPr>
          <w:ilvl w:val="0"/>
          <w:numId w:val="2"/>
        </w:numPr>
        <w:spacing w:before="40" w:after="40"/>
      </w:pPr>
      <w:r>
        <w:rPr>
          <w:rFonts w:ascii="Arial" w:cs="Arial" w:eastAsia="Arial" w:hAnsi="Arial"/>
          <w:color w:val="595959"/>
          <w:sz w:val="22"/>
          <w:szCs w:val="22"/>
        </w:rPr>
        <w:t xml:space="preserve">VDL inventory (vdl_inventory.csv) — March 2026 — for package and URL discovery</w:t>
      </w:r>
    </w:p>
    <w:p>
      <w:pPr>
        <w:pStyle w:val="ListParagraph"/>
        <w:numPr>
          <w:ilvl w:val="0"/>
          <w:numId w:val="2"/>
        </w:numPr>
        <w:spacing w:before="40" w:after="40"/>
      </w:pPr>
      <w:r>
        <w:rPr>
          <w:rFonts w:ascii="Arial" w:cs="Arial" w:eastAsia="Arial" w:hAnsi="Arial"/>
          <w:color w:val="595959"/>
          <w:sz w:val="22"/>
          <w:szCs w:val="22"/>
        </w:rPr>
        <w:t xml:space="preserve">VDL metadata for PX, PXRM, GMTS, ACR packages — inventory-level only; source docs not fetched</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before="80" w:after="0"/>
      <w:jc w:val="right"/>
    </w:pPr>
    <w:r>
      <w:rPr>
        <w:rFonts w:ascii="Arial" w:cs="Arial" w:eastAsia="Arial" w:hAnsi="Arial"/>
        <w:color w:val="595959"/>
        <w:sz w:val="18"/>
        <w:szCs w:val="18"/>
      </w:rPr>
      <w:t xml:space="preserve">Developer &amp; Implementer Reference  |  Synthesised from VDL  |  March 2026  |  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before="0" w:after="80"/>
    </w:pPr>
    <w:r>
      <w:rPr>
        <w:rFonts w:ascii="Arial" w:cs="Arial" w:eastAsia="Arial" w:hAnsi="Arial"/>
        <w:color w:val="595959"/>
        <w:sz w:val="18"/>
        <w:szCs w:val="18"/>
      </w:rPr>
      <w:t xml:space="preserve">PCE — Patient Care Encounter  |  VistA Documentation Library Synthesis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2026-03-11T15:05:26.678Z</dcterms:created>
  <dcterms:modified xsi:type="dcterms:W3CDTF">2026-03-11T15:05:26.679Z</dcterms:modified>
</cp:coreProperties>
</file>

<file path=docProps/custom.xml><?xml version="1.0" encoding="utf-8"?>
<Properties xmlns="http://schemas.openxmlformats.org/officeDocument/2006/custom-properties" xmlns:vt="http://schemas.openxmlformats.org/officeDocument/2006/docPropsVTypes"/>
</file>