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color w:val="2E75B6"/>
          <w:sz w:val="24"/>
          <w:szCs w:val="24"/>
        </w:rPr>
        <w:t xml:space="preserve">VistA / CPRS</w:t>
      </w:r>
    </w:p>
    <w:p>
      <w:pPr>
        <w:spacing w:before="0" w:after="120"/>
        <w:jc w:val="center"/>
      </w:pPr>
      <w:r>
        <w:rPr>
          <w:rFonts w:ascii="Arial" w:cs="Arial" w:eastAsia="Arial" w:hAnsi="Arial"/>
          <w:b/>
          <w:bCs/>
          <w:color w:val="1F3864"/>
          <w:sz w:val="52"/>
          <w:szCs w:val="52"/>
        </w:rPr>
        <w:t xml:space="preserve">CPRS Reports &amp; Clinical Data Views</w:t>
      </w:r>
    </w:p>
    <w:p>
      <w:pPr>
        <w:spacing w:before="0" w:after="480"/>
        <w:jc w:val="center"/>
      </w:pPr>
      <w:r>
        <w:rPr>
          <w:rFonts w:ascii="Arial" w:cs="Arial" w:eastAsia="Arial" w:hAnsi="Arial"/>
          <w:color w:val="595959"/>
          <w:sz w:val="28"/>
          <w:szCs w:val="28"/>
        </w:rPr>
        <w:t xml:space="preserve">A Developer &amp; Implementer Reference</w:t>
      </w:r>
    </w:p>
    <w:p>
      <w:pPr>
        <w:pBdr>
          <w:bottom w:val="single" w:color="2E75B6" w:sz="6" w:space="1"/>
        </w:pBdr>
        <w:spacing w:before="0" w:after="480"/>
      </w:pPr>
    </w:p>
    <w:p>
      <w:pPr>
        <w:spacing w:before="0" w:after="80"/>
        <w:jc w:val="center"/>
      </w:pPr>
      <w:r>
        <w:rPr>
          <w:rFonts w:ascii="Arial" w:cs="Arial" w:eastAsia="Arial" w:hAnsi="Arial"/>
          <w:i/>
          <w:iCs/>
          <w:color w:val="595959"/>
          <w:sz w:val="22"/>
          <w:szCs w:val="22"/>
        </w:rPr>
        <w:t xml:space="preserve">Synthesised from the VA VistA Documentation Library (VDL)</w:t>
      </w:r>
    </w:p>
    <w:p>
      <w:pPr>
        <w:spacing w:before="0" w:after="80"/>
        <w:jc w:val="center"/>
      </w:pPr>
      <w:r>
        <w:rPr>
          <w:rFonts w:ascii="Arial" w:cs="Arial" w:eastAsia="Arial" w:hAnsi="Arial"/>
          <w:color w:val="595959"/>
          <w:sz w:val="20"/>
          <w:szCs w:val="20"/>
        </w:rPr>
        <w:t xml:space="preserve">Primary sources: CPRS User Manual (GUI), CPRS Technical Manual, Health Summary (GMTS)</w:t>
      </w:r>
    </w:p>
    <w:p>
      <w:pPr>
        <w:spacing w:before="0" w:after="80"/>
        <w:jc w:val="center"/>
      </w:pPr>
      <w:r>
        <w:rPr>
          <w:rFonts w:ascii="Arial" w:cs="Arial" w:eastAsia="Arial" w:hAnsi="Arial"/>
          <w:color w:val="595959"/>
          <w:sz w:val="20"/>
          <w:szCs w:val="20"/>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VDL COVERAGE: </w:t>
            </w:r>
            <w:r>
              <w:rPr>
                <w:rFonts w:ascii="Arial" w:cs="Arial" w:eastAsia="Arial" w:hAnsi="Arial"/>
                <w:color w:val="4A4A4A"/>
                <w:sz w:val="20"/>
                <w:szCs w:val="20"/>
              </w:rPr>
              <w:t xml:space="preserve">VDL documentation is uneven. Base manuals reflect OR*3.0*626 (CPRS v32) and OR*3.0*636; patch-specific behaviour may differ. Supplementary packages (Health Summary, Problem List, Vitals, Allergies) are identified in the inventory but their full user manuals were not available at time of writing.</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1. Architecture: How CPRS Aggregates Clinical Data</w:t>
      </w:r>
    </w:p>
    <w:p>
      <w:pPr>
        <w:spacing w:before="60" w:after="100"/>
      </w:pPr>
      <w:r>
        <w:rPr>
          <w:rFonts w:ascii="Arial" w:cs="Arial" w:eastAsia="Arial" w:hAnsi="Arial"/>
          <w:color w:val="595959"/>
          <w:sz w:val="22"/>
          <w:szCs w:val="22"/>
        </w:rPr>
        <w:t xml:space="preserve">CPRS (Computerized Patient Record System) is a GUI front-end for VistA that does not store clinical data itself. Every data element displayed in CPRS — medications, labs, vitals, problems, allergies, documents — is owned by a back-end VistA package and retrieved via Remote Procedure Calls (RPCs) at runtime.</w:t>
      </w:r>
    </w:p>
    <w:p>
      <w:pPr>
        <w:spacing w:before="80" w:after="0"/>
      </w:pPr>
      <w:r>
        <w:t xml:space="preserve"/>
      </w:r>
    </w:p>
    <w:p>
      <w:pPr>
        <w:spacing w:before="60" w:after="100"/>
      </w:pPr>
      <w:r>
        <w:rPr>
          <w:rFonts w:ascii="Arial" w:cs="Arial" w:eastAsia="Arial" w:hAnsi="Arial"/>
          <w:color w:val="595959"/>
          <w:sz w:val="22"/>
          <w:szCs w:val="22"/>
        </w:rPr>
        <w:t xml:space="preserve">Understanding this ownership model is essential for implementers. The same clinical fact can surface in multiple CPRS contexts simultaneously: on the Coversheet, in the Reports tab, in the Orders tab, in a Health Summary, and in a Clinical Reminder — each rendering the data differently, with different currency, and sourced via different RPCs from different VistA packages.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1.1 Package Ownership Map</w:t>
      </w:r>
    </w:p>
    <w:p>
      <w:pPr>
        <w:spacing w:before="60" w:after="100"/>
      </w:pPr>
      <w:r>
        <w:rPr>
          <w:rFonts w:ascii="Arial" w:cs="Arial" w:eastAsia="Arial" w:hAnsi="Arial"/>
          <w:color w:val="595959"/>
          <w:sz w:val="22"/>
          <w:szCs w:val="22"/>
        </w:rPr>
        <w:t xml:space="preserve">The table below maps each major clinical domain to its authoritative VistA package and the primary CPRS surfaces where it appears.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Clinical Domain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VistA Package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Package Code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CPRS Surfaces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Active Medications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Outpatient Pharmacy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PSO*7</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Meds, Reports → Medications, Orders tab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Inpatient Medications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Inpatient Medications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PSJ*5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Meds, Reports → Medications, Orders tab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Lab Results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Laboratory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LR*5.2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Labs, Reports → Labs, Graphing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Vital Signs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Vitals/Measurements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GMRV*5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Vitals, Reports → Vitals, Graphing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Allergies / ADRs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Adverse Reaction Tracking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GMRA*4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Postings, Reports → Allergies, Banner 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Problem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Problem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GMPL*2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Problems, Reports → Diagnoses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Documents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Integration Utility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Notes tab, Reports → Progress Notes/Discharge Summaries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Radiology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Radiology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RA*5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Reports → Radiology Reports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Consults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Consult/Request Tracking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GMRC*3</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Consults tab, Reports → Consults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Reminders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Clinical Reminders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PXRM*2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Reminders, Reminders drawer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Health 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Health Summary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GMTS*2.7</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Reports tab → Health Summary (configurable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Patient Movement / ADT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ADT (PIMS)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DG*5.3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Coversheet → Postings, Reports → Admissions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Encounter / Visit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Encounter form, Reports → Encounters (via Health Summary)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CPRS / Order Entry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OR*3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Orders tab, Coversheet → Orders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VDL GAP: </w:t>
            </w:r>
            <w:r>
              <w:rPr>
                <w:rFonts w:ascii="Arial" w:cs="Arial" w:eastAsia="Arial" w:hAnsi="Arial"/>
                <w:color w:val="4A4A4A"/>
                <w:sz w:val="20"/>
                <w:szCs w:val="20"/>
              </w:rPr>
              <w:t xml:space="preserve">Laboratory (LR*5.2) has no active .docx files in the VDL as of this writing. Lab-related behaviour in CPRS is documented within the CPRS Technical Manual (cprsguitm.docx) rather than in a standalone LR manual.</w:t>
            </w:r>
          </w:p>
        </w:tc>
      </w:tr>
    </w:tbl>
    <w:p>
      <w:pPr>
        <w:spacing w:before="80" w:after="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2. The Coversheet: First-Look Clinical Snapshot</w:t>
      </w:r>
    </w:p>
    <w:p>
      <w:pPr>
        <w:spacing w:before="60" w:after="100"/>
      </w:pPr>
      <w:r>
        <w:rPr>
          <w:rFonts w:ascii="Arial" w:cs="Arial" w:eastAsia="Arial" w:hAnsi="Arial"/>
          <w:color w:val="595959"/>
          <w:sz w:val="22"/>
          <w:szCs w:val="22"/>
        </w:rPr>
        <w:t xml:space="preserve">The Coversheet is the default view when a patient is selected in CPRS. It presents a configurable, read-only summary of current clinical status drawn from multiple back-end packages simultaneously. For implementers, the Coversheet is a parameterised view: site-level and user-level parameters control which components appear and in what time range.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2.1 Coversheet Components</w:t>
      </w:r>
    </w:p>
    <w:p>
      <w:pPr>
        <w:spacing w:before="60" w:after="100"/>
      </w:pPr>
      <w:r>
        <w:rPr>
          <w:rFonts w:ascii="Arial" w:cs="Arial" w:eastAsia="Arial" w:hAnsi="Arial"/>
          <w:color w:val="595959"/>
          <w:sz w:val="22"/>
          <w:szCs w:val="22"/>
        </w:rPr>
        <w:t xml:space="preserve">The Coversheet is divided into panes. Each pane is populated by RPCs that query a specific VistA package. The standard panes and their data sources are: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80"/>
        <w:gridCol w:w="32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Coversheet Pane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Data Source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Key Parameters</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Implementation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Active Problems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GMPL*2</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PROBLEM LIST COVERSHEET (ORQQPL)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Displays active problems only. ICD code and free-text narrative shown. Problem list must be actively maintained by clinicians.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Allergies / Adverse Reactions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GMRA*4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None — always shown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Displays verified allergies and adverse reactions. Unverified entries shown with flag. Also appears in the banner bar at all times.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Postings (Flags)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DG*5.3, DGPF</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None — always shown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Patient Record Flags (PRFs) and clinical postings. Category I flags (national) shown first. Requires DG*5.3*425 or later.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Active Medications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PSO*7, PSJ*5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MEDS TIME LIMIT (ORWRP MEDS DISPLAYED)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Outpatient and inpatient medications. Time window configurable. Pending, active, and recently discontinued shown. Controlled substances flagged if ePCS installed.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Reminders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PXRM*2</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Reminder configuration (PXRM parameters)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Due and applicable reminders. Requires reminder definitions, reminder terms, and patient cohort logic configured. Click-through launches reminder dialog.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Lab 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LR*5.2 via OR RPCs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LAB RESULTS (ORQQCS RANGE, ORQQCS START)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Most recent results per test type. Date range configurable (default: 1 year). Abnormal values flagged. Links to full lab Reports 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Vital Signs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GMRV*5</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VITALS TIME LIMIT (ORQQVS)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Latest recorded vitals. BMI computed. Link to graphing available. Date of last entry shown.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Appointments / Visits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SD*5.3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VISIT TIME LIMIT (ORQQAPPT)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Upcoming and recent appointments. Requires scheduling module.</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2.2 Coversheet Parameter Configuration</w:t>
      </w:r>
    </w:p>
    <w:p>
      <w:pPr>
        <w:spacing w:before="60" w:after="100"/>
      </w:pPr>
      <w:r>
        <w:rPr>
          <w:rFonts w:ascii="Arial" w:cs="Arial" w:eastAsia="Arial" w:hAnsi="Arial"/>
          <w:color w:val="595959"/>
          <w:sz w:val="22"/>
          <w:szCs w:val="22"/>
        </w:rPr>
        <w:t xml:space="preserve">CPRS uses the General Parameter Tools (XPAR namespace) to manage Coversheet configuration. Key parameters are set at the System, Division, or User level. Implementers configure these via the CPRS Configuration menus accessible to Clinical Application Coordinators (CACs) and IRM.</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ORWCH BOUNDS — controls position and size of each Coversheet pane (user-level)</w:t>
      </w:r>
    </w:p>
    <w:p>
      <w:pPr>
        <w:pStyle w:val="ListParagraph"/>
        <w:numPr>
          <w:ilvl w:val="0"/>
          <w:numId w:val="2"/>
        </w:numPr>
        <w:spacing w:before="40" w:after="40"/>
      </w:pPr>
      <w:r>
        <w:rPr>
          <w:rFonts w:ascii="Arial" w:cs="Arial" w:eastAsia="Arial" w:hAnsi="Arial"/>
          <w:color w:val="595959"/>
          <w:sz w:val="22"/>
          <w:szCs w:val="22"/>
        </w:rPr>
        <w:t xml:space="preserve">ORWRP MEDS DISPLAYED — active medications time window</w:t>
      </w:r>
    </w:p>
    <w:p>
      <w:pPr>
        <w:pStyle w:val="ListParagraph"/>
        <w:numPr>
          <w:ilvl w:val="0"/>
          <w:numId w:val="2"/>
        </w:numPr>
        <w:spacing w:before="40" w:after="40"/>
      </w:pPr>
      <w:r>
        <w:rPr>
          <w:rFonts w:ascii="Arial" w:cs="Arial" w:eastAsia="Arial" w:hAnsi="Arial"/>
          <w:color w:val="595959"/>
          <w:sz w:val="22"/>
          <w:szCs w:val="22"/>
        </w:rPr>
        <w:t xml:space="preserve">ORQQCS RANGE / ORQQCS START — lab results display range</w:t>
      </w:r>
    </w:p>
    <w:p>
      <w:pPr>
        <w:pStyle w:val="ListParagraph"/>
        <w:numPr>
          <w:ilvl w:val="0"/>
          <w:numId w:val="2"/>
        </w:numPr>
        <w:spacing w:before="40" w:after="40"/>
      </w:pPr>
      <w:r>
        <w:rPr>
          <w:rFonts w:ascii="Arial" w:cs="Arial" w:eastAsia="Arial" w:hAnsi="Arial"/>
          <w:color w:val="595959"/>
          <w:sz w:val="22"/>
          <w:szCs w:val="22"/>
        </w:rPr>
        <w:t xml:space="preserve">ORQQVS — vitals time window</w:t>
      </w:r>
    </w:p>
    <w:p>
      <w:pPr>
        <w:pStyle w:val="ListParagraph"/>
        <w:numPr>
          <w:ilvl w:val="0"/>
          <w:numId w:val="2"/>
        </w:numPr>
        <w:spacing w:before="40" w:after="40"/>
      </w:pPr>
      <w:r>
        <w:rPr>
          <w:rFonts w:ascii="Arial" w:cs="Arial" w:eastAsia="Arial" w:hAnsi="Arial"/>
          <w:color w:val="595959"/>
          <w:sz w:val="22"/>
          <w:szCs w:val="22"/>
        </w:rPr>
        <w:t xml:space="preserve">ORQQAPPT — appointments time window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Parameter hierarchy: System → Division → User. User-level overrides take effect immediately. Division-level requires CPRS restart. Changes to system-level parameters affect all users at next sign-on.</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3. The Reports Tab: Structured Clinical Data Access</w:t>
      </w:r>
    </w:p>
    <w:p>
      <w:pPr>
        <w:spacing w:before="60" w:after="100"/>
      </w:pPr>
      <w:r>
        <w:rPr>
          <w:rFonts w:ascii="Arial" w:cs="Arial" w:eastAsia="Arial" w:hAnsi="Arial"/>
          <w:color w:val="595959"/>
          <w:sz w:val="22"/>
          <w:szCs w:val="22"/>
        </w:rPr>
        <w:t xml:space="preserve">The Reports tab provides structured, detailed access to the same clinical data shown on the Coversheet, plus additional longitudinal views not available in other CPRS tabs. It is the primary interface for reviewing a patient's full clinical history rather than current status.</w:t>
      </w:r>
    </w:p>
    <w:p>
      <w:pPr>
        <w:spacing w:before="80" w:after="0"/>
      </w:pPr>
      <w:r>
        <w:t xml:space="preserve"/>
      </w:r>
    </w:p>
    <w:p>
      <w:pPr>
        <w:spacing w:before="60" w:after="100"/>
      </w:pPr>
      <w:r>
        <w:rPr>
          <w:rFonts w:ascii="Arial" w:cs="Arial" w:eastAsia="Arial" w:hAnsi="Arial"/>
          <w:color w:val="595959"/>
          <w:sz w:val="22"/>
          <w:szCs w:val="22"/>
        </w:rPr>
        <w:t xml:space="preserve">The Reports tab is divided into two report categories: Ad Hoc Reports (built-in CPRS report views) and Health Summary (configurable, package-based summaries). These are functionally distinct and serve different use cases.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3.1 Ad Hoc Reports (Built-in CPRS Report Views)</w:t>
      </w:r>
    </w:p>
    <w:p>
      <w:pPr>
        <w:spacing w:before="60" w:after="100"/>
      </w:pPr>
      <w:r>
        <w:rPr>
          <w:rFonts w:ascii="Arial" w:cs="Arial" w:eastAsia="Arial" w:hAnsi="Arial"/>
          <w:color w:val="595959"/>
          <w:sz w:val="22"/>
          <w:szCs w:val="22"/>
        </w:rPr>
        <w:t xml:space="preserve">Ad hoc reports are built into CPRS and require no additional configuration beyond package availability. They query VistA packages directly via RPCs. Each report type is a distinct view of package data, often with configurable date ranges.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42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Report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Data Source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Format</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Key Details for Implementers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Medications — Outpatient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list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All outpatient prescriptions within date range. Shows fill history, remaining refills, routing (window/mail/ePCS). Controlled substance schedule shown if CS Medication Report param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Medications — Inpatient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PSJ*5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list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Unit-dose and IV orders from Pharmacy. Ward, schedule, status (active/held/discontinued) shown. Nurse comments visible.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Medications — Non-VA Meds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list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Self-reported non-VA medications documented by clinician. Requires PSO*7*100 or later. Not verified by pharmacy.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Lab Results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LR*5.2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 Graph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Chemistry, microbiology, blood bank, cytology, anatomic pathology sub-types available as separate sub-reports. Date range selectable. Graph view available for numeric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Vital Signs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GMRV*5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 Graph</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All recorded vitals in date range. Graph view shows trends. Baseline and most recent always shown. BMI computed from height/weight.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Allergies / Adverse Reactions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GMRA*4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list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Full allergy and ADR history. Shows causative agent, reaction type, severity, date documented, and documenting user.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Diagnoses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GMPL*2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list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Problem list — active and inactive. ICD-10 coded. Date onset, date resolved, responsible provider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Progress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(full)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All signed progress notes. Filter by date range and note class. Co-signers, addenda, and amendment history visible.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Discharge Summaries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(full)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Inpatient discharge summaries. Requires TIU configuration for Discharge Summary document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Procedures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TIU*1 / MD*1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Procedure notes and clinical procedures documented via Medicine package. Requires MD package configuration.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Radiology Reports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RA*5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(full)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Interpreted radiology reports. Requires RA package with report finalisation. Preliminary reports flagged. Images not displayed in CPRS (separate VistARad viewer).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Consults / Procedures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GMRC*3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(full)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Consult requests and their results. Status (pending/active/complete/cancelled) shown. Associated TIU result notes linked.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Surgery Reports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SR*3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Operative reports from Surgery package. Requires SR*3 installation.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Admissions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DG*5.3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list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Inpatient admission/discharge/transfer history. Ward, treating specialty, length of stay, disposition shown.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Crisis Notes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Text (full)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Crisis notes document class — requires TIU configuration. High-visibility flag in patient banner when present.</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3.2 Graphing</w:t>
      </w:r>
    </w:p>
    <w:p>
      <w:pPr>
        <w:spacing w:before="60" w:after="100"/>
      </w:pPr>
      <w:r>
        <w:rPr>
          <w:rFonts w:ascii="Arial" w:cs="Arial" w:eastAsia="Arial" w:hAnsi="Arial"/>
          <w:color w:val="595959"/>
          <w:sz w:val="22"/>
          <w:szCs w:val="22"/>
        </w:rPr>
        <w:t xml:space="preserve">CPRS includes a built-in Graphing tool accessible from the Reports tab (and from individual lab and vitals report views). Graphing renders time-series data for any combination of numeric clinical values.</w:t>
      </w:r>
    </w:p>
    <w:p>
      <w:pPr>
        <w:spacing w:before="80" w:after="0"/>
      </w:pPr>
      <w:r>
        <w:t xml:space="preserve"/>
      </w:r>
    </w:p>
    <w:p>
      <w:pPr>
        <w:pStyle w:val="Heading3"/>
        <w:spacing w:before="200" w:after="80"/>
      </w:pPr>
      <w:r>
        <w:rPr>
          <w:rFonts w:ascii="Arial" w:cs="Arial" w:eastAsia="Arial" w:hAnsi="Arial"/>
          <w:b/>
          <w:bCs/>
          <w:color w:val="1F3864"/>
          <w:sz w:val="22"/>
          <w:szCs w:val="22"/>
        </w:rPr>
        <w:t xml:space="preserve">What Can Be Graphed</w:t>
      </w:r>
    </w:p>
    <w:p>
      <w:pPr>
        <w:pStyle w:val="ListParagraph"/>
        <w:numPr>
          <w:ilvl w:val="0"/>
          <w:numId w:val="2"/>
        </w:numPr>
        <w:spacing w:before="40" w:after="40"/>
      </w:pPr>
      <w:r>
        <w:rPr>
          <w:rFonts w:ascii="Arial" w:cs="Arial" w:eastAsia="Arial" w:hAnsi="Arial"/>
          <w:color w:val="595959"/>
          <w:sz w:val="22"/>
          <w:szCs w:val="22"/>
        </w:rPr>
        <w:t xml:space="preserve">Lab tests (any numeric result in LR)</w:t>
      </w:r>
    </w:p>
    <w:p>
      <w:pPr>
        <w:pStyle w:val="ListParagraph"/>
        <w:numPr>
          <w:ilvl w:val="0"/>
          <w:numId w:val="2"/>
        </w:numPr>
        <w:spacing w:before="40" w:after="40"/>
      </w:pPr>
      <w:r>
        <w:rPr>
          <w:rFonts w:ascii="Arial" w:cs="Arial" w:eastAsia="Arial" w:hAnsi="Arial"/>
          <w:color w:val="595959"/>
          <w:sz w:val="22"/>
          <w:szCs w:val="22"/>
        </w:rPr>
        <w:t xml:space="preserve">Vital signs (any GMRV-recorded vital)</w:t>
      </w:r>
    </w:p>
    <w:p>
      <w:pPr>
        <w:pStyle w:val="ListParagraph"/>
        <w:numPr>
          <w:ilvl w:val="0"/>
          <w:numId w:val="2"/>
        </w:numPr>
        <w:spacing w:before="40" w:after="40"/>
      </w:pPr>
      <w:r>
        <w:rPr>
          <w:rFonts w:ascii="Arial" w:cs="Arial" w:eastAsia="Arial" w:hAnsi="Arial"/>
          <w:color w:val="595959"/>
          <w:sz w:val="22"/>
          <w:szCs w:val="22"/>
        </w:rPr>
        <w:t xml:space="preserve">Medications (administered doses over time — inpatient only, via PSJ)</w:t>
      </w:r>
    </w:p>
    <w:p>
      <w:pPr>
        <w:pStyle w:val="ListParagraph"/>
        <w:numPr>
          <w:ilvl w:val="0"/>
          <w:numId w:val="2"/>
        </w:numPr>
        <w:spacing w:before="40" w:after="40"/>
      </w:pPr>
      <w:r>
        <w:rPr>
          <w:rFonts w:ascii="Arial" w:cs="Arial" w:eastAsia="Arial" w:hAnsi="Arial"/>
          <w:color w:val="595959"/>
          <w:sz w:val="22"/>
          <w:szCs w:val="22"/>
        </w:rPr>
        <w:t xml:space="preserve">Clinical Reminders (due/satisfied dates — requires PXRM)</w:t>
      </w:r>
    </w:p>
    <w:p>
      <w:pPr>
        <w:spacing w:before="80" w:after="0"/>
      </w:pPr>
      <w:r>
        <w:t xml:space="preserve"/>
      </w:r>
    </w:p>
    <w:p>
      <w:pPr>
        <w:pStyle w:val="Heading3"/>
        <w:spacing w:before="200" w:after="80"/>
      </w:pPr>
      <w:r>
        <w:rPr>
          <w:rFonts w:ascii="Arial" w:cs="Arial" w:eastAsia="Arial" w:hAnsi="Arial"/>
          <w:b/>
          <w:bCs/>
          <w:color w:val="1F3864"/>
          <w:sz w:val="22"/>
          <w:szCs w:val="22"/>
        </w:rPr>
        <w:t xml:space="preserve">Graph Configuration Points for Implementers</w:t>
      </w:r>
    </w:p>
    <w:p>
      <w:pPr>
        <w:pStyle w:val="ListParagraph"/>
        <w:numPr>
          <w:ilvl w:val="0"/>
          <w:numId w:val="2"/>
        </w:numPr>
        <w:spacing w:before="40" w:after="40"/>
      </w:pPr>
      <w:r>
        <w:rPr>
          <w:rFonts w:ascii="Arial" w:cs="Arial" w:eastAsia="Arial" w:hAnsi="Arial"/>
          <w:color w:val="595959"/>
          <w:sz w:val="22"/>
          <w:szCs w:val="22"/>
        </w:rPr>
        <w:t xml:space="preserve">Graph type: line, bar, scatter (user-selectable at runtime)</w:t>
      </w:r>
    </w:p>
    <w:p>
      <w:pPr>
        <w:pStyle w:val="ListParagraph"/>
        <w:numPr>
          <w:ilvl w:val="0"/>
          <w:numId w:val="2"/>
        </w:numPr>
        <w:spacing w:before="40" w:after="40"/>
      </w:pPr>
      <w:r>
        <w:rPr>
          <w:rFonts w:ascii="Arial" w:cs="Arial" w:eastAsia="Arial" w:hAnsi="Arial"/>
          <w:color w:val="595959"/>
          <w:sz w:val="22"/>
          <w:szCs w:val="22"/>
        </w:rPr>
        <w:t xml:space="preserve">Date range: configurable, defaults to 1 year</w:t>
      </w:r>
    </w:p>
    <w:p>
      <w:pPr>
        <w:pStyle w:val="ListParagraph"/>
        <w:numPr>
          <w:ilvl w:val="0"/>
          <w:numId w:val="2"/>
        </w:numPr>
        <w:spacing w:before="40" w:after="40"/>
      </w:pPr>
      <w:r>
        <w:rPr>
          <w:rFonts w:ascii="Arial" w:cs="Arial" w:eastAsia="Arial" w:hAnsi="Arial"/>
          <w:color w:val="595959"/>
          <w:sz w:val="22"/>
          <w:szCs w:val="22"/>
        </w:rPr>
        <w:t xml:space="preserve">Overlay: multiple data sources on a single graph (e.g., serum creatinine + eGFR)</w:t>
      </w:r>
    </w:p>
    <w:p>
      <w:pPr>
        <w:pStyle w:val="ListParagraph"/>
        <w:numPr>
          <w:ilvl w:val="0"/>
          <w:numId w:val="2"/>
        </w:numPr>
        <w:spacing w:before="40" w:after="40"/>
      </w:pPr>
      <w:r>
        <w:rPr>
          <w:rFonts w:ascii="Arial" w:cs="Arial" w:eastAsia="Arial" w:hAnsi="Arial"/>
          <w:color w:val="595959"/>
          <w:sz w:val="22"/>
          <w:szCs w:val="22"/>
        </w:rPr>
        <w:t xml:space="preserve">Reference ranges: shown as shaded bands if defined in LR package for that test</w:t>
      </w:r>
    </w:p>
    <w:p>
      <w:pPr>
        <w:pStyle w:val="ListParagraph"/>
        <w:numPr>
          <w:ilvl w:val="0"/>
          <w:numId w:val="2"/>
        </w:numPr>
        <w:spacing w:before="40" w:after="40"/>
      </w:pPr>
      <w:r>
        <w:rPr>
          <w:rFonts w:ascii="Arial" w:cs="Arial" w:eastAsia="Arial" w:hAnsi="Arial"/>
          <w:color w:val="595959"/>
          <w:sz w:val="22"/>
          <w:szCs w:val="22"/>
        </w:rPr>
        <w:t xml:space="preserve">ORWRP GRAPH SETTINGS — system-level parameter controlling default graph display options</w:t>
      </w:r>
    </w:p>
    <w:p>
      <w:pPr>
        <w:pStyle w:val="ListParagraph"/>
        <w:numPr>
          <w:ilvl w:val="0"/>
          <w:numId w:val="2"/>
        </w:numPr>
        <w:spacing w:before="40" w:after="40"/>
      </w:pPr>
      <w:r>
        <w:rPr>
          <w:rFonts w:ascii="Arial" w:cs="Arial" w:eastAsia="Arial" w:hAnsi="Arial"/>
          <w:color w:val="595959"/>
          <w:sz w:val="22"/>
          <w:szCs w:val="22"/>
        </w:rPr>
        <w:t xml:space="preserve">ORWRP GRAPH EXCLUDE LIST — parameters to suppress specific data types from graphing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Graph data is rendered client-side in the CPRS GUI. The CPRS Technical Manual notes that very large date ranges or high-frequency vitals data can cause slow graph rendering on low-resource workstations. Implementers should test with realistic data volumes.</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3.3 Health Summary Reports</w:t>
      </w:r>
    </w:p>
    <w:p>
      <w:pPr>
        <w:spacing w:before="60" w:after="100"/>
      </w:pPr>
      <w:r>
        <w:rPr>
          <w:rFonts w:ascii="Arial" w:cs="Arial" w:eastAsia="Arial" w:hAnsi="Arial"/>
          <w:color w:val="595959"/>
          <w:sz w:val="22"/>
          <w:szCs w:val="22"/>
        </w:rPr>
        <w:t xml:space="preserve">Health Summary (package: GMTS*2.7) provides a configurable, component-based patient summary framework. In the CPRS Reports tab, Health Summary appears as a report type alongside the ad hoc reports. It is architecturally distinct: rather than querying a single package, a Health Summary object assembles data from multiple packages into a single structured output.</w:t>
      </w:r>
    </w:p>
    <w:p>
      <w:pPr>
        <w:spacing w:before="80" w:after="0"/>
      </w:pPr>
      <w:r>
        <w:t xml:space="preserve"/>
      </w:r>
    </w:p>
    <w:p>
      <w:pPr>
        <w:pStyle w:val="Heading3"/>
        <w:spacing w:before="200" w:after="80"/>
      </w:pPr>
      <w:r>
        <w:rPr>
          <w:rFonts w:ascii="Arial" w:cs="Arial" w:eastAsia="Arial" w:hAnsi="Arial"/>
          <w:b/>
          <w:bCs/>
          <w:color w:val="1F3864"/>
          <w:sz w:val="22"/>
          <w:szCs w:val="22"/>
        </w:rPr>
        <w:t xml:space="preserve">How Health Summary Works</w:t>
      </w:r>
    </w:p>
    <w:p>
      <w:pPr>
        <w:spacing w:before="60" w:after="100"/>
      </w:pPr>
      <w:r>
        <w:rPr>
          <w:rFonts w:ascii="Arial" w:cs="Arial" w:eastAsia="Arial" w:hAnsi="Arial"/>
          <w:color w:val="595959"/>
          <w:sz w:val="22"/>
          <w:szCs w:val="22"/>
        </w:rPr>
        <w:t xml:space="preserve">A Health Summary Type is a named, ordered collection of Health Summary Components. Each component corresponds to a single clinical data domain (e.g., active medications, recent labs, problem list). Components are defined in the Health Summary package and reference VistA file entries.</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Health Summary Type — the named template (e.g., 'Outpatient Summary', 'Pre-op Summary')</w:t>
      </w:r>
    </w:p>
    <w:p>
      <w:pPr>
        <w:pStyle w:val="ListParagraph"/>
        <w:numPr>
          <w:ilvl w:val="0"/>
          <w:numId w:val="2"/>
        </w:numPr>
        <w:spacing w:before="40" w:after="40"/>
      </w:pPr>
      <w:r>
        <w:rPr>
          <w:rFonts w:ascii="Arial" w:cs="Arial" w:eastAsia="Arial" w:hAnsi="Arial"/>
          <w:color w:val="595959"/>
          <w:sz w:val="22"/>
          <w:szCs w:val="22"/>
        </w:rPr>
        <w:t xml:space="preserve">Health Summary Component — a single data domain (e.g., ADC: Admissions, Discharges, Clinics)</w:t>
      </w:r>
    </w:p>
    <w:p>
      <w:pPr>
        <w:pStyle w:val="ListParagraph"/>
        <w:numPr>
          <w:ilvl w:val="0"/>
          <w:numId w:val="2"/>
        </w:numPr>
        <w:spacing w:before="40" w:after="40"/>
      </w:pPr>
      <w:r>
        <w:rPr>
          <w:rFonts w:ascii="Arial" w:cs="Arial" w:eastAsia="Arial" w:hAnsi="Arial"/>
          <w:color w:val="595959"/>
          <w:sz w:val="22"/>
          <w:szCs w:val="22"/>
        </w:rPr>
        <w:t xml:space="preserve">Component parameters — date range, occurrence count, ICD display, time limits (per-component)</w:t>
      </w:r>
    </w:p>
    <w:p>
      <w:pPr>
        <w:spacing w:before="80" w:after="0"/>
      </w:pPr>
      <w:r>
        <w:t xml:space="preserve"/>
      </w:r>
    </w:p>
    <w:p>
      <w:pPr>
        <w:pStyle w:val="Heading3"/>
        <w:spacing w:before="200" w:after="80"/>
      </w:pPr>
      <w:r>
        <w:rPr>
          <w:rFonts w:ascii="Arial" w:cs="Arial" w:eastAsia="Arial" w:hAnsi="Arial"/>
          <w:b/>
          <w:bCs/>
          <w:color w:val="1F3864"/>
          <w:sz w:val="22"/>
          <w:szCs w:val="22"/>
        </w:rPr>
        <w:t xml:space="preserve">Implementer Configuration Points</w:t>
      </w:r>
    </w:p>
    <w:p>
      <w:pPr>
        <w:pStyle w:val="ListParagraph"/>
        <w:numPr>
          <w:ilvl w:val="0"/>
          <w:numId w:val="2"/>
        </w:numPr>
        <w:spacing w:before="40" w:after="40"/>
      </w:pPr>
      <w:r>
        <w:rPr>
          <w:rFonts w:ascii="Arial" w:cs="Arial" w:eastAsia="Arial" w:hAnsi="Arial"/>
          <w:color w:val="595959"/>
          <w:sz w:val="22"/>
          <w:szCs w:val="22"/>
        </w:rPr>
        <w:t xml:space="preserve">Health Summary types are defined in VistA file #142 (HEALTH SUMMARY TYPE)</w:t>
      </w:r>
    </w:p>
    <w:p>
      <w:pPr>
        <w:pStyle w:val="ListParagraph"/>
        <w:numPr>
          <w:ilvl w:val="0"/>
          <w:numId w:val="2"/>
        </w:numPr>
        <w:spacing w:before="40" w:after="40"/>
      </w:pPr>
      <w:r>
        <w:rPr>
          <w:rFonts w:ascii="Arial" w:cs="Arial" w:eastAsia="Arial" w:hAnsi="Arial"/>
          <w:color w:val="595959"/>
          <w:sz w:val="22"/>
          <w:szCs w:val="22"/>
        </w:rPr>
        <w:t xml:space="preserve">Components are defined in file #142.1 (HEALTH SUMMARY COMPONENT)</w:t>
      </w:r>
    </w:p>
    <w:p>
      <w:pPr>
        <w:pStyle w:val="ListParagraph"/>
        <w:numPr>
          <w:ilvl w:val="0"/>
          <w:numId w:val="2"/>
        </w:numPr>
        <w:spacing w:before="40" w:after="40"/>
      </w:pPr>
      <w:r>
        <w:rPr>
          <w:rFonts w:ascii="Arial" w:cs="Arial" w:eastAsia="Arial" w:hAnsi="Arial"/>
          <w:color w:val="595959"/>
          <w:sz w:val="22"/>
          <w:szCs w:val="22"/>
        </w:rPr>
        <w:t xml:space="preserve">Types are assigned to CPRS via ORWRP HEALTH SUMMARY TYPE LIST parameter</w:t>
      </w:r>
    </w:p>
    <w:p>
      <w:pPr>
        <w:pStyle w:val="ListParagraph"/>
        <w:numPr>
          <w:ilvl w:val="0"/>
          <w:numId w:val="2"/>
        </w:numPr>
        <w:spacing w:before="40" w:after="40"/>
      </w:pPr>
      <w:r>
        <w:rPr>
          <w:rFonts w:ascii="Arial" w:cs="Arial" w:eastAsia="Arial" w:hAnsi="Arial"/>
          <w:color w:val="595959"/>
          <w:sz w:val="22"/>
          <w:szCs w:val="22"/>
        </w:rPr>
        <w:t xml:space="preserve">A Lock field on the Type prevents clinician modification (site-defined types vs. personal types)</w:t>
      </w:r>
    </w:p>
    <w:p>
      <w:pPr>
        <w:pStyle w:val="ListParagraph"/>
        <w:numPr>
          <w:ilvl w:val="0"/>
          <w:numId w:val="2"/>
        </w:numPr>
        <w:spacing w:before="40" w:after="40"/>
      </w:pPr>
      <w:r>
        <w:rPr>
          <w:rFonts w:ascii="Arial" w:cs="Arial" w:eastAsia="Arial" w:hAnsi="Arial"/>
          <w:color w:val="595959"/>
          <w:sz w:val="22"/>
          <w:szCs w:val="22"/>
        </w:rPr>
        <w:t xml:space="preserve">Remote data: Health Summary can retrieve data from remote VistA sites via HDR or VistaWeb if configured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5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Component Abbreviation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Source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Full Name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Data Displayed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ADC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Admissions, Discharges, Clinics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Inpatient admissions, discharge dates, ward/treating specialty, clinic visits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Ambulatory Visit Information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Outpatient clinic visits, providers, primary stop codes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BLR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Brief Laboratory Results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Abbreviated lab results — most recent value per test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CPL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GMPL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Current Problem 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Active problems, ICD codes, onset dates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DCS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Discharge Summary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Full text of most recent discharge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LABS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Lab Results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Selected lab tests with reference ranges; configurable max occurrences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LO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Clinical Procedures / Medicine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Procedure notes from Medicine (MD) package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MHV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PSO/PSJ</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Medications — Inpatient &amp; Outpatient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Combined medication list with status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Progress Notes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Most recent N progress notes (N configurable)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RADRPT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Radiology Report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Most recent interpreted radiology reports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RXO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Outpatient Medications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Active outpatient Rx with refill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SCE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Selected Clinical Encounters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Encounter data from PCE: diagnoses, procedures, providers documented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Vital Signs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Recent vitals with date/time of measurement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The VDL Health Summary User Manual (hsum_2_7_um.docx) and GMTS*2.7*133 User Manual (gmts_2_7_p133_um.docx) provide full component listings. These were not fetched at time of writing. The component list above is derived from CPRS Technical Manual references and may be incomplete.</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4. Multiple Views of the Same Clinical Information</w:t>
      </w:r>
    </w:p>
    <w:p>
      <w:pPr>
        <w:spacing w:before="60" w:after="100"/>
      </w:pPr>
      <w:r>
        <w:rPr>
          <w:rFonts w:ascii="Arial" w:cs="Arial" w:eastAsia="Arial" w:hAnsi="Arial"/>
          <w:color w:val="595959"/>
          <w:sz w:val="22"/>
          <w:szCs w:val="22"/>
        </w:rPr>
        <w:t xml:space="preserve">A defining characteristic of CPRS/VistA is that the same clinical fact is accessible through multiple different interfaces simultaneously. This is a deliberate architecture: clinical safety requires that key information (allergies, active medications, critical lab values) be visible wherever a clinician is working, not only in a dedicated report.</w:t>
      </w:r>
    </w:p>
    <w:p>
      <w:pPr>
        <w:spacing w:before="80" w:after="0"/>
      </w:pPr>
      <w:r>
        <w:t xml:space="preserve"/>
      </w:r>
    </w:p>
    <w:p>
      <w:pPr>
        <w:spacing w:before="60" w:after="100"/>
      </w:pPr>
      <w:r>
        <w:rPr>
          <w:rFonts w:ascii="Arial" w:cs="Arial" w:eastAsia="Arial" w:hAnsi="Arial"/>
          <w:color w:val="595959"/>
          <w:sz w:val="22"/>
          <w:szCs w:val="22"/>
        </w:rPr>
        <w:t xml:space="preserve">For implementers, this redundancy has two implications: (1) display discrepancies between views are nearly always a data currency or parameter configuration issue, not a data integrity problem; (2) performance tuning must account for the fact that opening a patient chart triggers simultaneous RPC calls to multiple packages.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4.1 Medications: A Complete View Walkthrough</w:t>
      </w:r>
    </w:p>
    <w:p>
      <w:pPr>
        <w:spacing w:before="60" w:after="100"/>
      </w:pPr>
      <w:r>
        <w:rPr>
          <w:rFonts w:ascii="Arial" w:cs="Arial" w:eastAsia="Arial" w:hAnsi="Arial"/>
          <w:color w:val="595959"/>
          <w:sz w:val="22"/>
          <w:szCs w:val="22"/>
        </w:rPr>
        <w:t xml:space="preserve">Outpatient medications (PSO*7) are the clearest example of CPRS's multi-view architecture. A single active prescription is visible in at least five distinct CPRS contexts: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CPRS Location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Is Shown</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Data Currency</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RPC / 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Coversheet → Active Medications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Drug name, dose, SIG, status (active/pending)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Real-time at chart open; refreshes on tab change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ORWPS DETAIL, ORWPS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Reports → Medications Outpatient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Full Rx detail including fill history, routing, refills remaining, pharmacist annotation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Real-time on report request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PSO RPCs via ORWRP namespace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Reports → Health Summary (RXO component)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Active Rx list, configurable fields and time window</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At time Health Summary is generated</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GMTS component calling PSO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Orders tab → Active 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Pharmacy orders in workflow context (pending/active/discontinued/held)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Real-time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ORWOR DETAIL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Graphing (inpatient only)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Dose timeline chart for administered inpatient medications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At time of graph render</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PSJ data via Graphing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Banner 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 medication display; allergy/ADR banner only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Persistent while patient selected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GMRA</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4.2 Laboratory Results: Text and Graphical Views</w:t>
      </w:r>
    </w:p>
    <w:p>
      <w:pPr>
        <w:spacing w:before="60" w:after="100"/>
      </w:pPr>
      <w:r>
        <w:rPr>
          <w:rFonts w:ascii="Arial" w:cs="Arial" w:eastAsia="Arial" w:hAnsi="Arial"/>
          <w:color w:val="595959"/>
          <w:sz w:val="22"/>
          <w:szCs w:val="22"/>
        </w:rPr>
        <w:t xml:space="preserve">Lab results (LR*5.2) are presented in both text and graphical form depending on the CPRS context. The underlying data is identical; only the rendering differs.</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Coversheet → Lab Results: most recent result per test type, abbreviated, with abnormal flag</w:t>
      </w:r>
    </w:p>
    <w:p>
      <w:pPr>
        <w:pStyle w:val="ListParagraph"/>
        <w:numPr>
          <w:ilvl w:val="0"/>
          <w:numId w:val="2"/>
        </w:numPr>
        <w:spacing w:before="40" w:after="40"/>
      </w:pPr>
      <w:r>
        <w:rPr>
          <w:rFonts w:ascii="Arial" w:cs="Arial" w:eastAsia="Arial" w:hAnsi="Arial"/>
          <w:color w:val="595959"/>
          <w:sz w:val="22"/>
          <w:szCs w:val="22"/>
        </w:rPr>
        <w:t xml:space="preserve">Reports → Lab Results → Chemistry &amp; Hematology: full result list with reference ranges, units, collection date/time, and performing laboratory</w:t>
      </w:r>
    </w:p>
    <w:p>
      <w:pPr>
        <w:pStyle w:val="ListParagraph"/>
        <w:numPr>
          <w:ilvl w:val="0"/>
          <w:numId w:val="2"/>
        </w:numPr>
        <w:spacing w:before="40" w:after="40"/>
      </w:pPr>
      <w:r>
        <w:rPr>
          <w:rFonts w:ascii="Arial" w:cs="Arial" w:eastAsia="Arial" w:hAnsi="Arial"/>
          <w:color w:val="595959"/>
          <w:sz w:val="22"/>
          <w:szCs w:val="22"/>
        </w:rPr>
        <w:t xml:space="preserve">Reports → Lab Results → Microbiology: culture results with organism, susceptibilities (table format)</w:t>
      </w:r>
    </w:p>
    <w:p>
      <w:pPr>
        <w:pStyle w:val="ListParagraph"/>
        <w:numPr>
          <w:ilvl w:val="0"/>
          <w:numId w:val="2"/>
        </w:numPr>
        <w:spacing w:before="40" w:after="40"/>
      </w:pPr>
      <w:r>
        <w:rPr>
          <w:rFonts w:ascii="Arial" w:cs="Arial" w:eastAsia="Arial" w:hAnsi="Arial"/>
          <w:color w:val="595959"/>
          <w:sz w:val="22"/>
          <w:szCs w:val="22"/>
        </w:rPr>
        <w:t xml:space="preserve">Reports → Lab Results → Blood Bank: transfusion history and type-and-screen results</w:t>
      </w:r>
    </w:p>
    <w:p>
      <w:pPr>
        <w:pStyle w:val="ListParagraph"/>
        <w:numPr>
          <w:ilvl w:val="0"/>
          <w:numId w:val="2"/>
        </w:numPr>
        <w:spacing w:before="40" w:after="40"/>
      </w:pPr>
      <w:r>
        <w:rPr>
          <w:rFonts w:ascii="Arial" w:cs="Arial" w:eastAsia="Arial" w:hAnsi="Arial"/>
          <w:color w:val="595959"/>
          <w:sz w:val="22"/>
          <w:szCs w:val="22"/>
        </w:rPr>
        <w:t xml:space="preserve">Graphing → Labs: any numeric lab test plotted as time series; overlay of multiple tests supported; reference range shown as shaded band</w:t>
      </w:r>
    </w:p>
    <w:p>
      <w:pPr>
        <w:pStyle w:val="ListParagraph"/>
        <w:numPr>
          <w:ilvl w:val="0"/>
          <w:numId w:val="2"/>
        </w:numPr>
        <w:spacing w:before="40" w:after="40"/>
      </w:pPr>
      <w:r>
        <w:rPr>
          <w:rFonts w:ascii="Arial" w:cs="Arial" w:eastAsia="Arial" w:hAnsi="Arial"/>
          <w:color w:val="595959"/>
          <w:sz w:val="22"/>
          <w:szCs w:val="22"/>
        </w:rPr>
        <w:t xml:space="preserve">Health Summary → BLR (Brief Lab Results): most recent per test, configurable occurrence count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Microbiology results display differently from chemistry: susceptibility data is tabular in the Reports view but does not graph (non-numeric values). Blood bank results are read-only from VBECS (Veterans Blood Establishment Computer System) via HL7 interface; the CPRS Technical Manual notes this interface requires OR*3*309 or later.</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4.3 Vital Signs: Coversheet, Reports, and Graphing</w:t>
      </w:r>
    </w:p>
    <w:p>
      <w:pPr>
        <w:spacing w:before="60" w:after="100"/>
      </w:pPr>
      <w:r>
        <w:rPr>
          <w:rFonts w:ascii="Arial" w:cs="Arial" w:eastAsia="Arial" w:hAnsi="Arial"/>
          <w:color w:val="595959"/>
          <w:sz w:val="22"/>
          <w:szCs w:val="22"/>
        </w:rPr>
        <w:t xml:space="preserve">Vital signs (GMRV*5) follow the same three-tier pattern:</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Coversheet → Vitals: most recent single measurement per vital type; BMI computed; date of measurement shown</w:t>
      </w:r>
    </w:p>
    <w:p>
      <w:pPr>
        <w:pStyle w:val="ListParagraph"/>
        <w:numPr>
          <w:ilvl w:val="0"/>
          <w:numId w:val="2"/>
        </w:numPr>
        <w:spacing w:before="40" w:after="40"/>
      </w:pPr>
      <w:r>
        <w:rPr>
          <w:rFonts w:ascii="Arial" w:cs="Arial" w:eastAsia="Arial" w:hAnsi="Arial"/>
          <w:color w:val="595959"/>
          <w:sz w:val="22"/>
          <w:szCs w:val="22"/>
        </w:rPr>
        <w:t xml:space="preserve">Reports → Vital Signs (text): all recorded vitals in date range, tabular format, each measurement timestamped and attributed to entering user</w:t>
      </w:r>
    </w:p>
    <w:p>
      <w:pPr>
        <w:pStyle w:val="ListParagraph"/>
        <w:numPr>
          <w:ilvl w:val="0"/>
          <w:numId w:val="2"/>
        </w:numPr>
        <w:spacing w:before="40" w:after="40"/>
      </w:pPr>
      <w:r>
        <w:rPr>
          <w:rFonts w:ascii="Arial" w:cs="Arial" w:eastAsia="Arial" w:hAnsi="Arial"/>
          <w:color w:val="595959"/>
          <w:sz w:val="22"/>
          <w:szCs w:val="22"/>
        </w:rPr>
        <w:t xml:space="preserve">Reports → Vital Signs (graph): trend lines for selected vitals; multiple vitals can be overlaid; configurable time range; reference ranges shown where defined</w:t>
      </w:r>
    </w:p>
    <w:p>
      <w:pPr>
        <w:spacing w:before="80" w:after="0"/>
      </w:pPr>
      <w:r>
        <w:t xml:space="preserve"/>
      </w:r>
    </w:p>
    <w:p>
      <w:pPr>
        <w:spacing w:before="60" w:after="100"/>
      </w:pPr>
      <w:r>
        <w:rPr>
          <w:rFonts w:ascii="Arial" w:cs="Arial" w:eastAsia="Arial" w:hAnsi="Arial"/>
          <w:color w:val="595959"/>
          <w:sz w:val="22"/>
          <w:szCs w:val="22"/>
        </w:rPr>
        <w:t xml:space="preserve">Vitals entered via the GMRV Vitals package are immediately visible in all three views. Vitals entered by nursing via the Vitals application (OR*3.0*405 and later include a Vitals widget in the CPRS toolbar) are stored in the same GMRV files and appear identically.</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4.4 Allergies: The Persistent Cross-Context View</w:t>
      </w:r>
    </w:p>
    <w:p>
      <w:pPr>
        <w:spacing w:before="60" w:after="100"/>
      </w:pPr>
      <w:r>
        <w:rPr>
          <w:rFonts w:ascii="Arial" w:cs="Arial" w:eastAsia="Arial" w:hAnsi="Arial"/>
          <w:color w:val="595959"/>
          <w:sz w:val="22"/>
          <w:szCs w:val="22"/>
        </w:rPr>
        <w:t xml:space="preserve">Allergies and adverse reactions (GMRA*4) are unique among clinical data in CPRS: they are the only data type that is always visible regardless of which CPRS tab is active. The allergy banner appears at the top of every CPRS screen while a patient is selected.</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Banner bar: abbreviated allergy display (e.g., 'PENICILLIN; LATEX'); click-through to full detail</w:t>
      </w:r>
    </w:p>
    <w:p>
      <w:pPr>
        <w:pStyle w:val="ListParagraph"/>
        <w:numPr>
          <w:ilvl w:val="0"/>
          <w:numId w:val="2"/>
        </w:numPr>
        <w:spacing w:before="40" w:after="40"/>
      </w:pPr>
      <w:r>
        <w:rPr>
          <w:rFonts w:ascii="Arial" w:cs="Arial" w:eastAsia="Arial" w:hAnsi="Arial"/>
          <w:color w:val="595959"/>
          <w:sz w:val="22"/>
          <w:szCs w:val="22"/>
        </w:rPr>
        <w:t xml:space="preserve">Coversheet → Allergies: full verified allergy list with causative agent, reaction, and severity</w:t>
      </w:r>
    </w:p>
    <w:p>
      <w:pPr>
        <w:pStyle w:val="ListParagraph"/>
        <w:numPr>
          <w:ilvl w:val="0"/>
          <w:numId w:val="2"/>
        </w:numPr>
        <w:spacing w:before="40" w:after="40"/>
      </w:pPr>
      <w:r>
        <w:rPr>
          <w:rFonts w:ascii="Arial" w:cs="Arial" w:eastAsia="Arial" w:hAnsi="Arial"/>
          <w:color w:val="595959"/>
          <w:sz w:val="22"/>
          <w:szCs w:val="22"/>
        </w:rPr>
        <w:t xml:space="preserve">Reports → Allergies / Adverse Reactions: full history including unverified entries, dates, documenting users</w:t>
      </w:r>
    </w:p>
    <w:p>
      <w:pPr>
        <w:pStyle w:val="ListParagraph"/>
        <w:numPr>
          <w:ilvl w:val="0"/>
          <w:numId w:val="2"/>
        </w:numPr>
        <w:spacing w:before="40" w:after="40"/>
      </w:pPr>
      <w:r>
        <w:rPr>
          <w:rFonts w:ascii="Arial" w:cs="Arial" w:eastAsia="Arial" w:hAnsi="Arial"/>
          <w:color w:val="595959"/>
          <w:sz w:val="22"/>
          <w:szCs w:val="22"/>
        </w:rPr>
        <w:t xml:space="preserve">Order checks: allergy checking fires on medication ordering (separate from display — uses ORCHECK RPCs)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VDL GAP: </w:t>
            </w:r>
            <w:r>
              <w:rPr>
                <w:rFonts w:ascii="Arial" w:cs="Arial" w:eastAsia="Arial" w:hAnsi="Arial"/>
                <w:color w:val="4A4A4A"/>
                <w:sz w:val="20"/>
                <w:szCs w:val="20"/>
              </w:rPr>
              <w:t xml:space="preserve">Unverified allergy entries (marked 'UNVERIFIED') appear in the Reports allergy view but are visually distinguished. Order checks evaluate both verified and unverified entries. The Adverse Reaction Tracking User Manual (gmra_4_0_um.docx) details the verification workflow; this document was not fetched at time of writing.</w:t>
            </w:r>
          </w:p>
        </w:tc>
      </w:tr>
    </w:tbl>
    <w:p>
      <w:pPr>
        <w:spacing w:before="80" w:after="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5. Remote Data Views</w:t>
      </w:r>
    </w:p>
    <w:p>
      <w:pPr>
        <w:spacing w:before="60" w:after="100"/>
      </w:pPr>
      <w:r>
        <w:rPr>
          <w:rFonts w:ascii="Arial" w:cs="Arial" w:eastAsia="Arial" w:hAnsi="Arial"/>
          <w:color w:val="595959"/>
          <w:sz w:val="22"/>
          <w:szCs w:val="22"/>
        </w:rPr>
        <w:t xml:space="preserve">CPRS supports display of clinical data from remote VistA sites via the Remote Data Interoperability (RDI) and Remote Data Views (RDV) mechanisms. When a patient has records at other VA sites, a Remote Data button appears in the Reports tab allowing the clinician to select a remote site and view that site's clinical data using the same report interfaces.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5.1 Implementation Requirements</w:t>
      </w:r>
    </w:p>
    <w:p>
      <w:pPr>
        <w:pStyle w:val="ListParagraph"/>
        <w:numPr>
          <w:ilvl w:val="0"/>
          <w:numId w:val="2"/>
        </w:numPr>
        <w:spacing w:before="40" w:after="40"/>
      </w:pPr>
      <w:r>
        <w:rPr>
          <w:rFonts w:ascii="Arial" w:cs="Arial" w:eastAsia="Arial" w:hAnsi="Arial"/>
          <w:color w:val="595959"/>
          <w:sz w:val="22"/>
          <w:szCs w:val="22"/>
        </w:rPr>
        <w:t xml:space="preserve">OR*3*294 (Remote Data Interoperability) must be installed — installation guide or_3_294ig.docx in VDL</w:t>
      </w:r>
    </w:p>
    <w:p>
      <w:pPr>
        <w:pStyle w:val="ListParagraph"/>
        <w:numPr>
          <w:ilvl w:val="0"/>
          <w:numId w:val="2"/>
        </w:numPr>
        <w:spacing w:before="40" w:after="40"/>
      </w:pPr>
      <w:r>
        <w:rPr>
          <w:rFonts w:ascii="Arial" w:cs="Arial" w:eastAsia="Arial" w:hAnsi="Arial"/>
          <w:color w:val="595959"/>
          <w:sz w:val="22"/>
          <w:szCs w:val="22"/>
        </w:rPr>
        <w:t xml:space="preserve">HL7 messaging (HL*1.6) provides the inter-site data transport</w:t>
      </w:r>
    </w:p>
    <w:p>
      <w:pPr>
        <w:pStyle w:val="ListParagraph"/>
        <w:numPr>
          <w:ilvl w:val="0"/>
          <w:numId w:val="2"/>
        </w:numPr>
        <w:spacing w:before="40" w:after="40"/>
      </w:pPr>
      <w:r>
        <w:rPr>
          <w:rFonts w:ascii="Arial" w:cs="Arial" w:eastAsia="Arial" w:hAnsi="Arial"/>
          <w:color w:val="595959"/>
          <w:sz w:val="22"/>
          <w:szCs w:val="22"/>
        </w:rPr>
        <w:t xml:space="preserve">Patient lookup at remote sites uses MPI (Master Patient Index)</w:t>
      </w:r>
    </w:p>
    <w:p>
      <w:pPr>
        <w:pStyle w:val="ListParagraph"/>
        <w:numPr>
          <w:ilvl w:val="0"/>
          <w:numId w:val="2"/>
        </w:numPr>
        <w:spacing w:before="40" w:after="40"/>
      </w:pPr>
      <w:r>
        <w:rPr>
          <w:rFonts w:ascii="Arial" w:cs="Arial" w:eastAsia="Arial" w:hAnsi="Arial"/>
          <w:color w:val="595959"/>
          <w:sz w:val="22"/>
          <w:szCs w:val="22"/>
        </w:rPr>
        <w:t xml:space="preserve">Remote data is read-only — no ordering, documenting, or editing against remote site records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5.2 Remote Data Coverage</w:t>
      </w:r>
    </w:p>
    <w:p>
      <w:pPr>
        <w:spacing w:before="60" w:after="100"/>
      </w:pPr>
      <w:r>
        <w:rPr>
          <w:rFonts w:ascii="Arial" w:cs="Arial" w:eastAsia="Arial" w:hAnsi="Arial"/>
          <w:color w:val="595959"/>
          <w:sz w:val="22"/>
          <w:szCs w:val="22"/>
        </w:rPr>
        <w:t xml:space="preserve">Not all CPRS report types support remote data. The following report types support remote data views: Medications (outpatient), Lab Results, Vitals, Allergies, Problem List, Radiology Reports, Progress Notes, and Discharge Summaries. Orders, clinical reminders, and Health Summary do not support remote data views.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Remote Data Views depend on each remote site's VistA availability. Performance varies by network and remote site load. The CPRS Technical Manual recommends informing users that remote data reflects the state at the time of retrieval and may be stale if the remote site was recently updated.</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6. VDL Coverage Gaps and Further Reading</w:t>
      </w:r>
    </w:p>
    <w:p>
      <w:pPr>
        <w:spacing w:before="60" w:after="100"/>
      </w:pPr>
      <w:r>
        <w:rPr>
          <w:rFonts w:ascii="Arial" w:cs="Arial" w:eastAsia="Arial" w:hAnsi="Arial"/>
          <w:color w:val="595959"/>
          <w:sz w:val="22"/>
          <w:szCs w:val="22"/>
        </w:rPr>
        <w:t xml:space="preserve">This guide is synthesised from VDL documentation available as of March 2026. The following table identifies known gaps where VDL documentation exists but was not available for this synthesis, and recommends specific documents for deeper reading.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Topic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VDL Document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Filename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URL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Health Summary user configuration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GMTS*2.7*133 Health Summary User Manual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gmts_2_7_p133_um.docx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https://www.va.gov/documents/Clinical/CPRS-Health_Summary/gmts_2_7_p133_um.docx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Health Summary technical / file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Health Summary 2.7 Technical Manual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hsum_2_7_tm.docx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https://www.va.gov/documents/Clinical/CPRS-Health_Summary/hsum_2_7_tm.docx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Problem List workflow and file structure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Problem List User Manual v2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gmplum.docx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https://www.va.gov/documents/Clinical/CPRS-Problem_List/gmplum.docx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Allergy verification workflow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Adverse Reaction Tracking User Manual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gmra_4_0_um.docx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https://www.va.gov/documents/Clinical/CPRS-Advrs_Reaction_Trk_(ART)/gmra_4_0_um.docx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Lab package interface to CPRS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Laboratory (LR) — no active docx in VDL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 current LR user/tech manual in VDL active docx inventory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Vitals entry and configuration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Vitals User Manual (GMRV*5*22)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vitl_5_p22_um.docx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https://www.va.gov/documents/Clinical/CPRS-Vitals/vitl_5_p22_um.docx</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Primary Sources Used</w:t>
      </w:r>
    </w:p>
    <w:p>
      <w:pPr>
        <w:pStyle w:val="ListParagraph"/>
        <w:numPr>
          <w:ilvl w:val="0"/>
          <w:numId w:val="2"/>
        </w:numPr>
        <w:spacing w:before="40" w:after="40"/>
      </w:pPr>
      <w:r>
        <w:rPr>
          <w:rFonts w:ascii="Arial" w:cs="Arial" w:eastAsia="Arial" w:hAnsi="Arial"/>
          <w:color w:val="595959"/>
          <w:sz w:val="22"/>
          <w:szCs w:val="22"/>
        </w:rPr>
        <w:t xml:space="preserve">CPRS User Manual: GUI Version (cprsguium.docx) — OR*3.0*626</w:t>
      </w:r>
    </w:p>
    <w:p>
      <w:pPr>
        <w:pStyle w:val="ListParagraph"/>
        <w:numPr>
          <w:ilvl w:val="0"/>
          <w:numId w:val="2"/>
        </w:numPr>
        <w:spacing w:before="40" w:after="40"/>
      </w:pPr>
      <w:r>
        <w:rPr>
          <w:rFonts w:ascii="Arial" w:cs="Arial" w:eastAsia="Arial" w:hAnsi="Arial"/>
          <w:color w:val="595959"/>
          <w:sz w:val="22"/>
          <w:szCs w:val="22"/>
        </w:rPr>
        <w:t xml:space="preserve">CPRS Technical Manual: GUI Version (cprsguitm.docx) — OR*3.0*636</w:t>
      </w:r>
    </w:p>
    <w:p>
      <w:pPr>
        <w:pStyle w:val="ListParagraph"/>
        <w:numPr>
          <w:ilvl w:val="0"/>
          <w:numId w:val="2"/>
        </w:numPr>
        <w:spacing w:before="40" w:after="40"/>
      </w:pPr>
      <w:r>
        <w:rPr>
          <w:rFonts w:ascii="Arial" w:cs="Arial" w:eastAsia="Arial" w:hAnsi="Arial"/>
          <w:color w:val="595959"/>
          <w:sz w:val="22"/>
          <w:szCs w:val="22"/>
        </w:rPr>
        <w:t xml:space="preserve">CPRS Setup Guide (cprssetup.docx)</w:t>
      </w:r>
    </w:p>
    <w:p>
      <w:pPr>
        <w:pStyle w:val="ListParagraph"/>
        <w:numPr>
          <w:ilvl w:val="0"/>
          <w:numId w:val="2"/>
        </w:numPr>
        <w:spacing w:before="40" w:after="40"/>
      </w:pPr>
      <w:r>
        <w:rPr>
          <w:rFonts w:ascii="Arial" w:cs="Arial" w:eastAsia="Arial" w:hAnsi="Arial"/>
          <w:color w:val="595959"/>
          <w:sz w:val="22"/>
          <w:szCs w:val="22"/>
        </w:rPr>
        <w:t xml:space="preserve">CPRS Technical Manual: List Manager Version (cprslmtm.docx) — OR*3.0*626</w:t>
      </w:r>
    </w:p>
    <w:p>
      <w:pPr>
        <w:pStyle w:val="ListParagraph"/>
        <w:numPr>
          <w:ilvl w:val="0"/>
          <w:numId w:val="2"/>
        </w:numPr>
        <w:spacing w:before="40" w:after="40"/>
      </w:pPr>
      <w:r>
        <w:rPr>
          <w:rFonts w:ascii="Arial" w:cs="Arial" w:eastAsia="Arial" w:hAnsi="Arial"/>
          <w:color w:val="595959"/>
          <w:sz w:val="22"/>
          <w:szCs w:val="22"/>
        </w:rPr>
        <w:t xml:space="preserve">VA VistA Documentation Library inventory (vdl_inventory.csv)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Developer &amp; Implementer Reference  |  Synthesised from VDL  |  March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CPRS Reports &amp; Clinical Data Views  |  VistA Documentation Library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2026-03-11T15:01:58.906Z</dcterms:created>
  <dcterms:modified xsi:type="dcterms:W3CDTF">2026-03-11T15:01:58.907Z</dcterms:modified>
</cp:coreProperties>
</file>

<file path=docProps/custom.xml><?xml version="1.0" encoding="utf-8"?>
<Properties xmlns="http://schemas.openxmlformats.org/officeDocument/2006/custom-properties" xmlns:vt="http://schemas.openxmlformats.org/officeDocument/2006/docPropsVTypes"/>
</file>