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</w:rPr>
        <w:t xml:space="preserve">UNIVERSIDADE DE BRASÍLIA — UnB</w:t>
      </w:r>
    </w:p>
    <w:p>
      <w:pPr>
        <w:spacing w:after="60"/>
        <w:jc w:val="center"/>
      </w:pPr>
      <w:r>
        <w:t xml:space="preserve">Finanças do Setor Público (CCA0169) — Turma 01 — 2026/2 — Prof. Lucas Oliveira Gomes Ferreira</w:t>
      </w:r>
    </w:p>
    <w:p>
      <w:pPr>
        <w:spacing w:after="300"/>
        <w:jc w:val="center"/>
      </w:pPr>
      <w:r>
        <w:t xml:space="preserve">P2 — Matrícula 241003384 — Ucrânia; Natal/RN; Teresina/PI</w:t>
      </w:r>
    </w:p>
    <w:p>
      <w:pPr>
        <w:pStyle w:val="Title"/>
        <w:spacing w:after="240"/>
        <w:jc w:val="center"/>
      </w:pPr>
      <w:r>
        <w:t xml:space="preserve">Fontes utilizadas na elaboração do repositório</w:t>
      </w:r>
    </w:p>
    <w:p>
      <w:pPr>
        <w:spacing w:after="120" w:line="300"/>
      </w:pPr>
      <w:r>
        <w:t xml:space="preserve">Este documento lista todas as fontes de dados, documentos oficiais, trabalhos de referência e softwares utilizados para produzir o conteúdo do arquivo p2_241003384.zip (base de dados, códigos, figuras e resultados). As referências seguem, em linhas gerais, a NBR 6023 da ABNT. Todas as consultas eletrônicas foram feitas em 22 de outubro de 2026. Estas fontes não integram a contagem mínima de 80 artigos científicos exigida para o artigo; os 94 artigos científicos citados estão na seção de referências do próprio artigo.</w:t>
      </w:r>
    </w:p>
    <w:p>
      <w:pPr>
        <w:pStyle w:val="Heading1"/>
        <w:spacing w:after="140" w:before="280"/>
      </w:pPr>
      <w:r>
        <w:t xml:space="preserve">1. Trabalho anterior e referência de partida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[1] </w:t>
      </w:r>
      <w:r>
        <w:rPr>
          <w:b/>
          <w:bCs/>
        </w:rPr>
        <w:t xml:space="preserve">COSTA, Cleiton Santana.</w:t>
      </w:r>
      <w:r>
        <w:t xml:space="preserve"> P1 – Finanças do Setor Público: Ucrânia, Natal/RN e Teresina/PI. Brasília: Universidade de Brasília, 2026. Repositório GitHub (planilhas de receitas de Teresina 2016–2026, Metodologia.docx e prova em PDF). </w:t>
      </w:r>
      <w:r>
        <w:t xml:space="preserve">Disponível em: </w:t>
      </w:r>
      <w:hyperlink w:history="1" r:id="rIdqjrmcxw10xqlsow42bqpa">
        <w:r>
          <w:rPr>
            <w:rStyle w:val="Hyperlink"/>
            <w:sz w:val="18"/>
            <w:szCs w:val="18"/>
          </w:rPr>
          <w:t xml:space="preserve">https://github.com/snakecs/Prova-Finan-as-setor-p-blico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[2] </w:t>
      </w:r>
      <w:r>
        <w:rPr>
          <w:b/>
          <w:bCs/>
        </w:rPr>
        <w:t xml:space="preserve">FERREIRA, Lucas Oliveira Gomes.</w:t>
      </w:r>
      <w:r>
        <w:t xml:space="preserve"> Constitutional tax transfer in Brazilian municipalities: the fiscal illusion and the flypaper effect. 2021. Tese (Doutorado) – Universidade de Brasília, Brasília, 2021. </w:t>
      </w:r>
    </w:p>
    <w:p>
      <w:pPr>
        <w:pStyle w:val="Heading1"/>
        <w:spacing w:after="140" w:before="280"/>
      </w:pPr>
      <w:r>
        <w:t xml:space="preserve">2. Dados dos municípios brasileiros</w:t>
      </w:r>
    </w:p>
    <w:p>
      <w:pPr>
        <w:pStyle w:val="Heading2"/>
        <w:spacing w:after="100" w:before="200"/>
      </w:pPr>
      <w:r>
        <w:t xml:space="preserve">2.1 Finanças públicas municipais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[3] </w:t>
      </w:r>
      <w:r>
        <w:rPr>
          <w:b/>
          <w:bCs/>
        </w:rPr>
        <w:t xml:space="preserve">BRASIL. Secretaria do Tesouro Nacional.</w:t>
      </w:r>
      <w:r>
        <w:t xml:space="preserve"> Sistema de Informações Contábeis e Fiscais do Setor Público Brasileiro (Siconfi): Declaração de Contas Anuais (DCA) – Anexo I-C (Receitas Orçamentárias), Natal/RN (IBGE 2408102) e Teresina/PI (IBGE 2211001), exercícios 2014 a 2025. Brasília: STN, 2026. API de dados abertos. </w:t>
      </w:r>
      <w:r>
        <w:t xml:space="preserve">Disponível em: </w:t>
      </w:r>
      <w:hyperlink w:history="1" r:id="rIdztxnrhpepmuogsudp0vhj">
        <w:r>
          <w:rPr>
            <w:rStyle w:val="Hyperlink"/>
            <w:sz w:val="18"/>
            <w:szCs w:val="18"/>
          </w:rPr>
          <w:t xml:space="preserve">https://apidatalake.tesouro.gov.br/ords/siconfi/tt/dca?no_anexo=DCA-Anexo%20I-C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[4] </w:t>
      </w:r>
      <w:r>
        <w:rPr>
          <w:b/>
          <w:bCs/>
        </w:rPr>
        <w:t xml:space="preserve">BRASIL. Secretaria do Tesouro Nacional.</w:t>
      </w:r>
      <w:r>
        <w:t xml:space="preserve"> Siconfi: Declaração de Contas Anuais (DCA) – Anexo I-D (Despesas Orçamentárias por Natureza), Natal/RN e Teresina/PI, exercícios 2014 a 2025. Brasília: STN, 2026. API de dados abertos. </w:t>
      </w:r>
      <w:r>
        <w:t xml:space="preserve">Disponível em: </w:t>
      </w:r>
      <w:hyperlink w:history="1" r:id="rIdfbvqlyyebizk9gkq9ug6p">
        <w:r>
          <w:rPr>
            <w:rStyle w:val="Hyperlink"/>
            <w:sz w:val="18"/>
            <w:szCs w:val="18"/>
          </w:rPr>
          <w:t xml:space="preserve">https://apidatalake.tesouro.gov.br/ords/siconfi/tt/dca?no_anexo=DCA-Anexo%20I-D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[5] </w:t>
      </w:r>
      <w:r>
        <w:rPr>
          <w:b/>
          <w:bCs/>
        </w:rPr>
        <w:t xml:space="preserve">BRASIL. Secretaria do Tesouro Nacional.</w:t>
      </w:r>
      <w:r>
        <w:t xml:space="preserve"> Siconfi: Declaração de Contas Anuais (DCA) – Anexo I-E (Despesas Orçamentárias por Função), Natal/RN e Teresina/PI, exercícios 2014 a 2025. Brasília: STN, 2026. API de dados abertos. </w:t>
      </w:r>
      <w:r>
        <w:t xml:space="preserve">Disponível em: </w:t>
      </w:r>
      <w:hyperlink w:history="1" r:id="rIdmzyhe3a92p-zq0a0nge_k">
        <w:r>
          <w:rPr>
            <w:rStyle w:val="Hyperlink"/>
            <w:sz w:val="18"/>
            <w:szCs w:val="18"/>
          </w:rPr>
          <w:t xml:space="preserve">https://apidatalake.tesouro.gov.br/ords/siconfi/tt/dca?no_anexo=DCA-Anexo%20I-E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[6] </w:t>
      </w:r>
      <w:r>
        <w:rPr>
          <w:b/>
          <w:bCs/>
        </w:rPr>
        <w:t xml:space="preserve">BRASIL. Secretaria do Tesouro Nacional.</w:t>
      </w:r>
      <w:r>
        <w:t xml:space="preserve"> Siconfi – Consultas Finbra (consulta pública às contas anuais dos entes). Brasília: STN, 2026. </w:t>
      </w:r>
      <w:r>
        <w:t xml:space="preserve">Disponível em: </w:t>
      </w:r>
      <w:hyperlink w:history="1" r:id="rIdekfkxh1ikum8d_nwwmnb6">
        <w:r>
          <w:rPr>
            <w:rStyle w:val="Hyperlink"/>
            <w:sz w:val="18"/>
            <w:szCs w:val="18"/>
          </w:rPr>
          <w:t xml:space="preserve">https://siconfi.tesouro.gov.br</w:t>
        </w:r>
      </w:hyperlink>
      <w:r>
        <w:t xml:space="preserve">. </w:t>
      </w:r>
      <w:r>
        <w:t xml:space="preserve">Acesso em: 22 out. 2026.</w:t>
      </w:r>
    </w:p>
    <w:p>
      <w:pPr>
        <w:pStyle w:val="Heading2"/>
        <w:spacing w:after="100" w:before="200"/>
      </w:pPr>
      <w:r>
        <w:t xml:space="preserve">2.2 População, atividade econômica e inflação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[7] </w:t>
      </w:r>
      <w:r>
        <w:rPr>
          <w:b/>
          <w:bCs/>
        </w:rPr>
        <w:t xml:space="preserve">INSTITUTO BRASILEIRO DE GEOGRAFIA E ESTATÍSTICA (IBGE).</w:t>
      </w:r>
      <w:r>
        <w:t xml:space="preserve"> Estimativas da população residente – Tabela 6579 (Sistema IBGE de Recuperação Automática – SIDRA). Rio de Janeiro: IBGE, 2026. </w:t>
      </w:r>
      <w:r>
        <w:t xml:space="preserve">Disponível em: </w:t>
      </w:r>
      <w:hyperlink w:history="1" r:id="rIdch3ixvsdlhfzdryoslrim">
        <w:r>
          <w:rPr>
            <w:rStyle w:val="Hyperlink"/>
            <w:sz w:val="18"/>
            <w:szCs w:val="18"/>
          </w:rPr>
          <w:t xml:space="preserve">https://sidra.ibge.gov.br/tabela/6579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[8] </w:t>
      </w:r>
      <w:r>
        <w:rPr>
          <w:b/>
          <w:bCs/>
        </w:rPr>
        <w:t xml:space="preserve">INSTITUTO BRASILEIRO DE GEOGRAFIA E ESTATÍSTICA (IBGE).</w:t>
      </w:r>
      <w:r>
        <w:t xml:space="preserve"> Censo Demográfico 2022: população residente – Tabela 4709 (SIDRA). Rio de Janeiro: IBGE, 2023. </w:t>
      </w:r>
      <w:r>
        <w:t xml:space="preserve">Disponível em: </w:t>
      </w:r>
      <w:hyperlink w:history="1" r:id="rIdrfrihizswxycq0swceeir">
        <w:r>
          <w:rPr>
            <w:rStyle w:val="Hyperlink"/>
            <w:sz w:val="18"/>
            <w:szCs w:val="18"/>
          </w:rPr>
          <w:t xml:space="preserve">https://sidra.ibge.gov.br/tabela/4709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[9] </w:t>
      </w:r>
      <w:r>
        <w:rPr>
          <w:b/>
          <w:bCs/>
        </w:rPr>
        <w:t xml:space="preserve">INSTITUTO BRASILEIRO DE GEOGRAFIA E ESTATÍSTICA (IBGE).</w:t>
      </w:r>
      <w:r>
        <w:t xml:space="preserve"> Censo Demográfico 2010: população residente por sexo e situação do domicílio – Tabela 202 (SIDRA). Rio de Janeiro: IBGE, 2011. </w:t>
      </w:r>
      <w:r>
        <w:t xml:space="preserve">Disponível em: </w:t>
      </w:r>
      <w:hyperlink w:history="1" r:id="rId4ym96wp9rgzh0f4qyq70s">
        <w:r>
          <w:rPr>
            <w:rStyle w:val="Hyperlink"/>
            <w:sz w:val="18"/>
            <w:szCs w:val="18"/>
          </w:rPr>
          <w:t xml:space="preserve">https://sidra.ibge.gov.br/tabela/202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[10] </w:t>
      </w:r>
      <w:r>
        <w:rPr>
          <w:b/>
          <w:bCs/>
        </w:rPr>
        <w:t xml:space="preserve">INSTITUTO BRASILEIRO DE GEOGRAFIA E ESTATÍSTICA (IBGE).</w:t>
      </w:r>
      <w:r>
        <w:t xml:space="preserve"> Produto Interno Bruto dos Municípios: PIB a preços correntes, impostos e valor adicionado bruto por atividade – Tabela 5938 (SIDRA), 2002–2023. Rio de Janeiro: IBGE, 2025. </w:t>
      </w:r>
      <w:r>
        <w:t xml:space="preserve">Disponível em: </w:t>
      </w:r>
      <w:hyperlink w:history="1" r:id="rIdm8nexubsf3lz_4jmyeffz">
        <w:r>
          <w:rPr>
            <w:rStyle w:val="Hyperlink"/>
            <w:sz w:val="18"/>
            <w:szCs w:val="18"/>
          </w:rPr>
          <w:t xml:space="preserve">https://sidra.ibge.gov.br/tabela/5938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[11] </w:t>
      </w:r>
      <w:r>
        <w:rPr>
          <w:b/>
          <w:bCs/>
        </w:rPr>
        <w:t xml:space="preserve">INSTITUTO BRASILEIRO DE GEOGRAFIA E ESTATÍSTICA (IBGE).</w:t>
      </w:r>
      <w:r>
        <w:t xml:space="preserve"> Índice Nacional de Preços ao Consumidor Amplo (IPCA): número-índice mensal (base dez. 1993 = 100) – Tabela 1737 (SIDRA), jan. 2014 a dez. 2025. Rio de Janeiro: IBGE, 2026. </w:t>
      </w:r>
      <w:r>
        <w:t xml:space="preserve">Disponível em: </w:t>
      </w:r>
      <w:hyperlink w:history="1" r:id="rIdkfbi9nbrmm_0vef3ehwnp">
        <w:r>
          <w:rPr>
            <w:rStyle w:val="Hyperlink"/>
            <w:sz w:val="18"/>
            <w:szCs w:val="18"/>
          </w:rPr>
          <w:t xml:space="preserve">https://sidra.ibge.gov.br/tabela/1737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[12] </w:t>
      </w:r>
      <w:r>
        <w:rPr>
          <w:b/>
          <w:bCs/>
        </w:rPr>
        <w:t xml:space="preserve">INSTITUTO BRASILEIRO DE GEOGRAFIA E ESTATÍSTICA (IBGE).</w:t>
      </w:r>
      <w:r>
        <w:t xml:space="preserve"> API SIDRA (interface de acesso programático usada pelo script codigo/02_coleta_ibge.py). </w:t>
      </w:r>
      <w:r>
        <w:t xml:space="preserve">Disponível em: </w:t>
      </w:r>
      <w:hyperlink w:history="1" r:id="rIdc-rqkyqner6xyfxapjrne">
        <w:r>
          <w:rPr>
            <w:rStyle w:val="Hyperlink"/>
            <w:sz w:val="18"/>
            <w:szCs w:val="18"/>
          </w:rPr>
          <w:t xml:space="preserve">https://apisidra.ibge.gov.br</w:t>
        </w:r>
      </w:hyperlink>
      <w:r>
        <w:t xml:space="preserve">. </w:t>
      </w:r>
      <w:r>
        <w:t xml:space="preserve">Acesso em: 22 out. 2026.</w:t>
      </w:r>
    </w:p>
    <w:p>
      <w:pPr>
        <w:pStyle w:val="Heading1"/>
        <w:spacing w:after="140" w:before="280"/>
      </w:pPr>
      <w:r>
        <w:t xml:space="preserve">3. Dados da Ucrânia</w:t>
      </w:r>
    </w:p>
    <w:p>
      <w:pPr>
        <w:pStyle w:val="Heading2"/>
        <w:spacing w:after="100" w:before="200"/>
      </w:pPr>
      <w:r>
        <w:t xml:space="preserve">3.1 Bases internacionais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[13] </w:t>
      </w:r>
      <w:r>
        <w:rPr>
          <w:b/>
          <w:bCs/>
        </w:rPr>
        <w:t xml:space="preserve">INTERNATIONAL MONETARY FUND (IMF).</w:t>
      </w:r>
      <w:r>
        <w:t xml:space="preserve"> Fiscal Decentralization (FD) dataset: Ukraine, central, subnational and local government, 2000–2020. Washington, DC: IMF, 2026. Indicadores RD_PT, G2MD_PT, TAXD_S13RSHR_PT, TRANSFERDEP1_R_NT_OS_PT, TRANSFERDEP2_R_NT_OR_PT, VFI_PT, entre outros. </w:t>
      </w:r>
      <w:r>
        <w:t xml:space="preserve">Disponível em: </w:t>
      </w:r>
      <w:hyperlink w:history="1" r:id="rIds-lbkbbold7dzq6czzqib">
        <w:r>
          <w:rPr>
            <w:rStyle w:val="Hyperlink"/>
            <w:sz w:val="18"/>
            <w:szCs w:val="18"/>
          </w:rPr>
          <w:t xml:space="preserve">https://data.imf.org/en/datasets/IMF.STA:FD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[14] </w:t>
      </w:r>
      <w:r>
        <w:rPr>
          <w:b/>
          <w:bCs/>
        </w:rPr>
        <w:t xml:space="preserve">INTERNATIONAL MONETARY FUND (IMF).</w:t>
      </w:r>
      <w:r>
        <w:t xml:space="preserve"> SDMX 2.1 API (acesso programático ao FD; também consultados GFS e QGFS, que não trazem dados do governo local ucraniano). </w:t>
      </w:r>
      <w:r>
        <w:t xml:space="preserve">Disponível em: </w:t>
      </w:r>
      <w:hyperlink w:history="1" r:id="rId9nxm8ctqvjvnbcbbkg_mj">
        <w:r>
          <w:rPr>
            <w:rStyle w:val="Hyperlink"/>
            <w:sz w:val="18"/>
            <w:szCs w:val="18"/>
          </w:rPr>
          <w:t xml:space="preserve">https://api.imf.org/external/sdmx/2.1/data/IMF.STA,FD/UKR...A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[15] </w:t>
      </w:r>
      <w:r>
        <w:rPr>
          <w:b/>
          <w:bCs/>
        </w:rPr>
        <w:t xml:space="preserve">WORLD BANK.</w:t>
      </w:r>
      <w:r>
        <w:t xml:space="preserve"> World Development Indicators: Ukraine, 2010–2025. Washington, DC: World Bank, 2026 (última atualização da base: 8 out. 2026). Indicadores NY.GDP.MKTP.CN, NY.GDP.MKTP.KD.ZG, NY.GDP.DEFL.ZS, FP.CPI.TOTL, FP.CPI.TOTL.ZG, SP.POP.TOTL, PA.NUS.FCRF, GC.REV.XGRT.GD.ZS, GC.TAX.TOTL.GD.ZS, GC.XPN.TOTL.GD.ZS, GC.NLD.TOTL.GD.ZS, GC.DOD.TOTL.GD.ZS, GC.REV.GOTR.ZS, GC.XPN.TRFT.ZS e MS.MIL.XPND.GD.ZS. </w:t>
      </w:r>
      <w:r>
        <w:t xml:space="preserve">Disponível em: </w:t>
      </w:r>
      <w:hyperlink w:history="1" r:id="rIdqbqkpi6xdswmjvsiqrx0x">
        <w:r>
          <w:rPr>
            <w:rStyle w:val="Hyperlink"/>
            <w:sz w:val="18"/>
            <w:szCs w:val="18"/>
          </w:rPr>
          <w:t xml:space="preserve">https://databank.worldbank.org/source/world-development-indicators</w:t>
        </w:r>
      </w:hyperlink>
      <w:r>
        <w:t xml:space="preserve">. </w:t>
      </w:r>
      <w:r>
        <w:t xml:space="preserve">Acesso em: 22 out. 2026.</w:t>
      </w:r>
    </w:p>
    <w:p>
      <w:pPr>
        <w:pStyle w:val="Heading2"/>
        <w:spacing w:after="100" w:before="200"/>
      </w:pPr>
      <w:r>
        <w:t xml:space="preserve">3.2 Documentos oficiais ucranianos (orçamentos locais 2021–2025)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[16] </w:t>
      </w:r>
      <w:r>
        <w:rPr>
          <w:b/>
          <w:bCs/>
        </w:rPr>
        <w:t xml:space="preserve">UCRÂNIA. Ministério das Finanças.</w:t>
      </w:r>
      <w:r>
        <w:t xml:space="preserve"> Довідка щодо виконання доходів загального фонду місцевих бюджетів за 2022 рік [Nota sobre a execução das receitas do fundo geral dos orçamentos locais em 2022, com comparação a 2021]. Kyiv: Мінфін, 2023. </w:t>
      </w:r>
      <w:r>
        <w:t xml:space="preserve">Disponível em: </w:t>
      </w:r>
      <w:hyperlink w:history="1" r:id="rIdxgih59oyoj3pd5dvof3zb">
        <w:r>
          <w:rPr>
            <w:rStyle w:val="Hyperlink"/>
            <w:sz w:val="18"/>
            <w:szCs w:val="18"/>
          </w:rPr>
          <w:t xml:space="preserve">https://mof.gov.ua/storage/files/%D0%94%D0%BE%D0%B2%D1%96%D0%B4%D0%BA%D0%B0_%D0%BE%D0%BD%D0%BE%D0%B2%D0%BB%D0%B5%D0%BD%D0%B0_%D0%BD%D0%B0_%D1%81%D0%B0%D0%B9%D1%82_%D0%B7%D0%B0_2022_%D1%80%D1%96%D0%BA.pdf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[17] </w:t>
      </w:r>
      <w:r>
        <w:rPr>
          <w:b/>
          <w:bCs/>
        </w:rPr>
        <w:t xml:space="preserve">UCRÂNIA. Ministério das Finanças.</w:t>
      </w:r>
      <w:r>
        <w:t xml:space="preserve"> Довідка щодо виконання доходів загального фонду місцевих бюджетів за 2023 рік [Nota sobre a execução das receitas do fundo geral dos orçamentos locais em 2023]. Kyiv: Мінфін, 2024. </w:t>
      </w:r>
      <w:r>
        <w:t xml:space="preserve">Disponível em: </w:t>
      </w:r>
      <w:hyperlink w:history="1" r:id="rIdyoekncqxkeel3yuzhitkl">
        <w:r>
          <w:rPr>
            <w:rStyle w:val="Hyperlink"/>
            <w:sz w:val="18"/>
            <w:szCs w:val="18"/>
          </w:rPr>
          <w:t xml:space="preserve">https://mof.gov.ua/storage/files/%D0%94%D0%BE%D0%B2%D1%96%D0%B4%D0%BA%D0%B0_%D0%BD%D0%B0_%D1%81%D0%B0%D0%B9%D1%82_%D0%B7%D0%B0_2023_%D1%80%D1%96%D0%BA.pdf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[18] </w:t>
      </w:r>
      <w:r>
        <w:rPr>
          <w:b/>
          <w:bCs/>
        </w:rPr>
        <w:t xml:space="preserve">UCRÂNIA. Ministério das Finanças.</w:t>
      </w:r>
      <w:r>
        <w:t xml:space="preserve"> Інформація щодо виконання Державного бюджету України за 2022 рік [Informação sobre a execução do Orçamento do Estado da Ucrânia em 2022 – seção de transferências intergovernamentais]. Kyiv: Мінфін, 2023. </w:t>
      </w:r>
      <w:r>
        <w:t xml:space="preserve">Disponível em: </w:t>
      </w:r>
      <w:hyperlink w:history="1" r:id="rIdnzlfu5siqhc0ylfg5rfab">
        <w:r>
          <w:rPr>
            <w:rStyle w:val="Hyperlink"/>
            <w:sz w:val="18"/>
            <w:szCs w:val="18"/>
          </w:rPr>
          <w:t xml:space="preserve">https://mof.gov.ua/storage/files/%D0%86%D0%BD%D1%84%D0%BE%D1%80%D0%BC%D0%B0%D1%86%D1%96%D1%8F_%D1%89%D0%BE%D0%B4%D0%BE_%D0%B2%D0%B8%D0%BA%D0%BE%D0%BD_%D0%94%D0%91%D0%A3_%D0%B7%D0%B0_2022_%D1%80%D1%96%D0%BA_01_03_2023.doc.pdf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[19] </w:t>
      </w:r>
      <w:r>
        <w:rPr>
          <w:b/>
          <w:bCs/>
        </w:rPr>
        <w:t xml:space="preserve">UCRÂNIA. Gabinete de Ministros.</w:t>
      </w:r>
      <w:r>
        <w:t xml:space="preserve"> Мінфін: за 2024 р. до загального фонду місцевих бюджетів надійшло 451 млрд грн [Ministério das Finanças: em 2024 o fundo geral dos orçamentos locais recebeu 451 bilhões de UAH]. Kyiv: Portal do Governo, 2025. </w:t>
      </w:r>
      <w:r>
        <w:t xml:space="preserve">Disponível em: </w:t>
      </w:r>
      <w:hyperlink w:history="1" r:id="rId8s5jrlmarmrfmxmsbxw35">
        <w:r>
          <w:rPr>
            <w:rStyle w:val="Hyperlink"/>
            <w:sz w:val="18"/>
            <w:szCs w:val="18"/>
          </w:rPr>
          <w:t xml:space="preserve">https://www.kmu.gov.ua/news/minfin-za-2024-r-do-zahalnoho-fondu-mistsevykh-biudzhetiv-nadiishlo-451-mlrd-hrn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[20] </w:t>
      </w:r>
      <w:r>
        <w:rPr>
          <w:b/>
          <w:bCs/>
        </w:rPr>
        <w:t xml:space="preserve">UCRÂNIA. Ministério das Finanças.</w:t>
      </w:r>
      <w:r>
        <w:t xml:space="preserve"> Мінфін у 2024 році забезпечив перерахування з держбюджету 193,3 млрд грн трансфертів до місцевих бюджетів [Em 2024, 193,3 bilhões de UAH em transferências aos orçamentos locais]. Kyiv: Мінфін, 2025. </w:t>
      </w:r>
      <w:r>
        <w:t xml:space="preserve">Disponível em: </w:t>
      </w:r>
      <w:hyperlink w:history="1" r:id="rIdvfam_syuylo0xpjb4fc2x">
        <w:r>
          <w:rPr>
            <w:rStyle w:val="Hyperlink"/>
            <w:sz w:val="18"/>
            <w:szCs w:val="18"/>
          </w:rPr>
          <w:t xml:space="preserve">https://mof.gov.ua/uk/news/minfin_u_2024_rotsi_zabezpechiv_pererakhuvannia_z_derzhbiudzhetu_1933_mlrd_grn_transfertiv_do_mistsevikh_biudzhetiv-4982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[21] </w:t>
      </w:r>
      <w:r>
        <w:rPr>
          <w:b/>
          <w:bCs/>
        </w:rPr>
        <w:t xml:space="preserve">UCRÂNIA. Gabinete de Ministros.</w:t>
      </w:r>
      <w:r>
        <w:t xml:space="preserve"> Ministry of Finance: in 2025, general fund of local budgets received UAH 514 billion (+UAH 63 billion compared to 2024). Kyiv: Portal do Governo, 2026. </w:t>
      </w:r>
      <w:r>
        <w:t xml:space="preserve">Disponível em: </w:t>
      </w:r>
      <w:hyperlink w:history="1" r:id="rIdgoes-o7xmqosshdn2_qrw">
        <w:r>
          <w:rPr>
            <w:rStyle w:val="Hyperlink"/>
            <w:sz w:val="18"/>
            <w:szCs w:val="18"/>
          </w:rPr>
          <w:t xml:space="preserve">https://www.kmu.gov.ua/en/news/minfin-za-2025-rik-do-zahalnoho-fondu-mistsevykh-biudzhetiv-nadiishlo-514-mlrd-hrn-63-mlrd-hrn-do-2024-roku</w:t>
        </w:r>
      </w:hyperlink>
      <w:r>
        <w:t xml:space="preserve">. </w:t>
      </w:r>
      <w:r>
        <w:t xml:space="preserve">Acesso em: 22 out. 2026.</w:t>
      </w:r>
    </w:p>
    <w:p>
      <w:pPr>
        <w:pStyle w:val="Heading2"/>
        <w:spacing w:after="100" w:before="200"/>
      </w:pPr>
      <w:r>
        <w:t xml:space="preserve">3.3 Contexto legal (quebra de série do imposto de renda de militares)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[22] </w:t>
      </w:r>
      <w:r>
        <w:rPr>
          <w:b/>
          <w:bCs/>
        </w:rPr>
        <w:t xml:space="preserve">FORBES UKRAINE.</w:t>
      </w:r>
      <w:r>
        <w:t xml:space="preserve"> Верховна Рада ухвалила закон про військове ПДФО [A Verkhovna Rada aprovou a lei sobre o imposto de renda dos militares]. Kyiv, 8 nov. 2023. </w:t>
      </w:r>
      <w:r>
        <w:t xml:space="preserve">Disponível em: </w:t>
      </w:r>
      <w:hyperlink w:history="1" r:id="rId_o1q4sbiftdm3c8ujy-wi">
        <w:r>
          <w:rPr>
            <w:rStyle w:val="Hyperlink"/>
            <w:sz w:val="18"/>
            <w:szCs w:val="18"/>
          </w:rPr>
          <w:t xml:space="preserve">https://forbes.ua/news/verkhovna-rada-ukhvalila-zakon-pro-viyskove-pdfo-08112023-17124</w:t>
        </w:r>
      </w:hyperlink>
      <w:r>
        <w:t xml:space="preserve">. </w:t>
      </w:r>
      <w:r>
        <w:t xml:space="preserve">Acesso em: 22 out. 2026.</w:t>
      </w:r>
    </w:p>
    <w:p>
      <w:pPr>
        <w:spacing w:after="120" w:line="300"/>
      </w:pPr>
      <w:r>
        <w:rPr>
          <w:b/>
          <w:bCs/>
        </w:rPr>
        <w:t xml:space="preserve">Observação: </w:t>
      </w:r>
      <w:r>
        <w:t xml:space="preserve">a fonte acima é jornalística e foi usada apenas para datar a mudança legal. Recomenda-se citar no artigo o texto oficial da lei, disponível no portal da Verkhovna Rada (zakon.rada.gov.ua), após conferência.</w:t>
      </w:r>
    </w:p>
    <w:p>
      <w:pPr>
        <w:pStyle w:val="Heading2"/>
        <w:spacing w:after="100" w:before="200"/>
      </w:pPr>
      <w:r>
        <w:t xml:space="preserve">3.4 Base bibliográfica (estudo bibliométrico)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[23] </w:t>
      </w:r>
      <w:r>
        <w:rPr>
          <w:b/>
          <w:bCs/>
        </w:rPr>
        <w:t xml:space="preserve">ELSEVIER.</w:t>
      </w:r>
      <w:r>
        <w:t xml:space="preserve"> Scopus. Busca avançada: TITLE-ABS-KEY ("flypaper effect" OR "fiscal illusion" OR "intergovernmental transfer*" OR "intergovernmental grant*" OR "fiscal decentrali*" OR "fiscal equali*") AND TITLE-ABS-KEY (municipal* OR "local government*" OR subnational OR "local public financ*") AND DOCTYPE (ar). 1.444 documentos exportados em CSV. Acesso via Portal de Periódicos da CAPES (CAFe/UnB). </w:t>
      </w:r>
      <w:r>
        <w:t xml:space="preserve">Disponível em: </w:t>
      </w:r>
      <w:hyperlink w:history="1" r:id="rIdc-fgf7hgpdmem3zi-kxsg">
        <w:r>
          <w:rPr>
            <w:rStyle w:val="Hyperlink"/>
            <w:sz w:val="18"/>
            <w:szCs w:val="18"/>
          </w:rPr>
          <w:t xml:space="preserve">https://www.periodicos.capes.gov.br</w:t>
        </w:r>
      </w:hyperlink>
      <w:r>
        <w:t xml:space="preserve">. </w:t>
      </w:r>
      <w:r>
        <w:t xml:space="preserve">Acesso em: 22 out. 2026.</w:t>
      </w:r>
    </w:p>
    <w:p>
      <w:pPr>
        <w:pStyle w:val="Heading1"/>
        <w:spacing w:after="140" w:before="280"/>
      </w:pPr>
      <w:r>
        <w:t xml:space="preserve">4. Softwares e pacotes utilizados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[24] </w:t>
      </w:r>
      <w:r>
        <w:rPr>
          <w:b/>
          <w:bCs/>
        </w:rPr>
        <w:t xml:space="preserve">PYTHON SOFTWARE FOUNDATION.</w:t>
      </w:r>
      <w:r>
        <w:t xml:space="preserve"> Python: linguagem de programação, versão 3.13. Wilmington, 2024. </w:t>
      </w:r>
      <w:r>
        <w:t xml:space="preserve">Disponível em: </w:t>
      </w:r>
      <w:hyperlink w:history="1" r:id="rIdft8dimqdl9edypbq6u8pf">
        <w:r>
          <w:rPr>
            <w:rStyle w:val="Hyperlink"/>
            <w:sz w:val="18"/>
            <w:szCs w:val="18"/>
          </w:rPr>
          <w:t xml:space="preserve">https://www.python.org</w:t>
        </w:r>
      </w:hyperlink>
      <w:r>
        <w:t xml:space="preserve">. </w:t>
      </w:r>
      <w:r>
        <w:t xml:space="preserve">Acesso em: 22 out. 2026.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[25] </w:t>
      </w:r>
      <w:r>
        <w:rPr>
          <w:b/>
          <w:bCs/>
        </w:rPr>
        <w:t xml:space="preserve">McKINNEY, Wes.</w:t>
      </w:r>
      <w:r>
        <w:t xml:space="preserve"> Data structures for statistical computing in Python. In: PYTHON IN SCIENCE CONFERENCE, 9., 2010, Austin. Proceedings [...]. Austin: SciPy, 2010. p. 56-61. (biblioteca pandas) 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[26] </w:t>
      </w:r>
      <w:r>
        <w:rPr>
          <w:b/>
          <w:bCs/>
        </w:rPr>
        <w:t xml:space="preserve">SEABOLD, Skipper; PERKTOLD, Josef.</w:t>
      </w:r>
      <w:r>
        <w:t xml:space="preserve"> Statsmodels: econometric and statistical modeling with Python. In: PYTHON IN SCIENCE CONFERENCE, 9., 2010, Austin. Proceedings [...]. Austin: SciPy, 2010. p. 92-96. 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[27] </w:t>
      </w:r>
      <w:r>
        <w:rPr>
          <w:b/>
          <w:bCs/>
        </w:rPr>
        <w:t xml:space="preserve">HUNTER, John D.</w:t>
      </w:r>
      <w:r>
        <w:t xml:space="preserve"> Matplotlib: a 2D graphics environment. Computing in Science &amp; Engineering, v. 9, n. 3, p. 90-95, 2007. </w:t>
      </w:r>
    </w:p>
    <w:p>
      <w:pPr>
        <w:spacing w:after="140" w:line="280"/>
        <w:ind w:left="360" w:hanging="360"/>
      </w:pPr>
      <w:r>
        <w:rPr>
          <w:b/>
          <w:bCs/>
        </w:rPr>
        <w:t xml:space="preserve">[28] </w:t>
      </w:r>
      <w:r>
        <w:rPr>
          <w:b/>
          <w:bCs/>
        </w:rPr>
        <w:t xml:space="preserve">ARIA, Massimo; CUCCURULLO, Corrado.</w:t>
      </w:r>
      <w:r>
        <w:t xml:space="preserve"> bibliometrix: an R-tool for comprehensive science mapping analysis. Journal of Informetrics, v. 11, n. 4, p. 959-975, 2017. (pacote a ser usado no estudo bibliométrico; script em bibliometria/bibliometria.R) </w:t>
      </w:r>
    </w:p>
    <w:p>
      <w:pPr>
        <w:pStyle w:val="Heading1"/>
        <w:spacing w:after="140" w:before="280"/>
      </w:pPr>
      <w:r>
        <w:t xml:space="preserve">5. Correspondência entre arquivos do repositório e fontes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6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Arquivo / pasta do repositório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Conteúdo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Fonte (nº da referência)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dados/original/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Cópia intocada do trabalho anterior (P1)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[1]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dados/brutos/siconfi/dca_*.csv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DCA, Anexos I-C, I-D e I-E, 2014–2025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[3], [4], [5], [6]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dados/brutos/ibge/populacao_*.csv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Estimativas e Censos 2010 e 2022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[7], [8], [9], [12]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dados/brutos/ibge/pib_municipal_t5938.csv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PIB e VAB municipais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[10], [12]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dados/brutos/ibge/ipca_indice_mensal_t1737.csv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IPCA (deflator)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[11], [12]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dados/brutos/ucrania/imf_fd_ucrania.csv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Descentralização fiscal, 2000–2020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[13], [14]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dados/brutos/ucrania/wdi_ucrania.csv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Indicadores macro e fiscais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[15]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dados/brutos/ucrania/mof_orcamentos_locais_2021_2025.csv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Orçamentos locais 2021–2025 (transcrição com URL por linha)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[16]–[22]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dados/tratados/, resultados/, figuras/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Bases tratadas, estatísticas, regressões e gráficos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Derivados de [1]–[22] com [24]–[27]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codigo/*.py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Coleta, tratamento e análise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[24]–[27]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bibliometria/scopus.csv e bibliometria/resultados/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Scopus e saídas do bibliometrix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[23], [28]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bibliometria/bibliometria.R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Roteiro do estudo bibliométrico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[28]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Referencial do tema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Transferências, ilusão fiscal e efeito flypaper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[2]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559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qjrmcxw10xqlsow42bqpa" Type="http://schemas.openxmlformats.org/officeDocument/2006/relationships/hyperlink" Target="https://github.com/snakecs/Prova-Finan-as-setor-p-blico" TargetMode="External"/><Relationship Id="rIdztxnrhpepmuogsudp0vhj" Type="http://schemas.openxmlformats.org/officeDocument/2006/relationships/hyperlink" Target="https://apidatalake.tesouro.gov.br/ords/siconfi/tt/dca?no_anexo=DCA-Anexo%20I-C" TargetMode="External"/><Relationship Id="rIdfbvqlyyebizk9gkq9ug6p" Type="http://schemas.openxmlformats.org/officeDocument/2006/relationships/hyperlink" Target="https://apidatalake.tesouro.gov.br/ords/siconfi/tt/dca?no_anexo=DCA-Anexo%20I-D" TargetMode="External"/><Relationship Id="rIdmzyhe3a92p-zq0a0nge_k" Type="http://schemas.openxmlformats.org/officeDocument/2006/relationships/hyperlink" Target="https://apidatalake.tesouro.gov.br/ords/siconfi/tt/dca?no_anexo=DCA-Anexo%20I-E" TargetMode="External"/><Relationship Id="rIdekfkxh1ikum8d_nwwmnb6" Type="http://schemas.openxmlformats.org/officeDocument/2006/relationships/hyperlink" Target="https://siconfi.tesouro.gov.br" TargetMode="External"/><Relationship Id="rIdch3ixvsdlhfzdryoslrim" Type="http://schemas.openxmlformats.org/officeDocument/2006/relationships/hyperlink" Target="https://sidra.ibge.gov.br/tabela/6579" TargetMode="External"/><Relationship Id="rIdrfrihizswxycq0swceeir" Type="http://schemas.openxmlformats.org/officeDocument/2006/relationships/hyperlink" Target="https://sidra.ibge.gov.br/tabela/4709" TargetMode="External"/><Relationship Id="rId4ym96wp9rgzh0f4qyq70s" Type="http://schemas.openxmlformats.org/officeDocument/2006/relationships/hyperlink" Target="https://sidra.ibge.gov.br/tabela/202" TargetMode="External"/><Relationship Id="rIdm8nexubsf3lz_4jmyeffz" Type="http://schemas.openxmlformats.org/officeDocument/2006/relationships/hyperlink" Target="https://sidra.ibge.gov.br/tabela/5938" TargetMode="External"/><Relationship Id="rIdkfbi9nbrmm_0vef3ehwnp" Type="http://schemas.openxmlformats.org/officeDocument/2006/relationships/hyperlink" Target="https://sidra.ibge.gov.br/tabela/1737" TargetMode="External"/><Relationship Id="rIdc-rqkyqner6xyfxapjrne" Type="http://schemas.openxmlformats.org/officeDocument/2006/relationships/hyperlink" Target="https://apisidra.ibge.gov.br" TargetMode="External"/><Relationship Id="rIds-lbkbbold7dzq6czzqib" Type="http://schemas.openxmlformats.org/officeDocument/2006/relationships/hyperlink" Target="https://data.imf.org/en/datasets/IMF.STA:FD" TargetMode="External"/><Relationship Id="rId9nxm8ctqvjvnbcbbkg_mj" Type="http://schemas.openxmlformats.org/officeDocument/2006/relationships/hyperlink" Target="https://api.imf.org/external/sdmx/2.1/data/IMF.STA,FD/UKR...A" TargetMode="External"/><Relationship Id="rIdqbqkpi6xdswmjvsiqrx0x" Type="http://schemas.openxmlformats.org/officeDocument/2006/relationships/hyperlink" Target="https://databank.worldbank.org/source/world-development-indicators" TargetMode="External"/><Relationship Id="rIdxgih59oyoj3pd5dvof3zb" Type="http://schemas.openxmlformats.org/officeDocument/2006/relationships/hyperlink" Target="https://mof.gov.ua/storage/files/%D0%94%D0%BE%D0%B2%D1%96%D0%B4%D0%BA%D0%B0_%D0%BE%D0%BD%D0%BE%D0%B2%D0%BB%D0%B5%D0%BD%D0%B0_%D0%BD%D0%B0_%D1%81%D0%B0%D0%B9%D1%82_%D0%B7%D0%B0_2022_%D1%80%D1%96%D0%BA.pdf" TargetMode="External"/><Relationship Id="rIdyoekncqxkeel3yuzhitkl" Type="http://schemas.openxmlformats.org/officeDocument/2006/relationships/hyperlink" Target="https://mof.gov.ua/storage/files/%D0%94%D0%BE%D0%B2%D1%96%D0%B4%D0%BA%D0%B0_%D0%BD%D0%B0_%D1%81%D0%B0%D0%B9%D1%82_%D0%B7%D0%B0_2023_%D1%80%D1%96%D0%BA.pdf" TargetMode="External"/><Relationship Id="rIdnzlfu5siqhc0ylfg5rfab" Type="http://schemas.openxmlformats.org/officeDocument/2006/relationships/hyperlink" Target="https://mof.gov.ua/storage/files/%D0%86%D0%BD%D1%84%D0%BE%D1%80%D0%BC%D0%B0%D1%86%D1%96%D1%8F_%D1%89%D0%BE%D0%B4%D0%BE_%D0%B2%D0%B8%D0%BA%D0%BE%D0%BD_%D0%94%D0%91%D0%A3_%D0%B7%D0%B0_2022_%D1%80%D1%96%D0%BA_01_03_2023.doc.pdf" TargetMode="External"/><Relationship Id="rId8s5jrlmarmrfmxmsbxw35" Type="http://schemas.openxmlformats.org/officeDocument/2006/relationships/hyperlink" Target="https://www.kmu.gov.ua/news/minfin-za-2024-r-do-zahalnoho-fondu-mistsevykh-biudzhetiv-nadiishlo-451-mlrd-hrn" TargetMode="External"/><Relationship Id="rIdvfam_syuylo0xpjb4fc2x" Type="http://schemas.openxmlformats.org/officeDocument/2006/relationships/hyperlink" Target="https://mof.gov.ua/uk/news/minfin_u_2024_rotsi_zabezpechiv_pererakhuvannia_z_derzhbiudzhetu_1933_mlrd_grn_transfertiv_do_mistsevikh_biudzhetiv-4982" TargetMode="External"/><Relationship Id="rIdgoes-o7xmqosshdn2_qrw" Type="http://schemas.openxmlformats.org/officeDocument/2006/relationships/hyperlink" Target="https://www.kmu.gov.ua/en/news/minfin-za-2025-rik-do-zahalnoho-fondu-mistsevykh-biudzhetiv-nadiishlo-514-mlrd-hrn-63-mlrd-hrn-do-2024-roku" TargetMode="External"/><Relationship Id="rId_o1q4sbiftdm3c8ujy-wi" Type="http://schemas.openxmlformats.org/officeDocument/2006/relationships/hyperlink" Target="https://forbes.ua/news/verkhovna-rada-ukhvalila-zakon-pro-viyskove-pdfo-08112023-17124" TargetMode="External"/><Relationship Id="rIdc-fgf7hgpdmem3zi-kxsg" Type="http://schemas.openxmlformats.org/officeDocument/2006/relationships/hyperlink" Target="https://www.periodicos.capes.gov.br" TargetMode="External"/><Relationship Id="rIdft8dimqdl9edypbq6u8pf" Type="http://schemas.openxmlformats.org/officeDocument/2006/relationships/hyperlink" Target="https://www.python.org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Fontes utilizadas – P2 FSP</dc:title>
  <dc:creator>Matrícula 241003384</dc:creator>
  <cp:lastModifiedBy>Un-named</cp:lastModifiedBy>
  <cp:revision>1</cp:revision>
  <dcterms:created xsi:type="dcterms:W3CDTF">2026-10-23T00:31:33.561Z</dcterms:created>
  <dcterms:modified xsi:type="dcterms:W3CDTF">2026-10-23T00:31:33.571Z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