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Comparação de layouts – adequação ao afastamento</w:t>
      </w:r>
    </w:p>
    <w:p>
      <w:pPr>
        <w:spacing w:after="60"/>
      </w:pPr>
      <w:r>
        <w:rPr>
          <w:b/>
          <w:bCs/>
        </w:rPr>
        <w:t xml:space="preserve">UBP SFI – Unidade de Beneficiamento de Pescado de São Francisco de Itabapoana</w:t>
      </w:r>
    </w:p>
    <w:p>
      <w:pPr>
        <w:pBdr>
          <w:bottom w:val="single" w:color="00843D" w:sz="8" w:space="4"/>
        </w:pBdr>
        <w:spacing w:after="240"/>
      </w:pPr>
      <w:r>
        <w:rPr>
          <w:color w:val="595959"/>
          <w:sz w:val="20"/>
          <w:szCs w:val="20"/>
        </w:rPr>
        <w:t xml:space="preserve">Leiaute DE-8000.00-8112-190-TP7-012 Rev. F × Apresentação CBA B+G de 23/09/2026 – adequação aos despachos da Prefeitura</w:t>
      </w:r>
    </w:p>
    <w:p>
      <w:pPr>
        <w:pStyle w:val="Heading1"/>
      </w:pPr>
      <w:r>
        <w:t xml:space="preserve">1. Documentos comparados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Leiaute anterior: </w:t>
      </w:r>
      <w:r>
        <w:t xml:space="preserve">DE-8000.00-8112-190-TP7-012 – Planta de Leiaute – Térreo, Rev. F (19/09/2025), TPF Engenharia, carimbo "Em avanço". Área do pavimento: 1.912,93 m². Os dois arquivos recebidos (…_20260227_1 e …_20260227_2) são idênticos.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Layout proposto: </w:t>
      </w:r>
      <w:r>
        <w:t xml:space="preserve">Apresentação UBP SFI, CBA B+G / Petrobras, 23/09/2026, com os ajustes pedidos pela Prefeitura.</w:t>
      </w:r>
    </w:p>
    <w:p>
      <w:pPr>
        <w:spacing w:after="120"/>
      </w:pPr>
      <w:r>
        <w:t xml:space="preserve">No leiaute anterior a rua fica no topo da folha; na apresentação, embaixo. As figuras do leiaute anterior mantêm a orientação original, exceto a Figura 1.</w:t>
      </w:r>
    </w:p>
    <w:p>
      <w:pPr>
        <w:pStyle w:val="Heading1"/>
      </w:pPr>
      <w:r>
        <w:t xml:space="preserve">2. Resumo</w:t>
      </w:r>
    </w:p>
    <w:p>
      <w:pPr>
        <w:spacing w:after="120"/>
      </w:pPr>
      <w:r>
        <w:t xml:space="preserve">O prédio foi deslocado cerca de 3 m para os fundos, sem mudar o arranjo interno. Isso gera o afastamento frontal de 3,00 m exigido pela Prefeitura e explica as demais mudanças: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Nos fundos, </w:t>
      </w:r>
      <w:r>
        <w:t xml:space="preserve">a calçada de 2,80 m que existia atrás do prédio passa a ficar sobre a área alagada, por isso o muro de contenção.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Nas divisas laterais, </w:t>
      </w:r>
      <w:r>
        <w:t xml:space="preserve">onde o prédio encostava na área fora do escopo (UBS Gargaú e academia urbana), surgem duas sobras: junto ao refeitório e junto à lavagem de uniformes. Essas são as "áreas descobertas" novas, e para dar acesso a elas foram abertas portas nesses ambientes.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Na frente, </w:t>
      </w:r>
      <w:r>
        <w:t xml:space="preserve">o muro de 3,00 m no alinhamento dá lugar a grade, portões, muro acústico e loja aberta ao público.</w:t>
      </w:r>
    </w:p>
    <w:p>
      <w:pPr>
        <w:spacing w:after="120"/>
      </w:pPr>
      <w:r>
        <w:t xml:space="preserve">As áreas de produção e os postos de trabalho não tiveram variação relevante. As dúvidas se concentram nas portas abertas para as áreas descobertas, nos fundos, no gerador e na subestação.</w:t>
      </w:r>
    </w:p>
    <w:p>
      <w:pPr>
        <w:keepNext/>
        <w:jc w:val="center"/>
      </w:pPr>
      <w:r>
        <w:drawing>
          <wp:inline distT="0" distB="0" distL="0" distR="0">
            <wp:extent cx="4381500" cy="4152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1 – Leiaute anterior (Rev. F), girado 180° para ficar na mesma orientação da apresentação (rua embaixo).</w:t>
      </w:r>
    </w:p>
    <w:p>
      <w:pPr>
        <w:keepNext/>
        <w:jc w:val="center"/>
      </w:pPr>
      <w:r>
        <w:drawing>
          <wp:inline distT="0" distB="0" distL="0" distR="0">
            <wp:extent cx="4381500" cy="3505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2 – Layout proposto (áreas alteradas em vermelho). Fonte: apresentação, slide 2.</w:t>
      </w:r>
    </w:p>
    <w:p>
      <w:pPr>
        <w:pStyle w:val="Heading1"/>
      </w:pPr>
      <w:r>
        <w:t xml:space="preserve">3. Comparação item a item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600"/>
        <w:gridCol w:w="2600"/>
        <w:gridCol w:w="2326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Leiaute anterior (Rev. F)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Layout proposto (set/2026)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Leitura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Posição do prédio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no alinhamento da rua; atrás, calçada de 2,80 m (1,30 + 1,50) até a divisa dos fundos.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recuada 3,00 m; parede dos fundos sobre o "limite do terreno sem área alagada".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Prédio deslocado cerca de 3 m para os fundos, sem mudar o arranjo interno.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Frente (rua)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Guarita, sanitário PCD, loja de pescado, área de geradores e área da subestação junto à divisa, atrás de muro de 3,00 m.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Mesmos ambientes recuados 3,00 m; faixa livre entre o prédio e a rua.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Atende a exigência da Prefeitura.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Fechamento da frente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Muro contínuo H = 3,00 m, com acesso de veículos e de pedestres.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Grade com portões (guarita vê a rua), muro acústico na frente de gerador e subestação, loja sem fechamento.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Muda o controle de acesso; a loja passa a ter frente aberta ao público.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Geradores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"Área geradores" (36,08 m²) com dois grupos geradores diesel de 500 a 750 kVA, carenados e silenciados, painéis elétricos, tanque de diesel enterrado e bombas.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Ambiente "Gerador" com um único equipamento desenhado.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se houve redução de dois para um gerador e onde ficam tanque e bombas.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Subestação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"Área destinada à SE" (35,40 m², transformador de 1.500 kVA) com cubículos ENEL voltados para a rua.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 da subestação com porta nova para a faixa frontal, atrás do muro acústico.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concessionária deixa de ter acesso direto pela rua.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Refeitório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Encostado na divisa com a área fora do escopo; sem porta para esse lado.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nova de duas folhas para uma área descoberta nova entre o refeitório e a academia urbana.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área descoberta é a sobra criada pelo deslocamento de 3 m.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Lavagem de uniformes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"Lavagem e secagem de uniformes" (36,91 m²), com janelas voltadas para a ETE e parede encostada na área fora do escopo.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Porta de correr nova para uma área descoberta; parede voltada para a ETE sem aberturas.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Mesma lógica: a área descoberta é a sobra entre a sala e a divisa.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Fundos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Calçada de 2,80 m com escada de acesso de manutenção, dentro do terreno.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Escada, patamar e circulação passam para uma faixa de 3 m sobre a área alagada, com muro de contenção e pavimentação.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circulação dos fundos passa a depender de aterro e muro de contenção.</w:t>
            </w:r>
          </w:p>
        </w:tc>
      </w:tr>
      <w:tr>
        <w:trPr>
          <w:tblHeader w:val="false"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Produção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Salas de limpeza e de processamento com 30 postos cada, câmaras, túneis e antecâmaras.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Arranjo interno mantido.</w:t>
            </w:r>
          </w:p>
        </w:tc>
        <w:tc>
          <w:tcPr>
            <w:tcW w:type="dxa" w:w="23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Sem variação relevante nos postos de trabalho.</w:t>
            </w:r>
          </w:p>
        </w:tc>
      </w:tr>
    </w:tbl>
    <w:p>
      <w:pPr>
        <w:pStyle w:val="Heading1"/>
      </w:pPr>
      <w:r>
        <w:t xml:space="preserve">4. Comparação por região</w:t>
      </w:r>
    </w:p>
    <w:p>
      <w:pPr>
        <w:pStyle w:val="Heading2"/>
      </w:pPr>
      <w:r>
        <w:t xml:space="preserve">4.1 Frente: geradores, subestação, guarita e loja</w:t>
      </w:r>
    </w:p>
    <w:p>
      <w:pPr>
        <w:keepNext/>
        <w:jc w:val="center"/>
      </w:pPr>
      <w:r>
        <w:drawing>
          <wp:inline distT="0" distB="0" distL="0" distR="0">
            <wp:extent cx="5715000" cy="153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53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3 – Leiaute anterior: geradores, subestação, guarita e loja junto à divisa, atrás de muro de 3,00 m (rua no topo).</w:t>
      </w:r>
    </w:p>
    <w:p>
      <w:pPr>
        <w:keepNext/>
        <w:jc w:val="center"/>
      </w:pPr>
      <w:r>
        <w:drawing>
          <wp:inline distT="0" distB="0" distL="0" distR="0">
            <wp:extent cx="4572000" cy="2447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4 – Layout proposto: afastamento de 3,00 m, porta nova da subestação e área descoberta do refeitório (slide 6).</w:t>
      </w:r>
    </w:p>
    <w:p>
      <w:pPr>
        <w:keepNext/>
        <w:jc w:val="center"/>
      </w:pPr>
      <w:r>
        <w:drawing>
          <wp:inline distT="0" distB="0" distL="0" distR="0">
            <wp:extent cx="5334000" cy="1219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5 – Layout proposto: loja sem fechamento, grade e portão de pedestres (slide 6).</w:t>
      </w:r>
    </w:p>
    <w:p>
      <w:pPr>
        <w:pStyle w:val="Heading2"/>
      </w:pPr>
      <w:r>
        <w:t xml:space="preserve">4.2 Lavagem de uniformes</w:t>
      </w:r>
    </w:p>
    <w:p>
      <w:pPr>
        <w:keepNext/>
        <w:jc w:val="center"/>
      </w:pPr>
      <w:r>
        <w:drawing>
          <wp:inline distT="0" distB="0" distL="0" distR="0">
            <wp:extent cx="4953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6 – Leiaute anterior: lavagem com janelas voltadas para a ETE e parede na divisa (rua em cima; divisa na borda superior).</w:t>
      </w:r>
    </w:p>
    <w:p>
      <w:pPr>
        <w:keepNext/>
        <w:jc w:val="center"/>
      </w:pPr>
      <w:r>
        <w:drawing>
          <wp:inline distT="0" distB="0" distL="0" distR="0">
            <wp:extent cx="3619500" cy="27908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7 – Layout proposto: porta de correr para a área descoberta; parede voltada para a ETE sem aberturas (slide 4).</w:t>
      </w:r>
    </w:p>
    <w:p>
      <w:pPr>
        <w:pStyle w:val="Heading2"/>
      </w:pPr>
      <w:r>
        <w:t xml:space="preserve">4.3 Fundos</w:t>
      </w:r>
    </w:p>
    <w:p>
      <w:pPr>
        <w:keepNext/>
        <w:jc w:val="center"/>
      </w:pPr>
      <w:r>
        <w:drawing>
          <wp:inline distT="0" distB="0" distL="0" distR="0">
            <wp:extent cx="5715000" cy="12858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8 – Leiaute anterior: calçada de 2,80 m (1,30 + 1,50) e escada de manutenção atrás do prédio (rua para cima).</w:t>
      </w:r>
    </w:p>
    <w:p>
      <w:pPr>
        <w:keepNext/>
        <w:jc w:val="center"/>
      </w:pPr>
      <w:r>
        <w:drawing>
          <wp:inline distT="0" distB="0" distL="0" distR="0">
            <wp:extent cx="53340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95959"/>
          <w:sz w:val="18"/>
          <w:szCs w:val="18"/>
        </w:rPr>
        <w:t xml:space="preserve">Figura 9 – Layout proposto: escada, patamar e portas dentro da faixa sobre a área alagada (slide 3).</w:t>
      </w:r>
    </w:p>
    <w:p>
      <w:pPr>
        <w:pStyle w:val="Heading1"/>
      </w:pPr>
      <w:r>
        <w:t xml:space="preserve">5. Pontos de atenção</w:t>
      </w:r>
    </w:p>
    <w:p>
      <w:pPr>
        <w:pStyle w:val="Heading2"/>
      </w:pPr>
      <w:r>
        <w:t xml:space="preserve">5.1 Portas abertas para áreas externas (risco de contaminação)</w:t>
      </w:r>
    </w:p>
    <w:p>
      <w:pPr>
        <w:spacing w:after="120"/>
      </w:pPr>
      <w:r>
        <w:t xml:space="preserve">No leiaute anterior, a lavagem de uniformes e o refeitório não tinham portas para essas divisas. No proposto, os dois ganham portas para as áreas descobertas. Numa unidade de beneficiamento de pescado, qualquer ligação entre ambiente interno e área externa precisa de justificativa e de barreiras: vedação da porta, tela ou cortina de ar, soleira, piso lavável e ralo sifonado. Na lavagem o cuidado é maior, porque o uniforme limpo segue para a produção. A abertura parece servir para permitir a limpeza dessas sobras, mas isso precisa ser confirmado.</w:t>
      </w:r>
    </w:p>
    <w:p>
      <w:pPr>
        <w:pStyle w:val="Heading2"/>
      </w:pPr>
      <w:r>
        <w:t xml:space="preserve">5.2 Fluxo e uso das áreas descobertas</w:t>
      </w:r>
    </w:p>
    <w:p>
      <w:pPr>
        <w:spacing w:after="120"/>
      </w:pPr>
      <w:r>
        <w:t xml:space="preserve">As duas áreas são sobras do deslocamento, sem função definida na apresentação. Só se chega a elas por dentro do prédio (pela lavagem e pelo refeitório), e elas são fechadas pela divisa com a UBS e a academia urbana. É preciso definir uso, responsável pela limpeza, drenagem e se servem de rota de fuga, ou avaliar se podem ser fechadas.</w:t>
      </w:r>
    </w:p>
    <w:p>
      <w:pPr>
        <w:pStyle w:val="Heading2"/>
      </w:pPr>
      <w:r>
        <w:t xml:space="preserve">5.3 Fundos: muro de contenção e área alagada</w:t>
      </w:r>
    </w:p>
    <w:p>
      <w:pPr>
        <w:spacing w:after="120"/>
      </w:pPr>
      <w:r>
        <w:t xml:space="preserve">A calçada de 2,80 m que ficava dentro do terreno passa para a faixa sobre a área alagada, com a escada de manutenção. A equipe informou que já está prevista sondagem e que o muro de contenção dará o reforço estrutural necessário. Falta a confirmação por escrito.</w:t>
      </w:r>
    </w:p>
    <w:p>
      <w:pPr>
        <w:pStyle w:val="Heading2"/>
      </w:pPr>
      <w:r>
        <w:t xml:space="preserve">5.4 Gerador e subestação</w:t>
      </w:r>
    </w:p>
    <w:p>
      <w:pPr>
        <w:spacing w:after="120"/>
      </w:pPr>
      <w:r>
        <w:t xml:space="preserve">O leiaute anterior previa dois grupos geradores de 500 a 750 kVA em área aberta, com tanque de diesel enterrado e bombas, e a subestação com cubículos da ENEL voltados para a rua. No proposto aparece um só gerador em ambiente fechado, e a subestação fica atrás do muro acústico. É preciso confirmar a capacidade de geração, o abastecimento de diesel e o acesso da concessionária.</w:t>
      </w:r>
    </w:p>
    <w:p>
      <w:pPr>
        <w:pStyle w:val="Heading2"/>
      </w:pPr>
      <w:r>
        <w:t xml:space="preserve">5.5 Novas áreas pavimentadas: podem ser consideradas área construída?</w:t>
      </w:r>
    </w:p>
    <w:p>
      <w:pPr>
        <w:spacing w:after="120"/>
      </w:pPr>
      <w:r>
        <w:t xml:space="preserve">São quatro áreas pavimentadas novas: as áreas descobertas da lavagem e do refeitório, a faixa dos fundos e, possivelmente, a faixa frontal. Em geral, área descoberta pavimentada não entra na área construída, mas reduz a área permeável. O que vale é o código de obras e a lei de uso do solo do município. As áreas fechadas por muro, com acesso só por dentro e uso ligado ao prédio, são as que mais correm risco de ser computadas. Se forem, mudam a taxa de ocupação, o coeficiente de aproveitamento, a permeabilidade, o quadro de áreas, o alvará, o habite-se e as taxas. Recomenda-se pedir o quadro de áreas atualizado e confirmar o critério com a Prefeitura.</w:t>
      </w:r>
    </w:p>
    <w:p>
      <w:pPr>
        <w:pStyle w:val="Heading1"/>
      </w:pPr>
      <w:r>
        <w:t xml:space="preserve">6. Perguntas para resposta</w:t>
      </w:r>
    </w:p>
    <w:p>
      <w:pPr>
        <w:spacing w:after="120"/>
      </w:pPr>
      <w:r>
        <w:t xml:space="preserve">Espaço para a CBA B+G / Petrobras responder diretamente neste documento.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4800"/>
        <w:gridCol w:w="3726"/>
      </w:tblGrid>
      <w:tr>
        <w:trPr>
          <w:tblHeader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Pergunta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0843D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Resposta CBA B+G / Petrobras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que a edificação inteira foi deslocada cerca de 3 m para os fundos, e a medida exata do deslocamento.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2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Qual a finalidade das áreas descobertas da lavagem e do refeitório? Elas são só a sobra do deslocamento ou terão uso?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3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Por que abrir portas da lavagem de uniformes e do refeitório para essas áreas? Que barreiras contra contaminação e pragas estão previstas (tela, cortina de ar, soleira, vedação)?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4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áreas descobertas só têm acesso por dentro do prédio. Como será feita a limpeza e a manutenção? Elas são rota de fuga?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5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 leiaute anterior previa dois grupos geradores de 500 a 750 kVA, tanque de diesel enterrado e bombas. O que foi mantido?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6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Como a concessionária acessa a subestação, que antes tinha cubículos voltados para a rua?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7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Confirmar por escrito a sondagem e o projeto do muro de contenção nos fundos.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8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 faixa frontal de 3,00 m será pavimentada e drenada?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9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As novas áreas pavimentadas (lavagem, refeitório, fundos e frente) serão computadas como área construída? Enviar o quadro de áreas atualizado (construída, pavimentada descoberta e permeável).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10</w:t>
            </w:r>
          </w:p>
        </w:tc>
        <w:tc>
          <w:tcPr>
            <w:tcW w:type="dxa" w:w="4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>Onde ficam as janelas da lavagem de uniformes, antes voltadas para a ETE?</w:t>
            </w:r>
          </w:p>
        </w:tc>
        <w:tc>
          <w:tcPr>
            <w:tcW w:type="dxa" w:w="3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</w:pPr>
      <w:r>
        <w:t xml:space="preserve">7. Limitações</w:t>
      </w:r>
    </w:p>
    <w:p>
      <w:pPr>
        <w:spacing w:after="120"/>
      </w:pPr>
      <w:r>
        <w:t xml:space="preserve">A comparação é visual, feita entre a planta de leiaute Rev. F e as imagens da apresentação, que não têm escala. O deslocamento de cerca de 3 m foi estimado pela calçada de 2,80 m dos fundos, pela cota de 3,00 m da frente e pela profundidade das áreas descobertas. Para medir com precisão são necessários os arquivos DWG das duas versões.</w:t>
      </w:r>
    </w:p>
    <w:sectPr>
      <w:footerReference w:type="default" r:id="rId7"/>
      <w:pgSz w:w="11906" w:h="16838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808080"/>
        <w:sz w:val="16"/>
        <w:szCs w:val="16"/>
      </w:rPr>
      <w:t xml:space="preserve">UBP SFI – Comparação de layouts | Página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300"/>
      <w:outlineLvl w:val="0"/>
    </w:pPr>
    <w:rPr>
      <w:b/>
      <w:bCs/>
      <w:color w:val="00843D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00"/>
      <w:outlineLvl w:val="1"/>
    </w:pPr>
    <w:rPr>
      <w:b/>
      <w:bCs/>
      <w:color w:val="404040"/>
      <w:sz w:val="24"/>
      <w:szCs w:val="24"/>
    </w:rPr>
  </w:style>
  <w:style w:type="paragraph" w:styleId="Title">
    <w:name w:val="Title"/>
    <w:basedOn w:val="Normal"/>
    <w:pPr>
      <w:spacing w:after="80"/>
    </w:pPr>
    <w:rPr>
      <w:b/>
      <w:bCs/>
      <w:color w:val="00843D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285eec67eec80477c2a749fa7c2e3c3bd1f0c43.png"/><Relationship Id="rId9" Type="http://schemas.openxmlformats.org/officeDocument/2006/relationships/image" Target="media/997372ce1c080752d483e7abec88f17c792995e4.png"/><Relationship Id="rId10" Type="http://schemas.openxmlformats.org/officeDocument/2006/relationships/image" Target="media/e5eb2086cc4076d10dc81c19dab7b31de3e744ec.png"/><Relationship Id="rId11" Type="http://schemas.openxmlformats.org/officeDocument/2006/relationships/image" Target="media/b56db2303d3af58a53ac6bbdef5ffeed8e09f228.png"/><Relationship Id="rId12" Type="http://schemas.openxmlformats.org/officeDocument/2006/relationships/image" Target="media/d18a3ca2421d24f22063e9034b07fed363a239ab.png"/><Relationship Id="rId13" Type="http://schemas.openxmlformats.org/officeDocument/2006/relationships/image" Target="media/ce8ce65c706e95487f6b67bda2765a0e4191d1c0.png"/><Relationship Id="rId14" Type="http://schemas.openxmlformats.org/officeDocument/2006/relationships/image" Target="media/c4635e53df01286ce94856902668bf2f5f30b10e.png"/><Relationship Id="rId15" Type="http://schemas.openxmlformats.org/officeDocument/2006/relationships/image" Target="media/7604b42b1a9d70e9ed5e3ca20529e7a9efcf599f.png"/><Relationship Id="rId16" Type="http://schemas.openxmlformats.org/officeDocument/2006/relationships/image" Target="media/13ab3b1de6ad5e4a98c66871ea7d2ad82466ef51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2026-09-24T18:27:52.890Z</dcterms:created>
  <dcterms:modified xsi:type="dcterms:W3CDTF">2026-09-24T18:27:52.900Z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