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8.png" ContentType="image/png"/>
  <Override PartName="/word/media/image17.png" ContentType="image/png"/>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header1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header1.xml" ContentType="application/vnd.openxmlformats-officedocument.wordprocessingml.header+xml"/>
  <Override PartName="/word/footer17.xml" ContentType="application/vnd.openxmlformats-officedocument.wordprocessingml.footer+xml"/>
  <Override PartName="/word/header10.xml" ContentType="application/vnd.openxmlformats-officedocument.wordprocessingml.header+xml"/>
  <Override PartName="/word/settings.xml" ContentType="application/vnd.openxmlformats-officedocument.wordprocessingml.settings+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22.odttf" ContentType="application/vnd.openxmlformats-officedocument.obfuscatedFont"/>
  <Override PartName="/word/fonts/font1.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2.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header11.xml" ContentType="application/vnd.openxmlformats-officedocument.wordprocessingml.header+xml"/>
  <Override PartName="/word/header2.xml" ContentType="application/vnd.openxmlformats-officedocument.wordprocessingml.header+xml"/>
  <Override PartName="/word/header1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Times New Roman" w:hAnsi="Times New Roman" w:eastAsia="Times New Roman" w:cs="Times New Roman"/>
          <w:color w:themeColor="text1" w:val="000000"/>
          <w:sz w:val="24"/>
          <w:szCs w:val="24"/>
        </w:rPr>
      </w:pPr>
      <w:r>
        <w:rPr/>
        <w:drawing>
          <wp:inline distT="0" distB="0" distL="0" distR="0">
            <wp:extent cx="533400" cy="704850"/>
            <wp:effectExtent l="0" t="0" r="0" b="0"/>
            <wp:docPr id="1" name="image2.png" descr="Desenho de cachorro amarel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Desenho de cachorro amarelo  O conteúdo gerado por IA pode estar incorreto."/>
                    <pic:cNvPicPr>
                      <a:picLocks noChangeAspect="1" noChangeArrowheads="1"/>
                    </pic:cNvPicPr>
                  </pic:nvPicPr>
                  <pic:blipFill>
                    <a:blip r:embed="rId2"/>
                    <a:stretch>
                      <a:fillRect/>
                    </a:stretch>
                  </pic:blipFill>
                  <pic:spPr bwMode="auto">
                    <a:xfrm>
                      <a:off x="0" y="0"/>
                      <a:ext cx="533400" cy="704850"/>
                    </a:xfrm>
                    <a:prstGeom prst="rect">
                      <a:avLst/>
                    </a:prstGeom>
                  </pic:spPr>
                </pic:pic>
              </a:graphicData>
            </a:graphic>
          </wp:inline>
        </w:drawing>
      </w:r>
      <w:r>
        <w:rPr/>
        <w:drawing>
          <wp:inline distT="0" distB="0" distL="0" distR="0">
            <wp:extent cx="981075" cy="695325"/>
            <wp:effectExtent l="0" t="0" r="0" b="0"/>
            <wp:docPr id="2" name="image3.png" descr="Uma imagem contendo Logotip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Uma imagem contendo Logotipo  O conteúdo gerado por IA pode estar incorreto."/>
                    <pic:cNvPicPr>
                      <a:picLocks noChangeAspect="1" noChangeArrowheads="1"/>
                    </pic:cNvPicPr>
                  </pic:nvPicPr>
                  <pic:blipFill>
                    <a:blip r:embed="rId3"/>
                    <a:stretch>
                      <a:fillRect/>
                    </a:stretch>
                  </pic:blipFill>
                  <pic:spPr bwMode="auto">
                    <a:xfrm>
                      <a:off x="0" y="0"/>
                      <a:ext cx="981075" cy="695325"/>
                    </a:xfrm>
                    <a:prstGeom prst="rect">
                      <a:avLst/>
                    </a:prstGeom>
                  </pic:spPr>
                </pic:pic>
              </a:graphicData>
            </a:graphic>
          </wp:inline>
        </w:drawing>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t>UNIVERSIDADE FEDERAL FLUMINENSE</w:t>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t>RAFAEL ALVES BASTOS</w:t>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t>DESENVOLVIMENTO DE FRAMEWORK COMPUTACIONAL EM PYTHON PARA A ELABORAÇÃO INTEGRADA DE ESTUDOS DE VIABILIDADE TÉCNICA, ECONÔMICA, AMBIENTAL E SOCIAL (EVTEAS) PARA PISCICULTURA</w:t>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8"/>
          <w:szCs w:val="28"/>
        </w:rPr>
      </w:pPr>
      <w:r>
        <w:rPr>
          <w:rFonts w:eastAsia="Times New Roman" w:cs="Times New Roman"/>
          <w:b/>
          <w:bCs/>
          <w:color w:themeColor="text1" w:val="000000"/>
          <w:sz w:val="28"/>
          <w:szCs w:val="28"/>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t>RIO DAS OSTRAS, RJ</w:t>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t>2026</w:t>
      </w:r>
    </w:p>
    <w:p>
      <w:pPr>
        <w:pStyle w:val="Normal"/>
        <w:spacing w:lineRule="auto" w:line="360" w:before="0" w:after="0"/>
        <w:jc w:val="center"/>
        <w:rPr>
          <w:rFonts w:ascii="Times New Roman" w:hAnsi="Times New Roman" w:eastAsia="Times New Roman" w:cs="Times New Roman"/>
          <w:color w:themeColor="text1" w:val="000000"/>
          <w:sz w:val="24"/>
          <w:szCs w:val="24"/>
        </w:rPr>
      </w:pPr>
      <w:r>
        <w:rPr>
          <w:rFonts w:eastAsia="Times New Roman" w:cs="Times New Roman"/>
          <w:b/>
          <w:bCs/>
          <w:color w:themeColor="text1" w:val="000000"/>
          <w:sz w:val="24"/>
          <w:szCs w:val="24"/>
        </w:rPr>
        <w:t>RAFAEL ALVES BASTOS</w:t>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t>DESENVOLVIMENTO DE FRAMEWORK COMPUTACIONAL EM PYTHON PARA A ELABORAÇÃO INTEGRADA DE ESTUDOS DE VIABILIDADE TÉCNICA, ECONÔMICA, AMBIENTAL E SOCIAL (EVTEAS) PARA PISCICULTURA</w:t>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jc w:val="both"/>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r>
    </w:p>
    <w:p>
      <w:pPr>
        <w:pStyle w:val="Normal"/>
        <w:spacing w:lineRule="auto" w:line="360" w:before="0" w:after="0"/>
        <w:ind w:left="479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Trabalho de Conclusão de Curso ou Dissertação ou da Universidade Federal Fluminense como requisito parcial para obtenção do título de mestre em Engenharia de Produção e Sistemas Computacionais.</w:t>
      </w:r>
    </w:p>
    <w:p>
      <w:pPr>
        <w:pStyle w:val="Normal"/>
        <w:spacing w:lineRule="auto" w:line="360" w:before="0" w:after="0"/>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Normal"/>
        <w:spacing w:lineRule="auto" w:line="360" w:before="0" w:after="0"/>
        <w:ind w:left="480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Área de concentração: Engenharia de Produção e Sistemas Computacionais</w:t>
      </w:r>
    </w:p>
    <w:p>
      <w:pPr>
        <w:pStyle w:val="Normal"/>
        <w:spacing w:lineRule="auto" w:line="360" w:before="0" w:after="0"/>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Normal"/>
        <w:spacing w:lineRule="auto" w:line="360" w:before="0" w:after="0"/>
        <w:ind w:left="480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Orientador: Prof. Dr. Flávio Silva Machado</w:t>
      </w:r>
    </w:p>
    <w:p>
      <w:pPr>
        <w:pStyle w:val="Normal"/>
        <w:spacing w:lineRule="auto" w:line="360" w:before="0" w:after="0"/>
        <w:ind w:left="4800"/>
        <w:jc w:val="both"/>
        <w:rPr>
          <w:rFonts w:ascii="Times New Roman" w:hAnsi="Times New Roman" w:eastAsia="Times New Roman" w:cs="Times New Roman"/>
          <w:b/>
          <w:bCs/>
          <w:color w:themeColor="text1" w:val="000000"/>
          <w:sz w:val="24"/>
          <w:szCs w:val="24"/>
        </w:rPr>
      </w:pPr>
      <w:r>
        <w:rPr>
          <w:rFonts w:eastAsia="Times New Roman" w:cs="Times New Roman"/>
          <w:color w:themeColor="text1" w:val="000000"/>
          <w:sz w:val="24"/>
          <w:szCs w:val="24"/>
        </w:rPr>
        <w:t>Coorientador: Prof. Dr.  Mateus Carvalho Amaral</w:t>
      </w:r>
    </w:p>
    <w:p>
      <w:pPr>
        <w:pStyle w:val="Normal"/>
        <w:spacing w:lineRule="auto" w:line="360" w:before="0" w:after="0"/>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Normal"/>
        <w:spacing w:lineRule="auto" w:line="360" w:before="0" w:after="0"/>
        <w:ind w:left="4798"/>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Normal"/>
        <w:spacing w:lineRule="auto" w:line="360" w:before="0" w:after="0"/>
        <w:ind w:left="4798"/>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Normal"/>
        <w:spacing w:lineRule="auto" w:line="360" w:before="0" w:after="0"/>
        <w:ind w:left="4798"/>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Normal"/>
        <w:spacing w:lineRule="auto" w:line="360" w:before="0" w:after="0"/>
        <w:jc w:val="center"/>
        <w:rPr>
          <w:rFonts w:ascii="Times New Roman" w:hAnsi="Times New Roman" w:eastAsia="Times New Roman" w:cs="Times New Roman"/>
          <w:b/>
          <w:bCs/>
          <w:color w:themeColor="text1" w:val="000000"/>
          <w:sz w:val="24"/>
          <w:szCs w:val="24"/>
        </w:rPr>
      </w:pPr>
      <w:bookmarkStart w:id="0" w:name="_heading=h.ys0ceepgsaq4"/>
      <w:bookmarkEnd w:id="0"/>
      <w:r>
        <w:rPr>
          <w:rFonts w:eastAsia="Times New Roman" w:cs="Times New Roman"/>
          <w:b/>
          <w:bCs/>
          <w:color w:themeColor="text1" w:val="000000"/>
          <w:sz w:val="24"/>
          <w:szCs w:val="24"/>
        </w:rPr>
        <w:t>RIO  DAS OSTRAS, RJ</w:t>
      </w:r>
    </w:p>
    <w:p>
      <w:pPr>
        <w:pStyle w:val="Normal"/>
        <w:spacing w:lineRule="auto" w:line="360" w:before="0" w:after="0"/>
        <w:jc w:val="center"/>
        <w:rPr>
          <w:rFonts w:ascii="Times New Roman" w:hAnsi="Times New Roman" w:eastAsia="Times New Roman" w:cs="Times New Roman"/>
          <w:b/>
          <w:bCs/>
          <w:color w:themeColor="text1" w:val="000000"/>
          <w:sz w:val="24"/>
          <w:szCs w:val="24"/>
        </w:rPr>
      </w:pPr>
      <w:r>
        <w:rPr>
          <w:rFonts w:eastAsia="Times New Roman" w:cs="Times New Roman"/>
          <w:b/>
          <w:bCs/>
          <w:color w:themeColor="text1" w:val="000000"/>
          <w:sz w:val="24"/>
          <w:szCs w:val="24"/>
        </w:rPr>
        <w:t>2026</w:t>
      </w:r>
      <w:r>
        <w:br w:type="page"/>
      </w:r>
    </w:p>
    <w:p>
      <w:pPr>
        <w:pStyle w:val="Normal"/>
        <w:suppressAutoHyphens w:val="false"/>
        <w:spacing w:lineRule="auto" w:line="360" w:beforeAutospacing="1" w:afterAutospacing="1"/>
        <w:jc w:val="center"/>
        <w:rPr>
          <w:rFonts w:ascii="Times New Roman" w:hAnsi="Times New Roman" w:eastAsia="Times New Roman" w:cs="Times New Roman"/>
          <w:b/>
          <w:bCs/>
          <w:color w:themeColor="text1" w:val="000000"/>
          <w:sz w:val="32"/>
          <w:szCs w:val="32"/>
        </w:rPr>
      </w:pPr>
      <w:r>
        <w:rPr>
          <w:rFonts w:eastAsia="Times New Roman" w:cs="Times New Roman"/>
          <w:b/>
          <w:bCs/>
          <w:color w:themeColor="text1" w:val="000000"/>
          <w:sz w:val="32"/>
          <w:szCs w:val="32"/>
        </w:rPr>
        <w:t>RESUMO</w:t>
      </w:r>
    </w:p>
    <w:p>
      <w:pPr>
        <w:pStyle w:val="NormalWeb"/>
        <w:spacing w:lineRule="auto" w:line="360" w:before="280" w:after="280"/>
        <w:jc w:val="both"/>
        <w:rPr/>
      </w:pPr>
      <w:r>
        <w:rPr/>
        <w:t xml:space="preserve">A avaliação da viabilidade de empreendimentos aquícolas esbarra frequentemente na ausência de ferramentas padronizadas e na escassez de dados históricos, um cenário de incerteza que afeta especialmente os pequenos e médios produtores. Diante desse desafio, o presente trabalho tem como objetivo desenvolver o EVTEAS-Py, um </w:t>
      </w:r>
      <w:r>
        <w:rPr>
          <w:i/>
          <w:iCs/>
        </w:rPr>
        <w:t xml:space="preserve">framework </w:t>
      </w:r>
      <w:r>
        <w:rPr/>
        <w:t xml:space="preserve">computacional criado em Python para estruturar e integrar os Estudos de Viabilidade Técnica, Econômica, ambiental e Social aplicados à aquicultura. </w:t>
      </w:r>
      <w:r>
        <w:rPr>
          <w:color w:themeColor="text1" w:val="000000"/>
        </w:rPr>
        <w:t xml:space="preserve">A proposta da ferramenta é reunir indicadores técnico-operacionais, métodos consolidados de análise financeira, métricas socioambientais, práticas da abordagem </w:t>
      </w:r>
      <w:r>
        <w:rPr>
          <w:i/>
          <w:iCs/>
          <w:color w:themeColor="text1" w:val="000000"/>
        </w:rPr>
        <w:t>Lean-Green</w:t>
      </w:r>
      <w:r>
        <w:rPr>
          <w:color w:themeColor="text1" w:val="000000"/>
        </w:rPr>
        <w:t xml:space="preserve"> e diretrizes ESG em um único ambiente, promovendo uma avaliação mais ampla e sustentável dos sistemas de produção. </w:t>
      </w:r>
      <w:r>
        <w:rPr/>
        <w:t xml:space="preserve">Para alcançar esse propósito, o estudo adota uma abordagem de pesquisa aplicada e de natureza qualiquantitativa, guiada pelos princípios metodológicos da </w:t>
      </w:r>
      <w:r>
        <w:rPr>
          <w:i/>
          <w:iCs/>
        </w:rPr>
        <w:t>Design Science Research</w:t>
      </w:r>
      <w:r>
        <w:rPr/>
        <w:t xml:space="preserve">. O caminho de investigação inclui uma </w:t>
      </w:r>
      <w:r>
        <w:rPr>
          <w:color w:themeColor="text1" w:val="000000"/>
        </w:rPr>
        <w:t xml:space="preserve">Revisão Sistemática da Literatura </w:t>
      </w:r>
      <w:r>
        <w:rPr/>
        <w:t xml:space="preserve">baseada no protocolo PRISMA, a definição rigorosa de critérios de avaliação e a construção do artefato computacional propriamente dito, que </w:t>
      </w:r>
      <w:r>
        <w:rPr>
          <w:color w:themeColor="text1" w:val="000000"/>
        </w:rPr>
        <w:t xml:space="preserve">passará </w:t>
      </w:r>
      <w:r>
        <w:rPr/>
        <w:t>por etapas de verificação e validação com especialistas do setor.  Em termos de arquitetura, a ferramenta contará com módulos de aquisição, pré-processamento e análise de dados, utilizando bibliotecas analíticas do ecossistema Python e recursos de inteligência artificial generativa. Toda essa estrutura permanecera circunscrita ao ambiente Python, responsável por gerar relatórios e modelar indicadores de desempenho de forma automatizada, ao ficar o desenvolvimento de uma interface gráfica para o usuário final, fora do escopo desta pesquisa. Com a implementação do EVTEAS-Py, esperar transformar o modo como esses estudos são conduzidos atualmente, ao menos em sua versão conceitual, quando ainda não se tem o terreno, por exemplo. A intenção é reduzir a fragmentação das análises, diminuir o tempo gastos em tarefas operacionais repetitivas e minimizar a chance de erros manuais, ao garantir maior transparência, rastreabilidade e padronização aos processos. Como principal contribuição, espera-se que a pesquisa entregue um sistema de apoio à decisão acessível e robusto. Essa solução visa apoiar produtores, gestores, instituições de fomentos e equipes multidisciplinares no planejamento estratégico de negócios que sejam economicamente rentáveis, ecologicamente responsável e socialmente adequados.</w:t>
      </w:r>
    </w:p>
    <w:p>
      <w:pPr>
        <w:pStyle w:val="Normal"/>
        <w:suppressAutoHyphens w:val="false"/>
        <w:spacing w:lineRule="auto" w:line="360" w:beforeAutospacing="1" w:afterAutospacing="1"/>
        <w:jc w:val="both"/>
        <w:rPr>
          <w:rFonts w:ascii="Times New Roman" w:hAnsi="Times New Roman" w:eastAsia="Times New Roman" w:cs="Times New Roman"/>
          <w:sz w:val="24"/>
          <w:szCs w:val="24"/>
        </w:rPr>
      </w:pPr>
      <w:r>
        <w:rPr>
          <w:rFonts w:eastAsia="Times New Roman" w:cs="Times New Roman"/>
          <w:b/>
          <w:bCs/>
          <w:sz w:val="24"/>
          <w:szCs w:val="24"/>
        </w:rPr>
        <w:t>Palavras-chave:</w:t>
      </w:r>
      <w:r>
        <w:rPr>
          <w:rFonts w:eastAsia="Times New Roman" w:cs="Times New Roman"/>
          <w:sz w:val="24"/>
          <w:szCs w:val="24"/>
        </w:rPr>
        <w:t xml:space="preserve"> Estudo de viabilidade; Piscicultura; Python; </w:t>
      </w:r>
      <w:r>
        <w:rPr>
          <w:rFonts w:eastAsia="Times New Roman" w:cs="Times New Roman"/>
          <w:i/>
          <w:iCs/>
          <w:sz w:val="24"/>
          <w:szCs w:val="24"/>
        </w:rPr>
        <w:t>Lean Green</w:t>
      </w:r>
      <w:r>
        <w:rPr>
          <w:rFonts w:eastAsia="Times New Roman" w:cs="Times New Roman"/>
          <w:sz w:val="24"/>
          <w:szCs w:val="24"/>
        </w:rPr>
        <w:t>; ESG.</w:t>
      </w:r>
      <w:r>
        <w:br w:type="page"/>
      </w:r>
    </w:p>
    <w:p>
      <w:pPr>
        <w:pStyle w:val="Normal"/>
        <w:suppressAutoHyphens w:val="false"/>
        <w:spacing w:lineRule="auto" w:line="360" w:beforeAutospacing="1" w:afterAutospacing="1"/>
        <w:jc w:val="center"/>
        <w:rPr>
          <w:rFonts w:ascii="Times New Roman" w:hAnsi="Times New Roman" w:eastAsia="Times New Roman" w:cs="Times New Roman"/>
          <w:b/>
          <w:bCs/>
          <w:color w:themeColor="text1" w:val="000000"/>
          <w:sz w:val="32"/>
          <w:szCs w:val="32"/>
          <w:lang w:val="en-US"/>
        </w:rPr>
      </w:pPr>
      <w:r>
        <w:rPr>
          <w:rFonts w:eastAsia="Times New Roman" w:cs="Times New Roman"/>
          <w:b/>
          <w:bCs/>
          <w:color w:themeColor="text1" w:val="000000"/>
          <w:sz w:val="32"/>
          <w:szCs w:val="32"/>
          <w:lang w:val="en-US"/>
        </w:rPr>
        <w:t>ABSTRACT</w:t>
      </w:r>
    </w:p>
    <w:p>
      <w:pPr>
        <w:pStyle w:val="Normal"/>
        <w:suppressAutoHyphens w:val="false"/>
        <w:spacing w:lineRule="auto" w:line="360" w:beforeAutospacing="1" w:afterAutospacing="1"/>
        <w:jc w:val="both"/>
        <w:rPr>
          <w:rFonts w:ascii="Times New Roman" w:hAnsi="Times New Roman" w:eastAsia="Times New Roman" w:cs="Times New Roman"/>
          <w:sz w:val="24"/>
          <w:szCs w:val="24"/>
          <w:lang w:val="en-US"/>
        </w:rPr>
      </w:pPr>
      <w:r>
        <w:rPr>
          <w:rFonts w:eastAsia="Times New Roman" w:cs="Times New Roman"/>
          <w:sz w:val="24"/>
          <w:szCs w:val="24"/>
          <w:lang w:val="en-US"/>
        </w:rPr>
        <w:t>Assessing the feasibility of aquaculture ventures is often hindered by the lack of standardized tools and a scarcity of historical data—a scenario of uncertainty that particularly affects small and medium-sized producers. Faced with this challenge, this study aims to develop EVTEAS-Py, a computational framework created in Python to structure and integrate Technical, Economic, Environmental, and Social feasibility studies applied to aquaculture. The tool proposes consolidating technical-operational indicators, established financial analysis methods, socio-environmental metrics, Lean-Green practices, and ESG guidelines into a single environment, thereby promoting a broader and more sustainable assessment of production systems. To achieve this, the study adopts an applied research approach of a qualitative-quantitative nature, guided by the methodological principles of Design Science Research. The research process includes a Systematic Literature Review based on the PRISMA protocol, the rigorous definition of assessment criteria, and the construction of the computational artifact itself, which will undergo verification and validation stages with industry experts. Regarding architecture, the tool will feature modules for data acquisition, preprocessing, and analysis, utilizing analytical libraries from the Python ecosystem and generative artificial intelligence capabilities. The entire structure will remain within the Python environment—responsible for automatically generating reports and modeling performance indicators—while the development of an end-user graphical interface falls outside the scope of this research. The implementation of EVTEAS-Py aims to transform how these studies are currently conducted, particularly in their conceptual phase (e.g., before a specific site has been secured). The goal is to reduce analysis fragmentation, cut down the time spent on repetitive operational tasks, and minimize the risk of manual errors, all while ensuring greater transparency, traceability, and standardization across processes. The research's primary contribution is expected to be an accessible and robust decision-support system. This solution aims to support producers, managers, funding agencies, and multidisciplinary teams in the strategic planning of business ventures that are economically profitable, environmentally responsible, and socially appropriate.</w:t>
      </w:r>
    </w:p>
    <w:p>
      <w:pPr>
        <w:pStyle w:val="Normal"/>
        <w:suppressAutoHyphens w:val="false"/>
        <w:spacing w:lineRule="auto" w:line="360" w:beforeAutospacing="1" w:afterAutospacing="1"/>
        <w:jc w:val="both"/>
        <w:rPr>
          <w:rFonts w:ascii="Times New Roman" w:hAnsi="Times New Roman" w:eastAsia="Times New Roman" w:cs="Times New Roman"/>
          <w:b/>
          <w:bCs/>
          <w:sz w:val="24"/>
          <w:szCs w:val="24"/>
          <w:lang w:val="en-US"/>
        </w:rPr>
      </w:pPr>
      <w:r>
        <w:rPr>
          <w:rFonts w:eastAsia="Times New Roman" w:cs="Times New Roman"/>
          <w:b/>
          <w:bCs/>
          <w:sz w:val="24"/>
          <w:szCs w:val="24"/>
          <w:lang w:val="en-US"/>
        </w:rPr>
        <w:t>Keywords: Feasibility study; Fish farming; Python; Lean Green; ESG.</w:t>
      </w:r>
    </w:p>
    <w:p>
      <w:pPr>
        <w:pStyle w:val="Normal"/>
        <w:spacing w:before="0" w:after="120"/>
        <w:rPr/>
      </w:pPr>
      <w:r>
        <w:rPr>
          <w:rFonts w:ascii="Arial" w:hAnsi="Arial"/>
          <w:i/>
          <w:sz w:val="18"/>
        </w:rPr>
        <w:t>Sumário automático. No Microsoft Word, selecione o campo e use “Atualizar campo” para recalcular a paginação após a diagramação.</w:t>
      </w:r>
    </w:p>
    <w:sdt>
      <w:sdtPr>
        <w:docPartObj>
          <w:docPartGallery w:val="Table of Contents"/>
          <w:docPartUnique w:val="true"/>
        </w:docPartObj>
      </w:sdtPr>
      <w:sdtContent>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242269108">
            <w:r>
              <w:rPr>
                <w:webHidden/>
                <w:rStyle w:val="IndexLink"/>
              </w:rPr>
              <w:t>SUMÁRIO</w:t>
            </w:r>
            <w:r>
              <w:rPr>
                <w:webHidden/>
              </w:rPr>
              <w:fldChar w:fldCharType="begin"/>
            </w:r>
            <w:r>
              <w:rPr>
                <w:webHidden/>
              </w:rPr>
              <w:instrText xml:space="preserve">PAGEREF _Toc242269108 \h</w:instrText>
            </w:r>
            <w:r>
              <w:rPr>
                <w:webHidden/>
              </w:rPr>
              <w:fldChar w:fldCharType="separate"/>
            </w:r>
            <w:r>
              <w:rPr>
                <w:rStyle w:val="IndexLink"/>
                <w:vanish w:val="false"/>
              </w:rPr>
              <w:tab/>
              <w:t>1</w:t>
            </w:r>
            <w:r>
              <w:rPr>
                <w:webHidden/>
              </w:rPr>
              <w:fldChar w:fldCharType="end"/>
            </w:r>
          </w:hyperlink>
        </w:p>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09">
            <w:r>
              <w:rPr>
                <w:webHidden/>
                <w:rStyle w:val="IndexLink"/>
              </w:rPr>
              <w:t>LISTA DE CÓDIGOS</w:t>
            </w:r>
            <w:r>
              <w:rPr>
                <w:webHidden/>
              </w:rPr>
              <w:fldChar w:fldCharType="begin"/>
            </w:r>
            <w:r>
              <w:rPr>
                <w:webHidden/>
              </w:rPr>
              <w:instrText xml:space="preserve">PAGEREF _Toc242269109 \h</w:instrText>
            </w:r>
            <w:r>
              <w:rPr>
                <w:webHidden/>
              </w:rPr>
              <w:fldChar w:fldCharType="separate"/>
            </w:r>
            <w:r>
              <w:rPr>
                <w:rStyle w:val="IndexLink"/>
                <w:vanish w:val="false"/>
              </w:rPr>
              <w:tab/>
              <w:t>1</w:t>
            </w:r>
            <w:r>
              <w:rPr>
                <w:webHidden/>
              </w:rPr>
              <w:fldChar w:fldCharType="end"/>
            </w:r>
          </w:hyperlink>
        </w:p>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10">
            <w:r>
              <w:rPr>
                <w:webHidden/>
                <w:rStyle w:val="IndexLink"/>
                <w:rFonts w:eastAsia="Times New Roman" w:cs="Times New Roman"/>
                <w:b/>
                <w:bCs/>
              </w:rPr>
              <w:t>1 INTRODUÇÃO</w:t>
            </w:r>
            <w:r>
              <w:rPr>
                <w:webHidden/>
              </w:rPr>
              <w:fldChar w:fldCharType="begin"/>
            </w:r>
            <w:r>
              <w:rPr>
                <w:webHidden/>
              </w:rPr>
              <w:instrText xml:space="preserve">PAGEREF _Toc242269110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11">
            <w:r>
              <w:rPr>
                <w:webHidden/>
                <w:rStyle w:val="IndexLink"/>
              </w:rPr>
              <w:t>1.1 Objetivos</w:t>
            </w:r>
            <w:r>
              <w:rPr>
                <w:webHidden/>
              </w:rPr>
              <w:fldChar w:fldCharType="begin"/>
            </w:r>
            <w:r>
              <w:rPr>
                <w:webHidden/>
              </w:rPr>
              <w:instrText xml:space="preserve">PAGEREF _Toc242269111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12">
            <w:r>
              <w:rPr>
                <w:webHidden/>
                <w:rStyle w:val="IndexLink"/>
              </w:rPr>
              <w:t>1.2 Justificativa</w:t>
            </w:r>
            <w:r>
              <w:rPr>
                <w:webHidden/>
              </w:rPr>
              <w:fldChar w:fldCharType="begin"/>
            </w:r>
            <w:r>
              <w:rPr>
                <w:webHidden/>
              </w:rPr>
              <w:instrText xml:space="preserve">PAGEREF _Toc242269112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13">
            <w:r>
              <w:rPr>
                <w:webHidden/>
                <w:rStyle w:val="IndexLink"/>
              </w:rPr>
              <w:t>1.3 O Problema de pesquisa e a hipótese</w:t>
            </w:r>
            <w:r>
              <w:rPr>
                <w:webHidden/>
              </w:rPr>
              <w:fldChar w:fldCharType="begin"/>
            </w:r>
            <w:r>
              <w:rPr>
                <w:webHidden/>
              </w:rPr>
              <w:instrText xml:space="preserve">PAGEREF _Toc242269113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14">
            <w:r>
              <w:rPr>
                <w:webHidden/>
                <w:rStyle w:val="IndexLink"/>
              </w:rPr>
              <w:t>1.4 Estrutura e delimitação da Dissertação</w:t>
            </w:r>
            <w:r>
              <w:rPr>
                <w:webHidden/>
              </w:rPr>
              <w:fldChar w:fldCharType="begin"/>
            </w:r>
            <w:r>
              <w:rPr>
                <w:webHidden/>
              </w:rPr>
              <w:instrText xml:space="preserve">PAGEREF _Toc242269114 \h</w:instrText>
            </w:r>
            <w:r>
              <w:rPr>
                <w:webHidden/>
              </w:rPr>
              <w:fldChar w:fldCharType="separate"/>
            </w:r>
            <w:r>
              <w:rPr>
                <w:rStyle w:val="IndexLink"/>
                <w:vanish w:val="false"/>
              </w:rPr>
              <w:tab/>
              <w:t>1</w:t>
            </w:r>
            <w:r>
              <w:rPr>
                <w:webHidden/>
              </w:rPr>
              <w:fldChar w:fldCharType="end"/>
            </w:r>
          </w:hyperlink>
        </w:p>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15">
            <w:r>
              <w:rPr>
                <w:webHidden/>
                <w:rStyle w:val="IndexLink"/>
                <w:rFonts w:eastAsia="Times New Roman" w:cs="Times New Roman"/>
                <w:b/>
                <w:bCs/>
              </w:rPr>
              <w:t>2 REFERENCIAL TEÓRICO</w:t>
            </w:r>
            <w:r>
              <w:rPr>
                <w:webHidden/>
              </w:rPr>
              <w:fldChar w:fldCharType="begin"/>
            </w:r>
            <w:r>
              <w:rPr>
                <w:webHidden/>
              </w:rPr>
              <w:instrText xml:space="preserve">PAGEREF _Toc242269115 \h</w:instrText>
            </w:r>
            <w:r>
              <w:rPr>
                <w:webHidden/>
              </w:rPr>
              <w:fldChar w:fldCharType="separate"/>
            </w:r>
            <w:r>
              <w:rPr>
                <w:rStyle w:val="IndexLink"/>
                <w:vanish w:val="false"/>
              </w:rPr>
              <w:tab/>
              <w:t>1</w:t>
            </w:r>
            <w:r>
              <w:rPr>
                <w:webHidden/>
              </w:rPr>
              <w:fldChar w:fldCharType="end"/>
            </w:r>
          </w:hyperlink>
        </w:p>
        <w:p>
          <w:pPr>
            <w:pStyle w:val="TOC2"/>
            <w:tabs>
              <w:tab w:val="left" w:pos="720" w:leader="none"/>
              <w:tab w:val="right" w:pos="8494" w:leader="dot"/>
            </w:tabs>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16">
            <w:r>
              <w:rPr>
                <w:webHidden/>
                <w:rStyle w:val="IndexLink"/>
              </w:rPr>
              <w:t>2.1</w:t>
            </w:r>
            <w:r>
              <w:rPr>
                <w:rStyle w:val="IndexLink"/>
                <w:rFonts w:eastAsia="" w:cs="" w:ascii="Calibri" w:hAnsi="Calibri" w:asciiTheme="minorHAnsi" w:cstheme="minorBidi" w:eastAsiaTheme="minorEastAsia" w:hAnsiTheme="minorHAnsi"/>
                <w:b w:val="false"/>
                <w:bCs w:val="false"/>
                <w:kern w:val="2"/>
                <w:sz w:val="24"/>
                <w:szCs w:val="24"/>
                <w14:ligatures w14:val="standardContextual"/>
              </w:rPr>
              <w:tab/>
            </w:r>
            <w:r>
              <w:rPr>
                <w:rStyle w:val="IndexLink"/>
              </w:rPr>
              <w:t>Protocolo de busca para realização do PRISMA</w:t>
            </w:r>
            <w:r>
              <w:rPr>
                <w:webHidden/>
              </w:rPr>
              <w:fldChar w:fldCharType="begin"/>
            </w:r>
            <w:r>
              <w:rPr>
                <w:webHidden/>
              </w:rPr>
              <w:instrText xml:space="preserve">PAGEREF _Toc242269116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17">
            <w:r>
              <w:rPr>
                <w:webHidden/>
                <w:rStyle w:val="IndexLink"/>
                <w:rFonts w:eastAsia="Times New Roman" w:cs="Times New Roman"/>
                <w:b/>
                <w:bCs/>
              </w:rPr>
              <w:t>2.1.1 Bases de dados consultadas</w:t>
            </w:r>
            <w:r>
              <w:rPr>
                <w:webHidden/>
              </w:rPr>
              <w:fldChar w:fldCharType="begin"/>
            </w:r>
            <w:r>
              <w:rPr>
                <w:webHidden/>
              </w:rPr>
              <w:instrText xml:space="preserve">PAGEREF _Toc242269117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18">
            <w:r>
              <w:rPr>
                <w:webHidden/>
                <w:rStyle w:val="IndexLink"/>
                <w:rFonts w:eastAsia="Times New Roman" w:cs="Times New Roman"/>
                <w:b/>
                <w:bCs/>
              </w:rPr>
              <w:t xml:space="preserve">2.1.2 </w:t>
            </w:r>
            <w:r>
              <w:rPr>
                <w:rStyle w:val="IndexLink"/>
                <w:rFonts w:eastAsia="Times New Roman" w:cs="Times New Roman"/>
                <w:b/>
                <w:bCs/>
                <w:i/>
                <w:iCs/>
              </w:rPr>
              <w:t xml:space="preserve">Strings </w:t>
            </w:r>
            <w:r>
              <w:rPr>
                <w:rStyle w:val="IndexLink"/>
                <w:rFonts w:eastAsia="Times New Roman" w:cs="Times New Roman"/>
                <w:b/>
                <w:bCs/>
              </w:rPr>
              <w:t>de busca por eixo temático</w:t>
            </w:r>
            <w:r>
              <w:rPr>
                <w:webHidden/>
              </w:rPr>
              <w:fldChar w:fldCharType="begin"/>
            </w:r>
            <w:r>
              <w:rPr>
                <w:webHidden/>
              </w:rPr>
              <w:instrText xml:space="preserve">PAGEREF _Toc242269118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19">
            <w:r>
              <w:rPr>
                <w:webHidden/>
                <w:rStyle w:val="IndexLink"/>
              </w:rPr>
              <w:t>2.2 Processo de seleção – Fluxo PRISMA</w:t>
            </w:r>
            <w:r>
              <w:rPr>
                <w:webHidden/>
              </w:rPr>
              <w:fldChar w:fldCharType="begin"/>
            </w:r>
            <w:r>
              <w:rPr>
                <w:webHidden/>
              </w:rPr>
              <w:instrText xml:space="preserve">PAGEREF _Toc242269119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20">
            <w:r>
              <w:rPr>
                <w:webHidden/>
                <w:rStyle w:val="IndexLink"/>
              </w:rPr>
              <w:t>2.3 Critérios de inclusão e exclusão</w:t>
            </w:r>
            <w:r>
              <w:rPr>
                <w:webHidden/>
              </w:rPr>
              <w:fldChar w:fldCharType="begin"/>
            </w:r>
            <w:r>
              <w:rPr>
                <w:webHidden/>
              </w:rPr>
              <w:instrText xml:space="preserve">PAGEREF _Toc242269120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21">
            <w:r>
              <w:rPr>
                <w:webHidden/>
                <w:rStyle w:val="IndexLink"/>
                <w:rFonts w:eastAsia="Times New Roman" w:cs="Times New Roman"/>
              </w:rPr>
              <w:t>2.3.1 Critérios de inclusão</w:t>
            </w:r>
            <w:r>
              <w:rPr>
                <w:webHidden/>
              </w:rPr>
              <w:fldChar w:fldCharType="begin"/>
            </w:r>
            <w:r>
              <w:rPr>
                <w:webHidden/>
              </w:rPr>
              <w:instrText xml:space="preserve">PAGEREF _Toc242269121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22">
            <w:r>
              <w:rPr>
                <w:webHidden/>
                <w:rStyle w:val="IndexLink"/>
                <w:rFonts w:eastAsia="Times New Roman" w:cs="Times New Roman"/>
              </w:rPr>
              <w:t>2.3.2 Critérios de exclusão</w:t>
            </w:r>
            <w:r>
              <w:rPr>
                <w:webHidden/>
              </w:rPr>
              <w:fldChar w:fldCharType="begin"/>
            </w:r>
            <w:r>
              <w:rPr>
                <w:webHidden/>
              </w:rPr>
              <w:instrText xml:space="preserve">PAGEREF _Toc242269122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23">
            <w:r>
              <w:rPr>
                <w:webHidden/>
                <w:rStyle w:val="IndexLink"/>
              </w:rPr>
              <w:t>2.4 Resultados e discussão por eixo temático de artigos relevantes nas bases de pesquisa</w:t>
            </w:r>
            <w:r>
              <w:rPr>
                <w:webHidden/>
              </w:rPr>
              <w:fldChar w:fldCharType="begin"/>
            </w:r>
            <w:r>
              <w:rPr>
                <w:webHidden/>
              </w:rPr>
              <w:instrText xml:space="preserve">PAGEREF _Toc242269123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24">
            <w:r>
              <w:rPr>
                <w:webHidden/>
                <w:rStyle w:val="IndexLink"/>
                <w:rFonts w:eastAsia="Times New Roman" w:cs="Times New Roman"/>
              </w:rPr>
              <w:t xml:space="preserve">2.4.1 Eixo 1 - </w:t>
            </w:r>
            <w:r>
              <w:rPr>
                <w:rStyle w:val="IndexLink"/>
                <w:rFonts w:eastAsia="Times New Roman" w:cs="Times New Roman"/>
                <w:i/>
                <w:iCs/>
              </w:rPr>
              <w:t xml:space="preserve">Frameworks </w:t>
            </w:r>
            <w:r>
              <w:rPr>
                <w:rStyle w:val="IndexLink"/>
                <w:rFonts w:eastAsia="Times New Roman" w:cs="Times New Roman"/>
              </w:rPr>
              <w:t>aplicado a estudo de viabilidades em aquicultura</w:t>
            </w:r>
            <w:r>
              <w:rPr>
                <w:webHidden/>
              </w:rPr>
              <w:fldChar w:fldCharType="begin"/>
            </w:r>
            <w:r>
              <w:rPr>
                <w:webHidden/>
              </w:rPr>
              <w:instrText xml:space="preserve">PAGEREF _Toc242269124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25">
            <w:r>
              <w:rPr>
                <w:webHidden/>
                <w:rStyle w:val="IndexLink"/>
                <w:rFonts w:eastAsia="Times New Roman" w:cs="Times New Roman"/>
              </w:rPr>
              <w:t xml:space="preserve">2.4.2 Eixo 2 - Integração, </w:t>
            </w:r>
            <w:r>
              <w:rPr>
                <w:rStyle w:val="IndexLink"/>
                <w:rFonts w:eastAsia="Times New Roman" w:cs="Times New Roman"/>
                <w:i/>
                <w:iCs/>
              </w:rPr>
              <w:t>Lean</w:t>
            </w:r>
            <w:r>
              <w:rPr>
                <w:rStyle w:val="IndexLink"/>
                <w:rFonts w:eastAsia="Times New Roman" w:cs="Times New Roman"/>
              </w:rPr>
              <w:t>, Sustentabilidade Ambiental e cadeia de suprimentos</w:t>
            </w:r>
            <w:r>
              <w:rPr>
                <w:webHidden/>
              </w:rPr>
              <w:fldChar w:fldCharType="begin"/>
            </w:r>
            <w:r>
              <w:rPr>
                <w:webHidden/>
              </w:rPr>
              <w:instrText xml:space="preserve">PAGEREF _Toc242269125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26">
            <w:r>
              <w:rPr>
                <w:webHidden/>
                <w:rStyle w:val="IndexLink"/>
                <w:rFonts w:eastAsia="Times New Roman" w:cs="Times New Roman"/>
              </w:rPr>
              <w:t xml:space="preserve">2.4.3 Eixo 3 - Desempenho ESG, Responsabilidade Social Corporativa e Engajamento de </w:t>
            </w:r>
            <w:r>
              <w:rPr>
                <w:rStyle w:val="IndexLink"/>
                <w:rFonts w:eastAsia="Times New Roman" w:cs="Times New Roman"/>
                <w:i/>
                <w:iCs/>
              </w:rPr>
              <w:t>Stakeholders</w:t>
            </w:r>
            <w:r>
              <w:rPr>
                <w:webHidden/>
              </w:rPr>
              <w:fldChar w:fldCharType="begin"/>
            </w:r>
            <w:r>
              <w:rPr>
                <w:webHidden/>
              </w:rPr>
              <w:instrText xml:space="preserve">PAGEREF _Toc242269126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27">
            <w:r>
              <w:rPr>
                <w:webHidden/>
                <w:rStyle w:val="IndexLink"/>
              </w:rPr>
              <w:t>2.5 Perfil bibliométrico do corpus</w:t>
            </w:r>
            <w:r>
              <w:rPr>
                <w:webHidden/>
              </w:rPr>
              <w:fldChar w:fldCharType="begin"/>
            </w:r>
            <w:r>
              <w:rPr>
                <w:webHidden/>
              </w:rPr>
              <w:instrText xml:space="preserve">PAGEREF _Toc242269127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28">
            <w:r>
              <w:rPr>
                <w:webHidden/>
                <w:rStyle w:val="IndexLink"/>
                <w:rFonts w:eastAsia="Times New Roman" w:cs="Times New Roman"/>
              </w:rPr>
              <w:t>2.5.1 Mapeamento bibliométrico da estrutura conceitual do corpus com utilização de VOSviewer</w:t>
            </w:r>
            <w:r>
              <w:rPr>
                <w:webHidden/>
              </w:rPr>
              <w:fldChar w:fldCharType="begin"/>
            </w:r>
            <w:r>
              <w:rPr>
                <w:webHidden/>
              </w:rPr>
              <w:instrText xml:space="preserve">PAGEREF _Toc242269128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29">
            <w:r>
              <w:rPr>
                <w:webHidden/>
                <w:rStyle w:val="IndexLink"/>
              </w:rPr>
              <w:t>2.6 Síntese analítica da RSL</w:t>
            </w:r>
            <w:r>
              <w:rPr>
                <w:webHidden/>
              </w:rPr>
              <w:fldChar w:fldCharType="begin"/>
            </w:r>
            <w:r>
              <w:rPr>
                <w:webHidden/>
              </w:rPr>
              <w:instrText xml:space="preserve">PAGEREF _Toc242269129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30">
            <w:r>
              <w:rPr>
                <w:webHidden/>
                <w:rStyle w:val="IndexLink"/>
                <w:rFonts w:eastAsia="Times New Roman" w:cs="Times New Roman"/>
              </w:rPr>
              <w:t>2.6.1 Identificações na leitura analítica</w:t>
            </w:r>
            <w:r>
              <w:rPr>
                <w:webHidden/>
              </w:rPr>
              <w:fldChar w:fldCharType="begin"/>
            </w:r>
            <w:r>
              <w:rPr>
                <w:webHidden/>
              </w:rPr>
              <w:instrText xml:space="preserve">PAGEREF _Toc242269130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31">
            <w:r>
              <w:rPr>
                <w:webHidden/>
                <w:rStyle w:val="IndexLink"/>
                <w:rFonts w:eastAsia="Times New Roman" w:cs="Times New Roman"/>
              </w:rPr>
              <w:t>2.6.2 Domínios pouco investigados identificados</w:t>
            </w:r>
            <w:r>
              <w:rPr>
                <w:webHidden/>
              </w:rPr>
              <w:fldChar w:fldCharType="begin"/>
            </w:r>
            <w:r>
              <w:rPr>
                <w:webHidden/>
              </w:rPr>
              <w:instrText xml:space="preserve">PAGEREF _Toc242269131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32">
            <w:r>
              <w:rPr>
                <w:webHidden/>
                <w:rStyle w:val="IndexLink"/>
                <w:rFonts w:eastAsia="Times New Roman" w:cs="Times New Roman"/>
              </w:rPr>
              <w:t>2.6.3 Condução dos resultados para pesquisa</w:t>
            </w:r>
            <w:r>
              <w:rPr>
                <w:webHidden/>
              </w:rPr>
              <w:fldChar w:fldCharType="begin"/>
            </w:r>
            <w:r>
              <w:rPr>
                <w:webHidden/>
              </w:rPr>
              <w:instrText xml:space="preserve">PAGEREF _Toc242269132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33">
            <w:r>
              <w:rPr>
                <w:webHidden/>
                <w:rStyle w:val="IndexLink"/>
                <w:rFonts w:eastAsia="Times New Roman" w:cs="Times New Roman"/>
              </w:rPr>
              <w:t>2.6.4 Contribuição da RSL para a revisão teórica</w:t>
            </w:r>
            <w:r>
              <w:rPr>
                <w:webHidden/>
              </w:rPr>
              <w:fldChar w:fldCharType="begin"/>
            </w:r>
            <w:r>
              <w:rPr>
                <w:webHidden/>
              </w:rPr>
              <w:instrText xml:space="preserve">PAGEREF _Toc242269133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34">
            <w:r>
              <w:rPr>
                <w:webHidden/>
                <w:rStyle w:val="IndexLink"/>
              </w:rPr>
              <w:t>2.7 Revisão bibliográfica: livros, artigos relevantes, normas e documentos institucionais</w:t>
            </w:r>
            <w:r>
              <w:rPr>
                <w:webHidden/>
              </w:rPr>
              <w:fldChar w:fldCharType="begin"/>
            </w:r>
            <w:r>
              <w:rPr>
                <w:webHidden/>
              </w:rPr>
              <w:instrText xml:space="preserve">PAGEREF _Toc242269134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35">
            <w:r>
              <w:rPr>
                <w:webHidden/>
                <w:rStyle w:val="IndexLink"/>
              </w:rPr>
              <w:t xml:space="preserve">2.8 Eixo 1 – </w:t>
            </w:r>
            <w:r>
              <w:rPr>
                <w:rStyle w:val="IndexLink"/>
                <w:i/>
                <w:iCs/>
              </w:rPr>
              <w:t xml:space="preserve">Frameworks </w:t>
            </w:r>
            <w:r>
              <w:rPr>
                <w:rStyle w:val="IndexLink"/>
              </w:rPr>
              <w:t>aplicados a estudos de viabilidade em aquicultura</w:t>
            </w:r>
            <w:r>
              <w:rPr>
                <w:webHidden/>
              </w:rPr>
              <w:fldChar w:fldCharType="begin"/>
            </w:r>
            <w:r>
              <w:rPr>
                <w:webHidden/>
              </w:rPr>
              <w:instrText xml:space="preserve">PAGEREF _Toc242269135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36">
            <w:r>
              <w:rPr>
                <w:webHidden/>
                <w:rStyle w:val="IndexLink"/>
                <w:rFonts w:eastAsia="Times New Roman" w:cs="Times New Roman"/>
              </w:rPr>
              <w:t>2.8.1 O EVTEAS e a tomada de decisão estratégica sustentável</w:t>
            </w:r>
            <w:r>
              <w:rPr>
                <w:webHidden/>
              </w:rPr>
              <w:fldChar w:fldCharType="begin"/>
            </w:r>
            <w:r>
              <w:rPr>
                <w:webHidden/>
              </w:rPr>
              <w:instrText xml:space="preserve">PAGEREF _Toc242269136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37">
            <w:r>
              <w:rPr>
                <w:webHidden/>
                <w:rStyle w:val="IndexLink"/>
                <w:rFonts w:eastAsia="Times New Roman" w:cs="Times New Roman"/>
              </w:rPr>
              <w:t xml:space="preserve">2.8.2 A administração da produção, objetivos de desempenho para </w:t>
            </w:r>
            <w:r>
              <w:rPr>
                <w:rStyle w:val="IndexLink"/>
                <w:rFonts w:eastAsia="Times New Roman" w:cs="Times New Roman"/>
                <w:i/>
                <w:iCs/>
              </w:rPr>
              <w:t xml:space="preserve">framework </w:t>
            </w:r>
            <w:r>
              <w:rPr>
                <w:rStyle w:val="IndexLink"/>
                <w:rFonts w:eastAsia="Times New Roman" w:cs="Times New Roman"/>
              </w:rPr>
              <w:t>computacional</w:t>
            </w:r>
            <w:r>
              <w:rPr>
                <w:webHidden/>
              </w:rPr>
              <w:fldChar w:fldCharType="begin"/>
            </w:r>
            <w:r>
              <w:rPr>
                <w:webHidden/>
              </w:rPr>
              <w:instrText xml:space="preserve">PAGEREF _Toc242269137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38">
            <w:r>
              <w:rPr>
                <w:webHidden/>
                <w:rStyle w:val="IndexLink"/>
                <w:rFonts w:eastAsia="Times New Roman" w:cs="Times New Roman"/>
              </w:rPr>
              <w:t>2.8.3 Padronização e governança de projetos: A lógica do PMBOK aplicada ao código</w:t>
            </w:r>
            <w:r>
              <w:rPr>
                <w:webHidden/>
              </w:rPr>
              <w:fldChar w:fldCharType="begin"/>
            </w:r>
            <w:r>
              <w:rPr>
                <w:webHidden/>
              </w:rPr>
              <w:instrText xml:space="preserve">PAGEREF _Toc242269138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39">
            <w:r>
              <w:rPr>
                <w:webHidden/>
                <w:rStyle w:val="IndexLink"/>
                <w:rFonts w:eastAsia="Times New Roman" w:cs="Times New Roman"/>
              </w:rPr>
              <w:t>2.8.4</w:t>
            </w:r>
            <w:r>
              <w:rPr>
                <w:rStyle w:val="IndexLink"/>
                <w:rFonts w:eastAsia="Times New Roman" w:cs="Times New Roman"/>
                <w:i/>
                <w:iCs/>
              </w:rPr>
              <w:t xml:space="preserve"> Data science </w:t>
            </w:r>
            <w:r>
              <w:rPr>
                <w:rStyle w:val="IndexLink"/>
                <w:rFonts w:eastAsia="Times New Roman" w:cs="Times New Roman"/>
              </w:rPr>
              <w:t xml:space="preserve">e bibliotecas analíticas: o </w:t>
            </w:r>
            <w:r>
              <w:rPr>
                <w:rStyle w:val="IndexLink"/>
                <w:rFonts w:eastAsia="Times New Roman" w:cs="Times New Roman"/>
                <w:i/>
                <w:iCs/>
              </w:rPr>
              <w:t>framework</w:t>
            </w:r>
            <w:r>
              <w:rPr>
                <w:rStyle w:val="IndexLink"/>
                <w:rFonts w:eastAsia="Times New Roman" w:cs="Times New Roman"/>
              </w:rPr>
              <w:t xml:space="preserve"> técnico</w:t>
            </w:r>
            <w:r>
              <w:rPr>
                <w:webHidden/>
              </w:rPr>
              <w:fldChar w:fldCharType="begin"/>
            </w:r>
            <w:r>
              <w:rPr>
                <w:webHidden/>
              </w:rPr>
              <w:instrText xml:space="preserve">PAGEREF _Toc242269139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40">
            <w:r>
              <w:rPr>
                <w:webHidden/>
                <w:rStyle w:val="IndexLink"/>
                <w:rFonts w:eastAsia="Times New Roman" w:cs="Times New Roman"/>
              </w:rPr>
              <w:t>2.8.5 A Automação de tarefas repetitivas: Python como ferramenta de produtividade</w:t>
            </w:r>
            <w:r>
              <w:rPr>
                <w:webHidden/>
              </w:rPr>
              <w:fldChar w:fldCharType="begin"/>
            </w:r>
            <w:r>
              <w:rPr>
                <w:webHidden/>
              </w:rPr>
              <w:instrText xml:space="preserve">PAGEREF _Toc242269140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41">
            <w:r>
              <w:rPr>
                <w:webHidden/>
                <w:rStyle w:val="IndexLink"/>
                <w:rFonts w:eastAsia="Times New Roman" w:cs="Times New Roman"/>
              </w:rPr>
              <w:t xml:space="preserve">2.8.6 Definição de variáveis, indicadores e do </w:t>
            </w:r>
            <w:r>
              <w:rPr>
                <w:rStyle w:val="IndexLink"/>
                <w:rFonts w:eastAsia="Times New Roman" w:cs="Times New Roman"/>
                <w:i/>
                <w:iCs/>
              </w:rPr>
              <w:t xml:space="preserve">framework </w:t>
            </w:r>
            <w:r>
              <w:rPr>
                <w:rStyle w:val="IndexLink"/>
                <w:rFonts w:eastAsia="Times New Roman" w:cs="Times New Roman"/>
              </w:rPr>
              <w:t>Evteas-Py</w:t>
            </w:r>
            <w:r>
              <w:rPr>
                <w:webHidden/>
              </w:rPr>
              <w:fldChar w:fldCharType="begin"/>
            </w:r>
            <w:r>
              <w:rPr>
                <w:webHidden/>
              </w:rPr>
              <w:instrText xml:space="preserve">PAGEREF _Toc242269141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42">
            <w:r>
              <w:rPr>
                <w:webHidden/>
                <w:rStyle w:val="IndexLink"/>
              </w:rPr>
              <w:t>2.9 Eixo 2 – Integração, Lean, Sustentabilidade Ambiental e cadeia de suprimentos</w:t>
            </w:r>
            <w:r>
              <w:rPr>
                <w:webHidden/>
              </w:rPr>
              <w:fldChar w:fldCharType="begin"/>
            </w:r>
            <w:r>
              <w:rPr>
                <w:webHidden/>
              </w:rPr>
              <w:instrText xml:space="preserve">PAGEREF _Toc242269142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43">
            <w:r>
              <w:rPr>
                <w:webHidden/>
                <w:rStyle w:val="IndexLink"/>
                <w:rFonts w:eastAsia="Times New Roman" w:cs="Times New Roman"/>
              </w:rPr>
              <w:t xml:space="preserve">2.9.1 Gestão </w:t>
            </w:r>
            <w:r>
              <w:rPr>
                <w:rStyle w:val="IndexLink"/>
                <w:rFonts w:eastAsia="Times New Roman" w:cs="Times New Roman"/>
                <w:i/>
                <w:iCs/>
              </w:rPr>
              <w:t>Lean &amp; Green</w:t>
            </w:r>
            <w:r>
              <w:rPr>
                <w:rStyle w:val="IndexLink"/>
                <w:rFonts w:eastAsia="Times New Roman" w:cs="Times New Roman"/>
              </w:rPr>
              <w:t>: convergência para a eficiência na piscicultura</w:t>
            </w:r>
            <w:r>
              <w:rPr>
                <w:webHidden/>
              </w:rPr>
              <w:fldChar w:fldCharType="begin"/>
            </w:r>
            <w:r>
              <w:rPr>
                <w:webHidden/>
              </w:rPr>
              <w:instrText xml:space="preserve">PAGEREF _Toc242269143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44">
            <w:r>
              <w:rPr>
                <w:webHidden/>
                <w:rStyle w:val="IndexLink"/>
                <w:rFonts w:eastAsia="Times New Roman" w:cs="Times New Roman"/>
              </w:rPr>
              <w:t>2.9.2 O dilema estratégico: cadeias enxutas (</w:t>
            </w:r>
            <w:r>
              <w:rPr>
                <w:rStyle w:val="IndexLink"/>
                <w:rFonts w:eastAsia="Times New Roman" w:cs="Times New Roman"/>
                <w:i/>
                <w:iCs/>
              </w:rPr>
              <w:t>Lean</w:t>
            </w:r>
            <w:r>
              <w:rPr>
                <w:rStyle w:val="IndexLink"/>
                <w:rFonts w:eastAsia="Times New Roman" w:cs="Times New Roman"/>
              </w:rPr>
              <w:t>) versus cadeias responsivas (</w:t>
            </w:r>
            <w:r>
              <w:rPr>
                <w:rStyle w:val="IndexLink"/>
                <w:rFonts w:eastAsia="Times New Roman" w:cs="Times New Roman"/>
                <w:i/>
                <w:iCs/>
              </w:rPr>
              <w:t>Responsiveness</w:t>
            </w:r>
            <w:r>
              <w:rPr>
                <w:rStyle w:val="IndexLink"/>
                <w:rFonts w:eastAsia="Times New Roman" w:cs="Times New Roman"/>
              </w:rPr>
              <w:t>)</w:t>
            </w:r>
            <w:r>
              <w:rPr>
                <w:webHidden/>
              </w:rPr>
              <w:fldChar w:fldCharType="begin"/>
            </w:r>
            <w:r>
              <w:rPr>
                <w:webHidden/>
              </w:rPr>
              <w:instrText xml:space="preserve">PAGEREF _Toc242269144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45">
            <w:r>
              <w:rPr>
                <w:webHidden/>
                <w:rStyle w:val="IndexLink"/>
                <w:rFonts w:eastAsia="Times New Roman" w:cs="Times New Roman"/>
              </w:rPr>
              <w:t>2.9.3 Competências digitais e a indústria 4.0: O papel da modelagem computacional na agroindústria</w:t>
            </w:r>
            <w:r>
              <w:rPr>
                <w:webHidden/>
              </w:rPr>
              <w:fldChar w:fldCharType="begin"/>
            </w:r>
            <w:r>
              <w:rPr>
                <w:webHidden/>
              </w:rPr>
              <w:instrText xml:space="preserve">PAGEREF _Toc242269145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46">
            <w:r>
              <w:rPr>
                <w:webHidden/>
                <w:rStyle w:val="IndexLink"/>
                <w:rFonts w:eastAsia="Times New Roman" w:cs="Times New Roman"/>
              </w:rPr>
              <w:t xml:space="preserve">2.9.4 Inovação Schumpeteriana e Eco desenvolvimento: o propósito do </w:t>
            </w:r>
            <w:r>
              <w:rPr>
                <w:rStyle w:val="IndexLink"/>
                <w:rFonts w:eastAsia="Times New Roman" w:cs="Times New Roman"/>
                <w:i/>
                <w:iCs/>
              </w:rPr>
              <w:t>framework</w:t>
            </w:r>
            <w:r>
              <w:rPr>
                <w:webHidden/>
              </w:rPr>
              <w:fldChar w:fldCharType="begin"/>
            </w:r>
            <w:r>
              <w:rPr>
                <w:webHidden/>
              </w:rPr>
              <w:instrText xml:space="preserve">PAGEREF _Toc242269146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47">
            <w:r>
              <w:rPr>
                <w:webHidden/>
                <w:rStyle w:val="IndexLink"/>
                <w:rFonts w:eastAsia="Times New Roman" w:cs="Times New Roman"/>
              </w:rPr>
              <w:t>2.9.5 Estratégia competitiva vs. eficiência operacional</w:t>
            </w:r>
            <w:r>
              <w:rPr>
                <w:webHidden/>
              </w:rPr>
              <w:fldChar w:fldCharType="begin"/>
            </w:r>
            <w:r>
              <w:rPr>
                <w:webHidden/>
              </w:rPr>
              <w:instrText xml:space="preserve">PAGEREF _Toc242269147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48">
            <w:r>
              <w:rPr>
                <w:webHidden/>
                <w:rStyle w:val="IndexLink"/>
                <w:rFonts w:eastAsia="Times New Roman" w:cs="Times New Roman"/>
              </w:rPr>
              <w:t>2.9.6 Estratégias de Postergação na Cadeia de Suprimentos</w:t>
            </w:r>
            <w:r>
              <w:rPr>
                <w:webHidden/>
              </w:rPr>
              <w:fldChar w:fldCharType="begin"/>
            </w:r>
            <w:r>
              <w:rPr>
                <w:webHidden/>
              </w:rPr>
              <w:instrText xml:space="preserve">PAGEREF _Toc242269148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49">
            <w:r>
              <w:rPr>
                <w:webHidden/>
                <w:rStyle w:val="IndexLink"/>
              </w:rPr>
              <w:t xml:space="preserve">2.10 Eixo 3 – Desempenho ESG, Responsabilidade Social Corporativa e Engajamento de </w:t>
            </w:r>
            <w:r>
              <w:rPr>
                <w:rStyle w:val="IndexLink"/>
                <w:i/>
                <w:iCs/>
              </w:rPr>
              <w:t>Stakeholders</w:t>
            </w:r>
            <w:r>
              <w:rPr>
                <w:webHidden/>
              </w:rPr>
              <w:fldChar w:fldCharType="begin"/>
            </w:r>
            <w:r>
              <w:rPr>
                <w:webHidden/>
              </w:rPr>
              <w:instrText xml:space="preserve">PAGEREF _Toc242269149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50">
            <w:r>
              <w:rPr>
                <w:webHidden/>
                <w:rStyle w:val="IndexLink"/>
                <w:rFonts w:eastAsia="Times New Roman" w:cs="Times New Roman"/>
              </w:rPr>
              <w:t>2.10.1 ESG: A evolução da responsabilidade social e o desempenho econômico</w:t>
            </w:r>
            <w:r>
              <w:rPr>
                <w:webHidden/>
              </w:rPr>
              <w:fldChar w:fldCharType="begin"/>
            </w:r>
            <w:r>
              <w:rPr>
                <w:webHidden/>
              </w:rPr>
              <w:instrText xml:space="preserve">PAGEREF _Toc242269150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51">
            <w:r>
              <w:rPr>
                <w:webHidden/>
                <w:rStyle w:val="IndexLink"/>
                <w:rFonts w:eastAsia="Times New Roman" w:cs="Times New Roman"/>
              </w:rPr>
              <w:t>2.10.2 Interseção teórica: O ponto de convergência entre EVTEAS</w:t>
            </w:r>
            <w:r>
              <w:rPr>
                <w:rStyle w:val="IndexLink"/>
                <w:rFonts w:eastAsia="Times New Roman" w:cs="Times New Roman"/>
                <w:i/>
                <w:iCs/>
              </w:rPr>
              <w:t>, Lean-Green</w:t>
            </w:r>
            <w:r>
              <w:rPr>
                <w:rStyle w:val="IndexLink"/>
                <w:rFonts w:eastAsia="Times New Roman" w:cs="Times New Roman"/>
              </w:rPr>
              <w:t xml:space="preserve"> e ESG</w:t>
            </w:r>
            <w:r>
              <w:rPr>
                <w:webHidden/>
              </w:rPr>
              <w:fldChar w:fldCharType="begin"/>
            </w:r>
            <w:r>
              <w:rPr>
                <w:webHidden/>
              </w:rPr>
              <w:instrText xml:space="preserve">PAGEREF _Toc242269151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52">
            <w:r>
              <w:rPr>
                <w:webHidden/>
                <w:rStyle w:val="IndexLink"/>
                <w:rFonts w:eastAsia="Times New Roman" w:cs="Times New Roman"/>
              </w:rPr>
              <w:t>2.10.3 A gestão contemporânea: a ciência e a arte da decisão</w:t>
            </w:r>
            <w:r>
              <w:rPr>
                <w:webHidden/>
              </w:rPr>
              <w:fldChar w:fldCharType="begin"/>
            </w:r>
            <w:r>
              <w:rPr>
                <w:webHidden/>
              </w:rPr>
              <w:instrText xml:space="preserve">PAGEREF _Toc242269152 \h</w:instrText>
            </w:r>
            <w:r>
              <w:rPr>
                <w:webHidden/>
              </w:rPr>
              <w:fldChar w:fldCharType="separate"/>
            </w:r>
            <w:r>
              <w:rPr>
                <w:rStyle w:val="IndexLink"/>
                <w:vanish w:val="false"/>
              </w:rPr>
              <w:tab/>
              <w:t>1</w:t>
            </w:r>
            <w:r>
              <w:rPr>
                <w:webHidden/>
              </w:rPr>
              <w:fldChar w:fldCharType="end"/>
            </w:r>
          </w:hyperlink>
        </w:p>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53">
            <w:r>
              <w:rPr>
                <w:webHidden/>
                <w:rStyle w:val="IndexLink"/>
                <w:rFonts w:eastAsia="Times New Roman" w:cs="Times New Roman"/>
                <w:b/>
                <w:bCs/>
              </w:rPr>
              <w:t>3 METODOLOGIA DE PESQUISA</w:t>
            </w:r>
            <w:r>
              <w:rPr>
                <w:webHidden/>
              </w:rPr>
              <w:fldChar w:fldCharType="begin"/>
            </w:r>
            <w:r>
              <w:rPr>
                <w:webHidden/>
              </w:rPr>
              <w:instrText xml:space="preserve">PAGEREF _Toc242269153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54">
            <w:r>
              <w:rPr>
                <w:webHidden/>
                <w:rStyle w:val="IndexLink"/>
              </w:rPr>
              <w:t>3.1 Definição do método da pesquisa</w:t>
            </w:r>
            <w:r>
              <w:rPr>
                <w:webHidden/>
              </w:rPr>
              <w:fldChar w:fldCharType="begin"/>
            </w:r>
            <w:r>
              <w:rPr>
                <w:webHidden/>
              </w:rPr>
              <w:instrText xml:space="preserve">PAGEREF _Toc242269154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55">
            <w:r>
              <w:rPr>
                <w:webHidden/>
                <w:rStyle w:val="IndexLink"/>
              </w:rPr>
              <w:t>3.2 A execução da pesquisa</w:t>
            </w:r>
            <w:r>
              <w:rPr>
                <w:webHidden/>
              </w:rPr>
              <w:fldChar w:fldCharType="begin"/>
            </w:r>
            <w:r>
              <w:rPr>
                <w:webHidden/>
              </w:rPr>
              <w:instrText xml:space="preserve">PAGEREF _Toc242269155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56">
            <w:r>
              <w:rPr>
                <w:webHidden/>
                <w:rStyle w:val="IndexLink"/>
              </w:rPr>
              <w:t>3.3 Detalhamento metodológico</w:t>
            </w:r>
            <w:r>
              <w:rPr>
                <w:webHidden/>
              </w:rPr>
              <w:fldChar w:fldCharType="begin"/>
            </w:r>
            <w:r>
              <w:rPr>
                <w:webHidden/>
              </w:rPr>
              <w:instrText xml:space="preserve">PAGEREF _Toc242269156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57">
            <w:r>
              <w:rPr>
                <w:webHidden/>
                <w:rStyle w:val="IndexLink"/>
                <w:rFonts w:eastAsia="Times New Roman" w:cs="Times New Roman"/>
              </w:rPr>
              <w:t xml:space="preserve">3.3.1 O ciclo estruturado da </w:t>
            </w:r>
            <w:r>
              <w:rPr>
                <w:rStyle w:val="IndexLink"/>
                <w:rFonts w:eastAsia="Times New Roman" w:cs="Times New Roman"/>
                <w:i/>
                <w:iCs/>
              </w:rPr>
              <w:t>Design Science Research</w:t>
            </w:r>
            <w:r>
              <w:rPr>
                <w:rStyle w:val="IndexLink"/>
                <w:rFonts w:eastAsia="Times New Roman" w:cs="Times New Roman"/>
              </w:rPr>
              <w:t xml:space="preserve"> (DSR)</w:t>
            </w:r>
            <w:r>
              <w:rPr>
                <w:webHidden/>
              </w:rPr>
              <w:fldChar w:fldCharType="begin"/>
            </w:r>
            <w:r>
              <w:rPr>
                <w:webHidden/>
              </w:rPr>
              <w:instrText xml:space="preserve">PAGEREF _Toc242269157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58">
            <w:r>
              <w:rPr>
                <w:webHidden/>
                <w:rStyle w:val="IndexLink"/>
                <w:rFonts w:eastAsia="Times New Roman" w:cs="Times New Roman"/>
              </w:rPr>
              <w:t>3.3.2 Verificação e Validação (V&amp;V)</w:t>
            </w:r>
            <w:r>
              <w:rPr>
                <w:webHidden/>
              </w:rPr>
              <w:fldChar w:fldCharType="begin"/>
            </w:r>
            <w:r>
              <w:rPr>
                <w:webHidden/>
              </w:rPr>
              <w:instrText xml:space="preserve">PAGEREF _Toc242269158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59">
            <w:r>
              <w:rPr>
                <w:webHidden/>
                <w:rStyle w:val="IndexLink"/>
              </w:rPr>
              <w:t>3.4 Métodos de análise de dados</w:t>
            </w:r>
            <w:r>
              <w:rPr>
                <w:webHidden/>
              </w:rPr>
              <w:fldChar w:fldCharType="begin"/>
            </w:r>
            <w:r>
              <w:rPr>
                <w:webHidden/>
              </w:rPr>
              <w:instrText xml:space="preserve">PAGEREF _Toc242269159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60">
            <w:r>
              <w:rPr>
                <w:webHidden/>
                <w:rStyle w:val="IndexLink"/>
              </w:rPr>
              <w:t xml:space="preserve">3.5 Integração de inteligência artificial generativa no desenvolvimento do </w:t>
            </w:r>
            <w:r>
              <w:rPr>
                <w:rStyle w:val="IndexLink"/>
                <w:i/>
                <w:iCs/>
              </w:rPr>
              <w:t>framework</w:t>
            </w:r>
            <w:r>
              <w:rPr>
                <w:rStyle w:val="IndexLink"/>
              </w:rPr>
              <w:t xml:space="preserve"> EVTEAS-Py</w:t>
            </w:r>
            <w:r>
              <w:rPr>
                <w:webHidden/>
              </w:rPr>
              <w:fldChar w:fldCharType="begin"/>
            </w:r>
            <w:r>
              <w:rPr>
                <w:webHidden/>
              </w:rPr>
              <w:instrText xml:space="preserve">PAGEREF _Toc242269160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61">
            <w:r>
              <w:rPr>
                <w:webHidden/>
                <w:rStyle w:val="IndexLink"/>
                <w:rFonts w:eastAsia="Times New Roman" w:cs="Times New Roman"/>
              </w:rPr>
              <w:t>3.5.1 Adoção estratégica da inteligência artificial no ciclo de desenvolvimento de framework</w:t>
            </w:r>
            <w:r>
              <w:rPr>
                <w:webHidden/>
              </w:rPr>
              <w:fldChar w:fldCharType="begin"/>
            </w:r>
            <w:r>
              <w:rPr>
                <w:webHidden/>
              </w:rPr>
              <w:instrText xml:space="preserve">PAGEREF _Toc242269161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62">
            <w:r>
              <w:rPr>
                <w:webHidden/>
                <w:rStyle w:val="IndexLink"/>
                <w:rFonts w:eastAsia="Times New Roman" w:cs="Times New Roman"/>
              </w:rPr>
              <w:t>3.5.2 Processos generativos em refatoração, otimização e prevenção de anomalias</w:t>
            </w:r>
            <w:r>
              <w:rPr>
                <w:webHidden/>
              </w:rPr>
              <w:fldChar w:fldCharType="begin"/>
            </w:r>
            <w:r>
              <w:rPr>
                <w:webHidden/>
              </w:rPr>
              <w:instrText xml:space="preserve">PAGEREF _Toc242269162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63">
            <w:r>
              <w:rPr>
                <w:webHidden/>
                <w:rStyle w:val="IndexLink"/>
                <w:rFonts w:eastAsia="Times New Roman" w:cs="Times New Roman"/>
              </w:rPr>
              <w:t>3.5.3 A Governança cognitiva algorítmica e o paradigma "</w:t>
            </w:r>
            <w:r>
              <w:rPr>
                <w:rStyle w:val="IndexLink"/>
                <w:rFonts w:eastAsia="Times New Roman" w:cs="Times New Roman"/>
                <w:i/>
                <w:iCs/>
              </w:rPr>
              <w:t>Human-in-the-Loop</w:t>
            </w:r>
            <w:r>
              <w:rPr>
                <w:rStyle w:val="IndexLink"/>
                <w:rFonts w:eastAsia="Times New Roman" w:cs="Times New Roman"/>
              </w:rPr>
              <w:t>"</w:t>
            </w:r>
            <w:r>
              <w:rPr>
                <w:webHidden/>
              </w:rPr>
              <w:fldChar w:fldCharType="begin"/>
            </w:r>
            <w:r>
              <w:rPr>
                <w:webHidden/>
              </w:rPr>
              <w:instrText xml:space="preserve">PAGEREF _Toc242269163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64">
            <w:r>
              <w:rPr>
                <w:webHidden/>
                <w:rStyle w:val="IndexLink"/>
              </w:rPr>
              <w:t>3.6 Resultados esperados</w:t>
            </w:r>
            <w:r>
              <w:rPr>
                <w:webHidden/>
              </w:rPr>
              <w:fldChar w:fldCharType="begin"/>
            </w:r>
            <w:r>
              <w:rPr>
                <w:webHidden/>
              </w:rPr>
              <w:instrText xml:space="preserve">PAGEREF _Toc242269164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65">
            <w:r>
              <w:rPr>
                <w:webHidden/>
                <w:rStyle w:val="IndexLink"/>
              </w:rPr>
              <w:t>3.7 CRONOGRAMA DA PESQUISA</w:t>
            </w:r>
            <w:r>
              <w:rPr>
                <w:webHidden/>
              </w:rPr>
              <w:fldChar w:fldCharType="begin"/>
            </w:r>
            <w:r>
              <w:rPr>
                <w:webHidden/>
              </w:rPr>
              <w:instrText xml:space="preserve">PAGEREF _Toc242269165 \h</w:instrText>
            </w:r>
            <w:r>
              <w:rPr>
                <w:webHidden/>
              </w:rPr>
              <w:fldChar w:fldCharType="separate"/>
            </w:r>
            <w:r>
              <w:rPr>
                <w:rStyle w:val="IndexLink"/>
                <w:vanish w:val="false"/>
              </w:rPr>
              <w:tab/>
              <w:t>1</w:t>
            </w:r>
            <w:r>
              <w:rPr>
                <w:webHidden/>
              </w:rPr>
              <w:fldChar w:fldCharType="end"/>
            </w:r>
          </w:hyperlink>
          <w:r>
            <w:br w:type="page"/>
          </w:r>
        </w:p>
        <w:p>
          <w:pPr>
            <w:pStyle w:val="Heading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66">
            <w:r>
              <w:rPr>
                <w:webHidden/>
                <w:rStyle w:val="IndexLink"/>
              </w:rPr>
              <w:t>4 RESULTADOS E DISCUSSÃO</w:t>
            </w:r>
            <w:r>
              <w:rPr>
                <w:webHidden/>
              </w:rPr>
              <w:fldChar w:fldCharType="begin"/>
            </w:r>
            <w:r>
              <w:rPr>
                <w:webHidden/>
              </w:rPr>
              <w:instrText xml:space="preserve">PAGEREF _Toc242269166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67">
            <w:r>
              <w:rPr>
                <w:webHidden/>
                <w:rStyle w:val="IndexLink"/>
                <w:rFonts w:ascii="Arial" w:hAnsi="Arial"/>
              </w:rPr>
              <w:t>4.1 Construção e arquitetura do artefato EVTEAS-Py</w:t>
            </w:r>
            <w:r>
              <w:rPr>
                <w:webHidden/>
              </w:rPr>
              <w:fldChar w:fldCharType="begin"/>
            </w:r>
            <w:r>
              <w:rPr>
                <w:webHidden/>
              </w:rPr>
              <w:instrText xml:space="preserve">PAGEREF _Toc242269167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68">
            <w:r>
              <w:rPr>
                <w:webHidden/>
                <w:rStyle w:val="IndexLink"/>
                <w:rFonts w:ascii="Arial" w:hAnsi="Arial"/>
              </w:rPr>
              <w:t>4.2 Interface de entrada e parametrização do estudo</w:t>
            </w:r>
            <w:r>
              <w:rPr>
                <w:webHidden/>
              </w:rPr>
              <w:fldChar w:fldCharType="begin"/>
            </w:r>
            <w:r>
              <w:rPr>
                <w:webHidden/>
              </w:rPr>
              <w:instrText xml:space="preserve">PAGEREF _Toc242269168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69">
            <w:r>
              <w:rPr>
                <w:webHidden/>
                <w:rStyle w:val="IndexLink"/>
                <w:rFonts w:ascii="Arial" w:hAnsi="Arial"/>
              </w:rPr>
              <w:t>4.3 Resultados da dimensão técnica</w:t>
            </w:r>
            <w:r>
              <w:rPr>
                <w:webHidden/>
              </w:rPr>
              <w:fldChar w:fldCharType="begin"/>
            </w:r>
            <w:r>
              <w:rPr>
                <w:webHidden/>
              </w:rPr>
              <w:instrText xml:space="preserve">PAGEREF _Toc242269169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70">
            <w:r>
              <w:rPr>
                <w:webHidden/>
                <w:rStyle w:val="IndexLink"/>
                <w:rFonts w:ascii="Arial" w:hAnsi="Arial"/>
              </w:rPr>
              <w:t>4.4 Resultados da dimensão econômica</w:t>
            </w:r>
            <w:r>
              <w:rPr>
                <w:webHidden/>
              </w:rPr>
              <w:fldChar w:fldCharType="begin"/>
            </w:r>
            <w:r>
              <w:rPr>
                <w:webHidden/>
              </w:rPr>
              <w:instrText xml:space="preserve">PAGEREF _Toc242269170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71">
            <w:r>
              <w:rPr>
                <w:webHidden/>
                <w:rStyle w:val="IndexLink"/>
                <w:rFonts w:ascii="Arial" w:hAnsi="Arial"/>
              </w:rPr>
              <w:t>4.5 Resultados da dimensão ambiental</w:t>
            </w:r>
            <w:r>
              <w:rPr>
                <w:webHidden/>
              </w:rPr>
              <w:fldChar w:fldCharType="begin"/>
            </w:r>
            <w:r>
              <w:rPr>
                <w:webHidden/>
              </w:rPr>
              <w:instrText xml:space="preserve">PAGEREF _Toc242269171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72">
            <w:r>
              <w:rPr>
                <w:webHidden/>
                <w:rStyle w:val="IndexLink"/>
                <w:rFonts w:ascii="Arial" w:hAnsi="Arial"/>
              </w:rPr>
              <w:t>4.6 Resultados da dimensão social e ESG</w:t>
            </w:r>
            <w:r>
              <w:rPr>
                <w:webHidden/>
              </w:rPr>
              <w:fldChar w:fldCharType="begin"/>
            </w:r>
            <w:r>
              <w:rPr>
                <w:webHidden/>
              </w:rPr>
              <w:instrText xml:space="preserve">PAGEREF _Toc242269172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73">
            <w:r>
              <w:rPr>
                <w:webHidden/>
                <w:rStyle w:val="IndexLink"/>
                <w:rFonts w:ascii="Arial" w:hAnsi="Arial"/>
              </w:rPr>
              <w:t>4.7 Índice integrado EVTEAS</w:t>
            </w:r>
            <w:r>
              <w:rPr>
                <w:webHidden/>
              </w:rPr>
              <w:fldChar w:fldCharType="begin"/>
            </w:r>
            <w:r>
              <w:rPr>
                <w:webHidden/>
              </w:rPr>
              <w:instrText xml:space="preserve">PAGEREF _Toc242269173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74">
            <w:r>
              <w:rPr>
                <w:webHidden/>
                <w:rStyle w:val="IndexLink"/>
                <w:rFonts w:ascii="Arial" w:hAnsi="Arial"/>
              </w:rPr>
              <w:t>4.8 Simulação de Monte Carlo</w:t>
            </w:r>
            <w:r>
              <w:rPr>
                <w:webHidden/>
              </w:rPr>
              <w:fldChar w:fldCharType="begin"/>
            </w:r>
            <w:r>
              <w:rPr>
                <w:webHidden/>
              </w:rPr>
              <w:instrText xml:space="preserve">PAGEREF _Toc242269174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75">
            <w:r>
              <w:rPr>
                <w:webHidden/>
                <w:rStyle w:val="IndexLink"/>
                <w:rFonts w:ascii="Arial" w:hAnsi="Arial"/>
              </w:rPr>
              <w:t>4.9 Análise de sensibilidade e identificação das variáveis críticas</w:t>
            </w:r>
            <w:r>
              <w:rPr>
                <w:webHidden/>
              </w:rPr>
              <w:fldChar w:fldCharType="begin"/>
            </w:r>
            <w:r>
              <w:rPr>
                <w:webHidden/>
              </w:rPr>
              <w:instrText xml:space="preserve">PAGEREF _Toc242269175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76">
            <w:r>
              <w:rPr>
                <w:webHidden/>
                <w:rStyle w:val="IndexLink"/>
                <w:rFonts w:ascii="Arial" w:hAnsi="Arial"/>
              </w:rPr>
              <w:t>4.10 Verificação computacional e V&amp;V</w:t>
            </w:r>
            <w:r>
              <w:rPr>
                <w:webHidden/>
              </w:rPr>
              <w:fldChar w:fldCharType="begin"/>
            </w:r>
            <w:r>
              <w:rPr>
                <w:webHidden/>
              </w:rPr>
              <w:instrText xml:space="preserve">PAGEREF _Toc242269176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77">
            <w:r>
              <w:rPr>
                <w:webHidden/>
                <w:rStyle w:val="IndexLink"/>
                <w:rFonts w:ascii="Arial" w:hAnsi="Arial"/>
              </w:rPr>
              <w:t>4.11 Exportação, reprodutibilidade e documentação dos resultados</w:t>
            </w:r>
            <w:r>
              <w:rPr>
                <w:webHidden/>
              </w:rPr>
              <w:fldChar w:fldCharType="begin"/>
            </w:r>
            <w:r>
              <w:rPr>
                <w:webHidden/>
              </w:rPr>
              <w:instrText xml:space="preserve">PAGEREF _Toc242269177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78">
            <w:r>
              <w:rPr>
                <w:webHidden/>
                <w:rStyle w:val="IndexLink"/>
                <w:rFonts w:ascii="Arial" w:hAnsi="Arial"/>
              </w:rPr>
              <w:t>4.12 Discussão integrada e retorno à lacuna científica</w:t>
            </w:r>
            <w:r>
              <w:rPr>
                <w:webHidden/>
              </w:rPr>
              <w:fldChar w:fldCharType="begin"/>
            </w:r>
            <w:r>
              <w:rPr>
                <w:webHidden/>
              </w:rPr>
              <w:instrText xml:space="preserve">PAGEREF _Toc242269178 \h</w:instrText>
            </w:r>
            <w:r>
              <w:rPr>
                <w:webHidden/>
              </w:rPr>
              <w:fldChar w:fldCharType="separate"/>
            </w:r>
            <w:r>
              <w:rPr>
                <w:rStyle w:val="IndexLink"/>
                <w:vanish w:val="false"/>
              </w:rPr>
              <w:tab/>
              <w:t>1</w:t>
            </w:r>
            <w:r>
              <w:rPr>
                <w:webHidden/>
              </w:rPr>
              <w:fldChar w:fldCharType="end"/>
            </w:r>
          </w:hyperlink>
          <w:r>
            <w:br w:type="page"/>
          </w:r>
        </w:p>
        <w:p>
          <w:pPr>
            <w:pStyle w:val="Heading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79">
            <w:r>
              <w:rPr>
                <w:webHidden/>
                <w:rStyle w:val="IndexLink"/>
              </w:rPr>
              <w:t>5 CONSIDERAÇÕES FINAIS</w:t>
            </w:r>
            <w:r>
              <w:rPr>
                <w:webHidden/>
              </w:rPr>
              <w:fldChar w:fldCharType="begin"/>
            </w:r>
            <w:r>
              <w:rPr>
                <w:webHidden/>
              </w:rPr>
              <w:instrText xml:space="preserve">PAGEREF _Toc242269179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80">
            <w:r>
              <w:rPr>
                <w:webHidden/>
                <w:rStyle w:val="IndexLink"/>
                <w:rFonts w:ascii="Arial" w:hAnsi="Arial"/>
              </w:rPr>
              <w:t>5.1 Síntese da resposta ao problema de pesquisa</w:t>
            </w:r>
            <w:r>
              <w:rPr>
                <w:webHidden/>
              </w:rPr>
              <w:fldChar w:fldCharType="begin"/>
            </w:r>
            <w:r>
              <w:rPr>
                <w:webHidden/>
              </w:rPr>
              <w:instrText xml:space="preserve">PAGEREF _Toc242269180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81">
            <w:r>
              <w:rPr>
                <w:webHidden/>
                <w:rStyle w:val="IndexLink"/>
                <w:rFonts w:ascii="Arial" w:hAnsi="Arial"/>
              </w:rPr>
              <w:t>5.2 Atendimento ao objetivo geral e aos objetivos específicos</w:t>
            </w:r>
            <w:r>
              <w:rPr>
                <w:webHidden/>
              </w:rPr>
              <w:fldChar w:fldCharType="begin"/>
            </w:r>
            <w:r>
              <w:rPr>
                <w:webHidden/>
              </w:rPr>
              <w:instrText xml:space="preserve">PAGEREF _Toc242269181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82">
            <w:r>
              <w:rPr>
                <w:webHidden/>
                <w:rStyle w:val="IndexLink"/>
                <w:rFonts w:ascii="Arial" w:hAnsi="Arial"/>
              </w:rPr>
              <w:t>5.3 Contribuições científicas, metodológicas e aplicadas</w:t>
            </w:r>
            <w:r>
              <w:rPr>
                <w:webHidden/>
              </w:rPr>
              <w:fldChar w:fldCharType="begin"/>
            </w:r>
            <w:r>
              <w:rPr>
                <w:webHidden/>
              </w:rPr>
              <w:instrText xml:space="preserve">PAGEREF _Toc242269182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83">
            <w:r>
              <w:rPr>
                <w:webHidden/>
                <w:rStyle w:val="IndexLink"/>
                <w:rFonts w:ascii="Arial" w:hAnsi="Arial"/>
              </w:rPr>
              <w:t>5.4 Limitações da pesquisa e do artefato</w:t>
            </w:r>
            <w:r>
              <w:rPr>
                <w:webHidden/>
              </w:rPr>
              <w:fldChar w:fldCharType="begin"/>
            </w:r>
            <w:r>
              <w:rPr>
                <w:webHidden/>
              </w:rPr>
              <w:instrText xml:space="preserve">PAGEREF _Toc242269183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84">
            <w:r>
              <w:rPr>
                <w:webHidden/>
                <w:rStyle w:val="IndexLink"/>
                <w:rFonts w:ascii="Arial" w:hAnsi="Arial"/>
              </w:rPr>
              <w:t>5.5 Generalização para a classe de problemas</w:t>
            </w:r>
            <w:r>
              <w:rPr>
                <w:webHidden/>
              </w:rPr>
              <w:fldChar w:fldCharType="begin"/>
            </w:r>
            <w:r>
              <w:rPr>
                <w:webHidden/>
              </w:rPr>
              <w:instrText xml:space="preserve">PAGEREF _Toc242269184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85">
            <w:r>
              <w:rPr>
                <w:webHidden/>
                <w:rStyle w:val="IndexLink"/>
                <w:rFonts w:ascii="Arial" w:hAnsi="Arial"/>
              </w:rPr>
              <w:t>5.6 Trabalhos futuros e continuidade do EVTEAS-Py</w:t>
            </w:r>
            <w:r>
              <w:rPr>
                <w:webHidden/>
              </w:rPr>
              <w:fldChar w:fldCharType="begin"/>
            </w:r>
            <w:r>
              <w:rPr>
                <w:webHidden/>
              </w:rPr>
              <w:instrText xml:space="preserve">PAGEREF _Toc242269185 \h</w:instrText>
            </w:r>
            <w:r>
              <w:rPr>
                <w:webHidden/>
              </w:rPr>
              <w:fldChar w:fldCharType="separate"/>
            </w:r>
            <w:r>
              <w:rPr>
                <w:rStyle w:val="IndexLink"/>
                <w:vanish w:val="false"/>
              </w:rPr>
              <w:tab/>
              <w:t>1</w:t>
            </w:r>
            <w:r>
              <w:rPr>
                <w:webHidden/>
              </w:rPr>
              <w:fldChar w:fldCharType="end"/>
            </w:r>
          </w:hyperlink>
        </w:p>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86">
            <w:r>
              <w:rPr>
                <w:webHidden/>
                <w:rStyle w:val="IndexLink"/>
              </w:rPr>
              <w:t>REFERÊNCIAS</w:t>
            </w:r>
            <w:r>
              <w:rPr>
                <w:webHidden/>
              </w:rPr>
              <w:fldChar w:fldCharType="begin"/>
            </w:r>
            <w:r>
              <w:rPr>
                <w:webHidden/>
              </w:rPr>
              <w:instrText xml:space="preserve">PAGEREF _Toc242269186 \h</w:instrText>
            </w:r>
            <w:r>
              <w:rPr>
                <w:webHidden/>
              </w:rPr>
              <w:fldChar w:fldCharType="separate"/>
            </w:r>
            <w:r>
              <w:rPr>
                <w:rStyle w:val="IndexLink"/>
                <w:vanish w:val="false"/>
              </w:rPr>
              <w:tab/>
              <w:t>1</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9" w:before="0" w:after="160"/>
        <w:jc w:val="left"/>
        <w:rPr>
          <w:rFonts w:ascii="Times New Roman" w:hAnsi="Times New Roman"/>
          <w:sz w:val="24"/>
        </w:rPr>
      </w:pPr>
      <w:r>
        <w:rPr>
          <w:sz w:val="24"/>
        </w:rPr>
      </w:r>
    </w:p>
    <w:p>
      <w:pPr>
        <w:pStyle w:val="Heading1"/>
        <w:jc w:val="center"/>
        <w:rPr/>
      </w:pPr>
      <w:bookmarkStart w:id="1" w:name="_Toc242269268"/>
      <w:bookmarkStart w:id="2" w:name="_Toc242269187"/>
      <w:bookmarkStart w:id="3" w:name="_Toc242269108"/>
      <w:r>
        <w:rPr/>
        <w:t>SUMÁRIO</w:t>
      </w:r>
      <w:bookmarkEnd w:id="1"/>
      <w:bookmarkEnd w:id="2"/>
      <w:bookmarkEnd w:id="3"/>
    </w:p>
    <w:p>
      <w:pPr>
        <w:pStyle w:val="Normal"/>
        <w:rPr/>
      </w:pPr>
      <w:r>
        <w:rPr>
          <w:i/>
          <w:sz w:val="18"/>
        </w:rPr>
        <w:t>Sumário automático — atualize o campo no Word após abrir o arquivo (botão direito → Atualizar campo).</w:t>
      </w:r>
    </w:p>
    <w:sdt>
      <w:sdtPr>
        <w:docPartObj>
          <w:docPartGallery w:val="Table of Contents"/>
          <w:docPartUnique w:val="true"/>
        </w:docPartObj>
      </w:sdtPr>
      <w:sdtContent>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242269187">
            <w:r>
              <w:rPr>
                <w:webHidden/>
                <w:rStyle w:val="IndexLink"/>
              </w:rPr>
              <w:t>SUMÁRIO</w:t>
            </w:r>
            <w:r>
              <w:rPr>
                <w:webHidden/>
              </w:rPr>
              <w:fldChar w:fldCharType="begin"/>
            </w:r>
            <w:r>
              <w:rPr>
                <w:webHidden/>
              </w:rPr>
              <w:instrText xml:space="preserve">PAGEREF _Toc242269187 \h</w:instrText>
            </w:r>
            <w:r>
              <w:rPr>
                <w:webHidden/>
              </w:rPr>
              <w:fldChar w:fldCharType="separate"/>
            </w:r>
            <w:r>
              <w:rPr>
                <w:rStyle w:val="IndexLink"/>
                <w:vanish w:val="false"/>
              </w:rPr>
              <w:tab/>
              <w:t>1</w:t>
            </w:r>
            <w:r>
              <w:rPr>
                <w:webHidden/>
              </w:rPr>
              <w:fldChar w:fldCharType="end"/>
            </w:r>
          </w:hyperlink>
        </w:p>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88">
            <w:r>
              <w:rPr>
                <w:webHidden/>
                <w:rStyle w:val="IndexLink"/>
              </w:rPr>
              <w:t>LISTA DE CÓDIGOS</w:t>
            </w:r>
            <w:r>
              <w:rPr>
                <w:webHidden/>
              </w:rPr>
              <w:fldChar w:fldCharType="begin"/>
            </w:r>
            <w:r>
              <w:rPr>
                <w:webHidden/>
              </w:rPr>
              <w:instrText xml:space="preserve">PAGEREF _Toc242269188 \h</w:instrText>
            </w:r>
            <w:r>
              <w:rPr>
                <w:webHidden/>
              </w:rPr>
              <w:fldChar w:fldCharType="separate"/>
            </w:r>
            <w:r>
              <w:rPr>
                <w:rStyle w:val="IndexLink"/>
                <w:vanish w:val="false"/>
              </w:rPr>
              <w:tab/>
              <w:t>1</w:t>
            </w:r>
            <w:r>
              <w:rPr>
                <w:webHidden/>
              </w:rPr>
              <w:fldChar w:fldCharType="end"/>
            </w:r>
          </w:hyperlink>
        </w:p>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89">
            <w:r>
              <w:rPr>
                <w:webHidden/>
                <w:rStyle w:val="IndexLink"/>
                <w:rFonts w:eastAsia="Times New Roman" w:cs="Times New Roman"/>
                <w:b/>
                <w:bCs/>
              </w:rPr>
              <w:t>1 INTRODUÇÃO</w:t>
            </w:r>
            <w:r>
              <w:rPr>
                <w:webHidden/>
              </w:rPr>
              <w:fldChar w:fldCharType="begin"/>
            </w:r>
            <w:r>
              <w:rPr>
                <w:webHidden/>
              </w:rPr>
              <w:instrText xml:space="preserve">PAGEREF _Toc242269189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90">
            <w:r>
              <w:rPr>
                <w:webHidden/>
                <w:rStyle w:val="IndexLink"/>
              </w:rPr>
              <w:t>1.1 Objetivos</w:t>
            </w:r>
            <w:r>
              <w:rPr>
                <w:webHidden/>
              </w:rPr>
              <w:fldChar w:fldCharType="begin"/>
            </w:r>
            <w:r>
              <w:rPr>
                <w:webHidden/>
              </w:rPr>
              <w:instrText xml:space="preserve">PAGEREF _Toc242269190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91">
            <w:r>
              <w:rPr>
                <w:webHidden/>
                <w:rStyle w:val="IndexLink"/>
              </w:rPr>
              <w:t>1.2 Justificativa</w:t>
            </w:r>
            <w:r>
              <w:rPr>
                <w:webHidden/>
              </w:rPr>
              <w:fldChar w:fldCharType="begin"/>
            </w:r>
            <w:r>
              <w:rPr>
                <w:webHidden/>
              </w:rPr>
              <w:instrText xml:space="preserve">PAGEREF _Toc242269191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92">
            <w:r>
              <w:rPr>
                <w:webHidden/>
                <w:rStyle w:val="IndexLink"/>
              </w:rPr>
              <w:t>1.3 O Problema de pesquisa e a hipótese</w:t>
            </w:r>
            <w:r>
              <w:rPr>
                <w:webHidden/>
              </w:rPr>
              <w:fldChar w:fldCharType="begin"/>
            </w:r>
            <w:r>
              <w:rPr>
                <w:webHidden/>
              </w:rPr>
              <w:instrText xml:space="preserve">PAGEREF _Toc242269192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93">
            <w:r>
              <w:rPr>
                <w:webHidden/>
                <w:rStyle w:val="IndexLink"/>
              </w:rPr>
              <w:t>1.4 Estrutura e delimitação da Dissertação</w:t>
            </w:r>
            <w:r>
              <w:rPr>
                <w:webHidden/>
              </w:rPr>
              <w:fldChar w:fldCharType="begin"/>
            </w:r>
            <w:r>
              <w:rPr>
                <w:webHidden/>
              </w:rPr>
              <w:instrText xml:space="preserve">PAGEREF _Toc242269193 \h</w:instrText>
            </w:r>
            <w:r>
              <w:rPr>
                <w:webHidden/>
              </w:rPr>
              <w:fldChar w:fldCharType="separate"/>
            </w:r>
            <w:r>
              <w:rPr>
                <w:rStyle w:val="IndexLink"/>
                <w:vanish w:val="false"/>
              </w:rPr>
              <w:tab/>
              <w:t>1</w:t>
            </w:r>
            <w:r>
              <w:rPr>
                <w:webHidden/>
              </w:rPr>
              <w:fldChar w:fldCharType="end"/>
            </w:r>
          </w:hyperlink>
        </w:p>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94">
            <w:r>
              <w:rPr>
                <w:webHidden/>
                <w:rStyle w:val="IndexLink"/>
                <w:rFonts w:eastAsia="Times New Roman" w:cs="Times New Roman"/>
                <w:b/>
                <w:bCs/>
              </w:rPr>
              <w:t>2 REFERENCIAL TEÓRICO</w:t>
            </w:r>
            <w:r>
              <w:rPr>
                <w:webHidden/>
              </w:rPr>
              <w:fldChar w:fldCharType="begin"/>
            </w:r>
            <w:r>
              <w:rPr>
                <w:webHidden/>
              </w:rPr>
              <w:instrText xml:space="preserve">PAGEREF _Toc242269194 \h</w:instrText>
            </w:r>
            <w:r>
              <w:rPr>
                <w:webHidden/>
              </w:rPr>
              <w:fldChar w:fldCharType="separate"/>
            </w:r>
            <w:r>
              <w:rPr>
                <w:rStyle w:val="IndexLink"/>
                <w:vanish w:val="false"/>
              </w:rPr>
              <w:tab/>
              <w:t>1</w:t>
            </w:r>
            <w:r>
              <w:rPr>
                <w:webHidden/>
              </w:rPr>
              <w:fldChar w:fldCharType="end"/>
            </w:r>
          </w:hyperlink>
        </w:p>
        <w:p>
          <w:pPr>
            <w:pStyle w:val="TOC2"/>
            <w:tabs>
              <w:tab w:val="left" w:pos="720" w:leader="none"/>
              <w:tab w:val="right" w:pos="8494" w:leader="dot"/>
            </w:tabs>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95">
            <w:r>
              <w:rPr>
                <w:webHidden/>
                <w:rStyle w:val="IndexLink"/>
              </w:rPr>
              <w:t>2.1</w:t>
            </w:r>
            <w:r>
              <w:rPr>
                <w:rStyle w:val="IndexLink"/>
                <w:rFonts w:eastAsia="" w:cs="" w:ascii="Calibri" w:hAnsi="Calibri" w:asciiTheme="minorHAnsi" w:cstheme="minorBidi" w:eastAsiaTheme="minorEastAsia" w:hAnsiTheme="minorHAnsi"/>
                <w:b w:val="false"/>
                <w:bCs w:val="false"/>
                <w:kern w:val="2"/>
                <w:sz w:val="24"/>
                <w:szCs w:val="24"/>
                <w14:ligatures w14:val="standardContextual"/>
              </w:rPr>
              <w:tab/>
            </w:r>
            <w:r>
              <w:rPr>
                <w:rStyle w:val="IndexLink"/>
              </w:rPr>
              <w:t>Protocolo de busca para realização do PRISMA</w:t>
            </w:r>
            <w:r>
              <w:rPr>
                <w:webHidden/>
              </w:rPr>
              <w:fldChar w:fldCharType="begin"/>
            </w:r>
            <w:r>
              <w:rPr>
                <w:webHidden/>
              </w:rPr>
              <w:instrText xml:space="preserve">PAGEREF _Toc242269195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96">
            <w:r>
              <w:rPr>
                <w:webHidden/>
                <w:rStyle w:val="IndexLink"/>
                <w:rFonts w:eastAsia="Times New Roman" w:cs="Times New Roman"/>
                <w:b/>
                <w:bCs/>
              </w:rPr>
              <w:t>2.1.1 Bases de dados consultadas</w:t>
            </w:r>
            <w:r>
              <w:rPr>
                <w:webHidden/>
              </w:rPr>
              <w:fldChar w:fldCharType="begin"/>
            </w:r>
            <w:r>
              <w:rPr>
                <w:webHidden/>
              </w:rPr>
              <w:instrText xml:space="preserve">PAGEREF _Toc242269196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197">
            <w:r>
              <w:rPr>
                <w:webHidden/>
                <w:rStyle w:val="IndexLink"/>
                <w:rFonts w:eastAsia="Times New Roman" w:cs="Times New Roman"/>
                <w:b/>
                <w:bCs/>
              </w:rPr>
              <w:t xml:space="preserve">2.1.2 </w:t>
            </w:r>
            <w:r>
              <w:rPr>
                <w:rStyle w:val="IndexLink"/>
                <w:rFonts w:eastAsia="Times New Roman" w:cs="Times New Roman"/>
                <w:b/>
                <w:bCs/>
                <w:i/>
                <w:iCs/>
              </w:rPr>
              <w:t xml:space="preserve">Strings </w:t>
            </w:r>
            <w:r>
              <w:rPr>
                <w:rStyle w:val="IndexLink"/>
                <w:rFonts w:eastAsia="Times New Roman" w:cs="Times New Roman"/>
                <w:b/>
                <w:bCs/>
              </w:rPr>
              <w:t>de busca por eixo temático</w:t>
            </w:r>
            <w:r>
              <w:rPr>
                <w:webHidden/>
              </w:rPr>
              <w:fldChar w:fldCharType="begin"/>
            </w:r>
            <w:r>
              <w:rPr>
                <w:webHidden/>
              </w:rPr>
              <w:instrText xml:space="preserve">PAGEREF _Toc242269197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98">
            <w:r>
              <w:rPr>
                <w:webHidden/>
                <w:rStyle w:val="IndexLink"/>
              </w:rPr>
              <w:t>2.2 Processo de seleção – Fluxo PRISMA</w:t>
            </w:r>
            <w:r>
              <w:rPr>
                <w:webHidden/>
              </w:rPr>
              <w:fldChar w:fldCharType="begin"/>
            </w:r>
            <w:r>
              <w:rPr>
                <w:webHidden/>
              </w:rPr>
              <w:instrText xml:space="preserve">PAGEREF _Toc242269198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199">
            <w:r>
              <w:rPr>
                <w:webHidden/>
                <w:rStyle w:val="IndexLink"/>
              </w:rPr>
              <w:t>2.3 Critérios de inclusão e exclusão</w:t>
            </w:r>
            <w:r>
              <w:rPr>
                <w:webHidden/>
              </w:rPr>
              <w:fldChar w:fldCharType="begin"/>
            </w:r>
            <w:r>
              <w:rPr>
                <w:webHidden/>
              </w:rPr>
              <w:instrText xml:space="preserve">PAGEREF _Toc242269199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00">
            <w:r>
              <w:rPr>
                <w:webHidden/>
                <w:rStyle w:val="IndexLink"/>
                <w:rFonts w:eastAsia="Times New Roman" w:cs="Times New Roman"/>
              </w:rPr>
              <w:t>2.3.1 Critérios de inclusão</w:t>
            </w:r>
            <w:r>
              <w:rPr>
                <w:webHidden/>
              </w:rPr>
              <w:fldChar w:fldCharType="begin"/>
            </w:r>
            <w:r>
              <w:rPr>
                <w:webHidden/>
              </w:rPr>
              <w:instrText xml:space="preserve">PAGEREF _Toc242269200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01">
            <w:r>
              <w:rPr>
                <w:webHidden/>
                <w:rStyle w:val="IndexLink"/>
                <w:rFonts w:eastAsia="Times New Roman" w:cs="Times New Roman"/>
              </w:rPr>
              <w:t>2.3.2 Critérios de exclusão</w:t>
            </w:r>
            <w:r>
              <w:rPr>
                <w:webHidden/>
              </w:rPr>
              <w:fldChar w:fldCharType="begin"/>
            </w:r>
            <w:r>
              <w:rPr>
                <w:webHidden/>
              </w:rPr>
              <w:instrText xml:space="preserve">PAGEREF _Toc242269201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02">
            <w:r>
              <w:rPr>
                <w:webHidden/>
                <w:rStyle w:val="IndexLink"/>
              </w:rPr>
              <w:t>2.4 Resultados e discussão por eixo temático de artigos relevantes nas bases de pesquisa</w:t>
            </w:r>
            <w:r>
              <w:rPr>
                <w:webHidden/>
              </w:rPr>
              <w:fldChar w:fldCharType="begin"/>
            </w:r>
            <w:r>
              <w:rPr>
                <w:webHidden/>
              </w:rPr>
              <w:instrText xml:space="preserve">PAGEREF _Toc242269202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03">
            <w:r>
              <w:rPr>
                <w:webHidden/>
                <w:rStyle w:val="IndexLink"/>
                <w:rFonts w:eastAsia="Times New Roman" w:cs="Times New Roman"/>
              </w:rPr>
              <w:t xml:space="preserve">2.4.1 Eixo 1 - </w:t>
            </w:r>
            <w:r>
              <w:rPr>
                <w:rStyle w:val="IndexLink"/>
                <w:rFonts w:eastAsia="Times New Roman" w:cs="Times New Roman"/>
                <w:i/>
                <w:iCs/>
              </w:rPr>
              <w:t xml:space="preserve">Frameworks </w:t>
            </w:r>
            <w:r>
              <w:rPr>
                <w:rStyle w:val="IndexLink"/>
                <w:rFonts w:eastAsia="Times New Roman" w:cs="Times New Roman"/>
              </w:rPr>
              <w:t>aplicado a estudo de viabilidades em aquicultura</w:t>
            </w:r>
            <w:r>
              <w:rPr>
                <w:webHidden/>
              </w:rPr>
              <w:fldChar w:fldCharType="begin"/>
            </w:r>
            <w:r>
              <w:rPr>
                <w:webHidden/>
              </w:rPr>
              <w:instrText xml:space="preserve">PAGEREF _Toc242269203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04">
            <w:r>
              <w:rPr>
                <w:webHidden/>
                <w:rStyle w:val="IndexLink"/>
                <w:rFonts w:eastAsia="Times New Roman" w:cs="Times New Roman"/>
              </w:rPr>
              <w:t xml:space="preserve">2.4.2 Eixo 2 - Integração, </w:t>
            </w:r>
            <w:r>
              <w:rPr>
                <w:rStyle w:val="IndexLink"/>
                <w:rFonts w:eastAsia="Times New Roman" w:cs="Times New Roman"/>
                <w:i/>
                <w:iCs/>
              </w:rPr>
              <w:t>Lean</w:t>
            </w:r>
            <w:r>
              <w:rPr>
                <w:rStyle w:val="IndexLink"/>
                <w:rFonts w:eastAsia="Times New Roman" w:cs="Times New Roman"/>
              </w:rPr>
              <w:t>, Sustentabilidade Ambiental e cadeia de suprimentos</w:t>
            </w:r>
            <w:r>
              <w:rPr>
                <w:webHidden/>
              </w:rPr>
              <w:fldChar w:fldCharType="begin"/>
            </w:r>
            <w:r>
              <w:rPr>
                <w:webHidden/>
              </w:rPr>
              <w:instrText xml:space="preserve">PAGEREF _Toc242269204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05">
            <w:r>
              <w:rPr>
                <w:webHidden/>
                <w:rStyle w:val="IndexLink"/>
                <w:rFonts w:eastAsia="Times New Roman" w:cs="Times New Roman"/>
              </w:rPr>
              <w:t xml:space="preserve">2.4.3 Eixo 3 - Desempenho ESG, Responsabilidade Social Corporativa e Engajamento de </w:t>
            </w:r>
            <w:r>
              <w:rPr>
                <w:rStyle w:val="IndexLink"/>
                <w:rFonts w:eastAsia="Times New Roman" w:cs="Times New Roman"/>
                <w:i/>
                <w:iCs/>
              </w:rPr>
              <w:t>Stakeholders</w:t>
            </w:r>
            <w:r>
              <w:rPr>
                <w:webHidden/>
              </w:rPr>
              <w:fldChar w:fldCharType="begin"/>
            </w:r>
            <w:r>
              <w:rPr>
                <w:webHidden/>
              </w:rPr>
              <w:instrText xml:space="preserve">PAGEREF _Toc242269205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06">
            <w:r>
              <w:rPr>
                <w:webHidden/>
                <w:rStyle w:val="IndexLink"/>
              </w:rPr>
              <w:t>2.5 Perfil bibliométrico do corpus</w:t>
            </w:r>
            <w:r>
              <w:rPr>
                <w:webHidden/>
              </w:rPr>
              <w:fldChar w:fldCharType="begin"/>
            </w:r>
            <w:r>
              <w:rPr>
                <w:webHidden/>
              </w:rPr>
              <w:instrText xml:space="preserve">PAGEREF _Toc242269206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07">
            <w:r>
              <w:rPr>
                <w:webHidden/>
                <w:rStyle w:val="IndexLink"/>
                <w:rFonts w:eastAsia="Times New Roman" w:cs="Times New Roman"/>
              </w:rPr>
              <w:t>2.5.1 Mapeamento bibliométrico da estrutura conceitual do corpus com utilização de VOSviewer</w:t>
            </w:r>
            <w:r>
              <w:rPr>
                <w:webHidden/>
              </w:rPr>
              <w:fldChar w:fldCharType="begin"/>
            </w:r>
            <w:r>
              <w:rPr>
                <w:webHidden/>
              </w:rPr>
              <w:instrText xml:space="preserve">PAGEREF _Toc242269207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08">
            <w:r>
              <w:rPr>
                <w:webHidden/>
                <w:rStyle w:val="IndexLink"/>
              </w:rPr>
              <w:t>2.6 Síntese analítica da RSL</w:t>
            </w:r>
            <w:r>
              <w:rPr>
                <w:webHidden/>
              </w:rPr>
              <w:fldChar w:fldCharType="begin"/>
            </w:r>
            <w:r>
              <w:rPr>
                <w:webHidden/>
              </w:rPr>
              <w:instrText xml:space="preserve">PAGEREF _Toc242269208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09">
            <w:r>
              <w:rPr>
                <w:webHidden/>
                <w:rStyle w:val="IndexLink"/>
                <w:rFonts w:eastAsia="Times New Roman" w:cs="Times New Roman"/>
              </w:rPr>
              <w:t>2.6.1 Identificações na leitura analítica</w:t>
            </w:r>
            <w:r>
              <w:rPr>
                <w:webHidden/>
              </w:rPr>
              <w:fldChar w:fldCharType="begin"/>
            </w:r>
            <w:r>
              <w:rPr>
                <w:webHidden/>
              </w:rPr>
              <w:instrText xml:space="preserve">PAGEREF _Toc242269209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10">
            <w:r>
              <w:rPr>
                <w:webHidden/>
                <w:rStyle w:val="IndexLink"/>
                <w:rFonts w:eastAsia="Times New Roman" w:cs="Times New Roman"/>
              </w:rPr>
              <w:t>2.6.2 Domínios pouco investigados identificados</w:t>
            </w:r>
            <w:r>
              <w:rPr>
                <w:webHidden/>
              </w:rPr>
              <w:fldChar w:fldCharType="begin"/>
            </w:r>
            <w:r>
              <w:rPr>
                <w:webHidden/>
              </w:rPr>
              <w:instrText xml:space="preserve">PAGEREF _Toc242269210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11">
            <w:r>
              <w:rPr>
                <w:webHidden/>
                <w:rStyle w:val="IndexLink"/>
                <w:rFonts w:eastAsia="Times New Roman" w:cs="Times New Roman"/>
              </w:rPr>
              <w:t>2.6.3 Condução dos resultados para pesquisa</w:t>
            </w:r>
            <w:r>
              <w:rPr>
                <w:webHidden/>
              </w:rPr>
              <w:fldChar w:fldCharType="begin"/>
            </w:r>
            <w:r>
              <w:rPr>
                <w:webHidden/>
              </w:rPr>
              <w:instrText xml:space="preserve">PAGEREF _Toc242269211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12">
            <w:r>
              <w:rPr>
                <w:webHidden/>
                <w:rStyle w:val="IndexLink"/>
                <w:rFonts w:eastAsia="Times New Roman" w:cs="Times New Roman"/>
              </w:rPr>
              <w:t>2.6.4 Contribuição da RSL para a revisão teórica</w:t>
            </w:r>
            <w:r>
              <w:rPr>
                <w:webHidden/>
              </w:rPr>
              <w:fldChar w:fldCharType="begin"/>
            </w:r>
            <w:r>
              <w:rPr>
                <w:webHidden/>
              </w:rPr>
              <w:instrText xml:space="preserve">PAGEREF _Toc242269212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13">
            <w:r>
              <w:rPr>
                <w:webHidden/>
                <w:rStyle w:val="IndexLink"/>
              </w:rPr>
              <w:t>2.7 Revisão bibliográfica: livros, artigos relevantes, normas e documentos institucionais</w:t>
            </w:r>
            <w:r>
              <w:rPr>
                <w:webHidden/>
              </w:rPr>
              <w:fldChar w:fldCharType="begin"/>
            </w:r>
            <w:r>
              <w:rPr>
                <w:webHidden/>
              </w:rPr>
              <w:instrText xml:space="preserve">PAGEREF _Toc242269213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14">
            <w:r>
              <w:rPr>
                <w:webHidden/>
                <w:rStyle w:val="IndexLink"/>
              </w:rPr>
              <w:t xml:space="preserve">2.8 Eixo 1 – </w:t>
            </w:r>
            <w:r>
              <w:rPr>
                <w:rStyle w:val="IndexLink"/>
                <w:i/>
                <w:iCs/>
              </w:rPr>
              <w:t xml:space="preserve">Frameworks </w:t>
            </w:r>
            <w:r>
              <w:rPr>
                <w:rStyle w:val="IndexLink"/>
              </w:rPr>
              <w:t>aplicados a estudos de viabilidade em aquicultura</w:t>
            </w:r>
            <w:r>
              <w:rPr>
                <w:webHidden/>
              </w:rPr>
              <w:fldChar w:fldCharType="begin"/>
            </w:r>
            <w:r>
              <w:rPr>
                <w:webHidden/>
              </w:rPr>
              <w:instrText xml:space="preserve">PAGEREF _Toc242269214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15">
            <w:r>
              <w:rPr>
                <w:webHidden/>
                <w:rStyle w:val="IndexLink"/>
                <w:rFonts w:eastAsia="Times New Roman" w:cs="Times New Roman"/>
              </w:rPr>
              <w:t>2.8.1 O EVTEAS e a tomada de decisão estratégica sustentável</w:t>
            </w:r>
            <w:r>
              <w:rPr>
                <w:webHidden/>
              </w:rPr>
              <w:fldChar w:fldCharType="begin"/>
            </w:r>
            <w:r>
              <w:rPr>
                <w:webHidden/>
              </w:rPr>
              <w:instrText xml:space="preserve">PAGEREF _Toc242269215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16">
            <w:r>
              <w:rPr>
                <w:webHidden/>
                <w:rStyle w:val="IndexLink"/>
                <w:rFonts w:eastAsia="Times New Roman" w:cs="Times New Roman"/>
              </w:rPr>
              <w:t xml:space="preserve">2.8.2 A administração da produção, objetivos de desempenho para </w:t>
            </w:r>
            <w:r>
              <w:rPr>
                <w:rStyle w:val="IndexLink"/>
                <w:rFonts w:eastAsia="Times New Roman" w:cs="Times New Roman"/>
                <w:i/>
                <w:iCs/>
              </w:rPr>
              <w:t xml:space="preserve">framework </w:t>
            </w:r>
            <w:r>
              <w:rPr>
                <w:rStyle w:val="IndexLink"/>
                <w:rFonts w:eastAsia="Times New Roman" w:cs="Times New Roman"/>
              </w:rPr>
              <w:t>computacional</w:t>
            </w:r>
            <w:r>
              <w:rPr>
                <w:webHidden/>
              </w:rPr>
              <w:fldChar w:fldCharType="begin"/>
            </w:r>
            <w:r>
              <w:rPr>
                <w:webHidden/>
              </w:rPr>
              <w:instrText xml:space="preserve">PAGEREF _Toc242269216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17">
            <w:r>
              <w:rPr>
                <w:webHidden/>
                <w:rStyle w:val="IndexLink"/>
                <w:rFonts w:eastAsia="Times New Roman" w:cs="Times New Roman"/>
              </w:rPr>
              <w:t>2.8.3 Padronização e governança de projetos: A lógica do PMBOK aplicada ao código</w:t>
            </w:r>
            <w:r>
              <w:rPr>
                <w:webHidden/>
              </w:rPr>
              <w:fldChar w:fldCharType="begin"/>
            </w:r>
            <w:r>
              <w:rPr>
                <w:webHidden/>
              </w:rPr>
              <w:instrText xml:space="preserve">PAGEREF _Toc242269217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18">
            <w:r>
              <w:rPr>
                <w:webHidden/>
                <w:rStyle w:val="IndexLink"/>
                <w:rFonts w:eastAsia="Times New Roman" w:cs="Times New Roman"/>
              </w:rPr>
              <w:t>2.8.4</w:t>
            </w:r>
            <w:r>
              <w:rPr>
                <w:rStyle w:val="IndexLink"/>
                <w:rFonts w:eastAsia="Times New Roman" w:cs="Times New Roman"/>
                <w:i/>
                <w:iCs/>
              </w:rPr>
              <w:t xml:space="preserve"> Data science </w:t>
            </w:r>
            <w:r>
              <w:rPr>
                <w:rStyle w:val="IndexLink"/>
                <w:rFonts w:eastAsia="Times New Roman" w:cs="Times New Roman"/>
              </w:rPr>
              <w:t xml:space="preserve">e bibliotecas analíticas: o </w:t>
            </w:r>
            <w:r>
              <w:rPr>
                <w:rStyle w:val="IndexLink"/>
                <w:rFonts w:eastAsia="Times New Roman" w:cs="Times New Roman"/>
                <w:i/>
                <w:iCs/>
              </w:rPr>
              <w:t>framework</w:t>
            </w:r>
            <w:r>
              <w:rPr>
                <w:rStyle w:val="IndexLink"/>
                <w:rFonts w:eastAsia="Times New Roman" w:cs="Times New Roman"/>
              </w:rPr>
              <w:t xml:space="preserve"> técnico</w:t>
            </w:r>
            <w:r>
              <w:rPr>
                <w:webHidden/>
              </w:rPr>
              <w:fldChar w:fldCharType="begin"/>
            </w:r>
            <w:r>
              <w:rPr>
                <w:webHidden/>
              </w:rPr>
              <w:instrText xml:space="preserve">PAGEREF _Toc242269218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19">
            <w:r>
              <w:rPr>
                <w:webHidden/>
                <w:rStyle w:val="IndexLink"/>
                <w:rFonts w:eastAsia="Times New Roman" w:cs="Times New Roman"/>
              </w:rPr>
              <w:t>2.8.5 A Automação de tarefas repetitivas: Python como ferramenta de produtividade</w:t>
            </w:r>
            <w:r>
              <w:rPr>
                <w:webHidden/>
              </w:rPr>
              <w:fldChar w:fldCharType="begin"/>
            </w:r>
            <w:r>
              <w:rPr>
                <w:webHidden/>
              </w:rPr>
              <w:instrText xml:space="preserve">PAGEREF _Toc242269219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20">
            <w:r>
              <w:rPr>
                <w:webHidden/>
                <w:rStyle w:val="IndexLink"/>
                <w:rFonts w:eastAsia="Times New Roman" w:cs="Times New Roman"/>
              </w:rPr>
              <w:t xml:space="preserve">2.8.6 Definição de variáveis, indicadores e do </w:t>
            </w:r>
            <w:r>
              <w:rPr>
                <w:rStyle w:val="IndexLink"/>
                <w:rFonts w:eastAsia="Times New Roman" w:cs="Times New Roman"/>
                <w:i/>
                <w:iCs/>
              </w:rPr>
              <w:t xml:space="preserve">framework </w:t>
            </w:r>
            <w:r>
              <w:rPr>
                <w:rStyle w:val="IndexLink"/>
                <w:rFonts w:eastAsia="Times New Roman" w:cs="Times New Roman"/>
              </w:rPr>
              <w:t>Evteas-Py</w:t>
            </w:r>
            <w:r>
              <w:rPr>
                <w:webHidden/>
              </w:rPr>
              <w:fldChar w:fldCharType="begin"/>
            </w:r>
            <w:r>
              <w:rPr>
                <w:webHidden/>
              </w:rPr>
              <w:instrText xml:space="preserve">PAGEREF _Toc242269220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21">
            <w:r>
              <w:rPr>
                <w:webHidden/>
                <w:rStyle w:val="IndexLink"/>
              </w:rPr>
              <w:t>2.9 Eixo 2 – Integração, Lean, Sustentabilidade Ambiental e cadeia de suprimentos</w:t>
            </w:r>
            <w:r>
              <w:rPr>
                <w:webHidden/>
              </w:rPr>
              <w:fldChar w:fldCharType="begin"/>
            </w:r>
            <w:r>
              <w:rPr>
                <w:webHidden/>
              </w:rPr>
              <w:instrText xml:space="preserve">PAGEREF _Toc242269221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22">
            <w:r>
              <w:rPr>
                <w:webHidden/>
                <w:rStyle w:val="IndexLink"/>
                <w:rFonts w:eastAsia="Times New Roman" w:cs="Times New Roman"/>
              </w:rPr>
              <w:t xml:space="preserve">2.9.1 Gestão </w:t>
            </w:r>
            <w:r>
              <w:rPr>
                <w:rStyle w:val="IndexLink"/>
                <w:rFonts w:eastAsia="Times New Roman" w:cs="Times New Roman"/>
                <w:i/>
                <w:iCs/>
              </w:rPr>
              <w:t>Lean &amp; Green</w:t>
            </w:r>
            <w:r>
              <w:rPr>
                <w:rStyle w:val="IndexLink"/>
                <w:rFonts w:eastAsia="Times New Roman" w:cs="Times New Roman"/>
              </w:rPr>
              <w:t>: convergência para a eficiência na piscicultura</w:t>
            </w:r>
            <w:r>
              <w:rPr>
                <w:webHidden/>
              </w:rPr>
              <w:fldChar w:fldCharType="begin"/>
            </w:r>
            <w:r>
              <w:rPr>
                <w:webHidden/>
              </w:rPr>
              <w:instrText xml:space="preserve">PAGEREF _Toc242269222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23">
            <w:r>
              <w:rPr>
                <w:webHidden/>
                <w:rStyle w:val="IndexLink"/>
                <w:rFonts w:eastAsia="Times New Roman" w:cs="Times New Roman"/>
              </w:rPr>
              <w:t>2.9.2 O dilema estratégico: cadeias enxutas (</w:t>
            </w:r>
            <w:r>
              <w:rPr>
                <w:rStyle w:val="IndexLink"/>
                <w:rFonts w:eastAsia="Times New Roman" w:cs="Times New Roman"/>
                <w:i/>
                <w:iCs/>
              </w:rPr>
              <w:t>Lean</w:t>
            </w:r>
            <w:r>
              <w:rPr>
                <w:rStyle w:val="IndexLink"/>
                <w:rFonts w:eastAsia="Times New Roman" w:cs="Times New Roman"/>
              </w:rPr>
              <w:t>) versus cadeias responsivas (</w:t>
            </w:r>
            <w:r>
              <w:rPr>
                <w:rStyle w:val="IndexLink"/>
                <w:rFonts w:eastAsia="Times New Roman" w:cs="Times New Roman"/>
                <w:i/>
                <w:iCs/>
              </w:rPr>
              <w:t>Responsiveness</w:t>
            </w:r>
            <w:r>
              <w:rPr>
                <w:rStyle w:val="IndexLink"/>
                <w:rFonts w:eastAsia="Times New Roman" w:cs="Times New Roman"/>
              </w:rPr>
              <w:t>)</w:t>
            </w:r>
            <w:r>
              <w:rPr>
                <w:webHidden/>
              </w:rPr>
              <w:fldChar w:fldCharType="begin"/>
            </w:r>
            <w:r>
              <w:rPr>
                <w:webHidden/>
              </w:rPr>
              <w:instrText xml:space="preserve">PAGEREF _Toc242269223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24">
            <w:r>
              <w:rPr>
                <w:webHidden/>
                <w:rStyle w:val="IndexLink"/>
                <w:rFonts w:eastAsia="Times New Roman" w:cs="Times New Roman"/>
              </w:rPr>
              <w:t>2.9.3 Competências digitais e a indústria 4.0: O papel da modelagem computacional na agroindústria</w:t>
            </w:r>
            <w:r>
              <w:rPr>
                <w:webHidden/>
              </w:rPr>
              <w:fldChar w:fldCharType="begin"/>
            </w:r>
            <w:r>
              <w:rPr>
                <w:webHidden/>
              </w:rPr>
              <w:instrText xml:space="preserve">PAGEREF _Toc242269224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25">
            <w:r>
              <w:rPr>
                <w:webHidden/>
                <w:rStyle w:val="IndexLink"/>
                <w:rFonts w:eastAsia="Times New Roman" w:cs="Times New Roman"/>
              </w:rPr>
              <w:t xml:space="preserve">2.9.4 Inovação Schumpeteriana e Eco desenvolvimento: o propósito do </w:t>
            </w:r>
            <w:r>
              <w:rPr>
                <w:rStyle w:val="IndexLink"/>
                <w:rFonts w:eastAsia="Times New Roman" w:cs="Times New Roman"/>
                <w:i/>
                <w:iCs/>
              </w:rPr>
              <w:t>framework</w:t>
            </w:r>
            <w:r>
              <w:rPr>
                <w:webHidden/>
              </w:rPr>
              <w:fldChar w:fldCharType="begin"/>
            </w:r>
            <w:r>
              <w:rPr>
                <w:webHidden/>
              </w:rPr>
              <w:instrText xml:space="preserve">PAGEREF _Toc242269225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26">
            <w:r>
              <w:rPr>
                <w:webHidden/>
                <w:rStyle w:val="IndexLink"/>
                <w:rFonts w:eastAsia="Times New Roman" w:cs="Times New Roman"/>
              </w:rPr>
              <w:t>2.9.5 Estratégia competitiva vs. eficiência operacional</w:t>
            </w:r>
            <w:r>
              <w:rPr>
                <w:webHidden/>
              </w:rPr>
              <w:fldChar w:fldCharType="begin"/>
            </w:r>
            <w:r>
              <w:rPr>
                <w:webHidden/>
              </w:rPr>
              <w:instrText xml:space="preserve">PAGEREF _Toc242269226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27">
            <w:r>
              <w:rPr>
                <w:webHidden/>
                <w:rStyle w:val="IndexLink"/>
                <w:rFonts w:eastAsia="Times New Roman" w:cs="Times New Roman"/>
              </w:rPr>
              <w:t>2.9.6 Estratégias de Postergação na Cadeia de Suprimentos</w:t>
            </w:r>
            <w:r>
              <w:rPr>
                <w:webHidden/>
              </w:rPr>
              <w:fldChar w:fldCharType="begin"/>
            </w:r>
            <w:r>
              <w:rPr>
                <w:webHidden/>
              </w:rPr>
              <w:instrText xml:space="preserve">PAGEREF _Toc242269227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28">
            <w:r>
              <w:rPr>
                <w:webHidden/>
                <w:rStyle w:val="IndexLink"/>
              </w:rPr>
              <w:t xml:space="preserve">2.10 Eixo 3 – Desempenho ESG, Responsabilidade Social Corporativa e Engajamento de </w:t>
            </w:r>
            <w:r>
              <w:rPr>
                <w:rStyle w:val="IndexLink"/>
                <w:i/>
                <w:iCs/>
              </w:rPr>
              <w:t>Stakeholders</w:t>
            </w:r>
            <w:r>
              <w:rPr>
                <w:webHidden/>
              </w:rPr>
              <w:fldChar w:fldCharType="begin"/>
            </w:r>
            <w:r>
              <w:rPr>
                <w:webHidden/>
              </w:rPr>
              <w:instrText xml:space="preserve">PAGEREF _Toc242269228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29">
            <w:r>
              <w:rPr>
                <w:webHidden/>
                <w:rStyle w:val="IndexLink"/>
                <w:rFonts w:eastAsia="Times New Roman" w:cs="Times New Roman"/>
              </w:rPr>
              <w:t>2.10.1 ESG: A evolução da responsabilidade social e o desempenho econômico</w:t>
            </w:r>
            <w:r>
              <w:rPr>
                <w:webHidden/>
              </w:rPr>
              <w:fldChar w:fldCharType="begin"/>
            </w:r>
            <w:r>
              <w:rPr>
                <w:webHidden/>
              </w:rPr>
              <w:instrText xml:space="preserve">PAGEREF _Toc242269229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30">
            <w:r>
              <w:rPr>
                <w:webHidden/>
                <w:rStyle w:val="IndexLink"/>
                <w:rFonts w:eastAsia="Times New Roman" w:cs="Times New Roman"/>
              </w:rPr>
              <w:t>2.10.2 Interseção teórica: O ponto de convergência entre EVTEAS</w:t>
            </w:r>
            <w:r>
              <w:rPr>
                <w:rStyle w:val="IndexLink"/>
                <w:rFonts w:eastAsia="Times New Roman" w:cs="Times New Roman"/>
                <w:i/>
                <w:iCs/>
              </w:rPr>
              <w:t>, Lean-Green</w:t>
            </w:r>
            <w:r>
              <w:rPr>
                <w:rStyle w:val="IndexLink"/>
                <w:rFonts w:eastAsia="Times New Roman" w:cs="Times New Roman"/>
              </w:rPr>
              <w:t xml:space="preserve"> e ESG</w:t>
            </w:r>
            <w:r>
              <w:rPr>
                <w:webHidden/>
              </w:rPr>
              <w:fldChar w:fldCharType="begin"/>
            </w:r>
            <w:r>
              <w:rPr>
                <w:webHidden/>
              </w:rPr>
              <w:instrText xml:space="preserve">PAGEREF _Toc242269230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31">
            <w:r>
              <w:rPr>
                <w:webHidden/>
                <w:rStyle w:val="IndexLink"/>
                <w:rFonts w:eastAsia="Times New Roman" w:cs="Times New Roman"/>
              </w:rPr>
              <w:t>2.10.3 A gestão contemporânea: a ciência e a arte da decisão</w:t>
            </w:r>
            <w:r>
              <w:rPr>
                <w:webHidden/>
              </w:rPr>
              <w:fldChar w:fldCharType="begin"/>
            </w:r>
            <w:r>
              <w:rPr>
                <w:webHidden/>
              </w:rPr>
              <w:instrText xml:space="preserve">PAGEREF _Toc242269231 \h</w:instrText>
            </w:r>
            <w:r>
              <w:rPr>
                <w:webHidden/>
              </w:rPr>
              <w:fldChar w:fldCharType="separate"/>
            </w:r>
            <w:r>
              <w:rPr>
                <w:rStyle w:val="IndexLink"/>
                <w:vanish w:val="false"/>
              </w:rPr>
              <w:tab/>
              <w:t>1</w:t>
            </w:r>
            <w:r>
              <w:rPr>
                <w:webHidden/>
              </w:rPr>
              <w:fldChar w:fldCharType="end"/>
            </w:r>
          </w:hyperlink>
        </w:p>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32">
            <w:r>
              <w:rPr>
                <w:webHidden/>
                <w:rStyle w:val="IndexLink"/>
                <w:rFonts w:eastAsia="Times New Roman" w:cs="Times New Roman"/>
                <w:b/>
                <w:bCs/>
              </w:rPr>
              <w:t>3 METODOLOGIA DE PESQUISA</w:t>
            </w:r>
            <w:r>
              <w:rPr>
                <w:webHidden/>
              </w:rPr>
              <w:fldChar w:fldCharType="begin"/>
            </w:r>
            <w:r>
              <w:rPr>
                <w:webHidden/>
              </w:rPr>
              <w:instrText xml:space="preserve">PAGEREF _Toc242269232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33">
            <w:r>
              <w:rPr>
                <w:webHidden/>
                <w:rStyle w:val="IndexLink"/>
              </w:rPr>
              <w:t>3.1 Definição do método da pesquisa</w:t>
            </w:r>
            <w:r>
              <w:rPr>
                <w:webHidden/>
              </w:rPr>
              <w:fldChar w:fldCharType="begin"/>
            </w:r>
            <w:r>
              <w:rPr>
                <w:webHidden/>
              </w:rPr>
              <w:instrText xml:space="preserve">PAGEREF _Toc242269233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34">
            <w:r>
              <w:rPr>
                <w:webHidden/>
                <w:rStyle w:val="IndexLink"/>
              </w:rPr>
              <w:t>3.2 A execução da pesquisa</w:t>
            </w:r>
            <w:r>
              <w:rPr>
                <w:webHidden/>
              </w:rPr>
              <w:fldChar w:fldCharType="begin"/>
            </w:r>
            <w:r>
              <w:rPr>
                <w:webHidden/>
              </w:rPr>
              <w:instrText xml:space="preserve">PAGEREF _Toc242269234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35">
            <w:r>
              <w:rPr>
                <w:webHidden/>
                <w:rStyle w:val="IndexLink"/>
              </w:rPr>
              <w:t>3.3 Detalhamento metodológico</w:t>
            </w:r>
            <w:r>
              <w:rPr>
                <w:webHidden/>
              </w:rPr>
              <w:fldChar w:fldCharType="begin"/>
            </w:r>
            <w:r>
              <w:rPr>
                <w:webHidden/>
              </w:rPr>
              <w:instrText xml:space="preserve">PAGEREF _Toc242269235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36">
            <w:r>
              <w:rPr>
                <w:webHidden/>
                <w:rStyle w:val="IndexLink"/>
                <w:rFonts w:eastAsia="Times New Roman" w:cs="Times New Roman"/>
              </w:rPr>
              <w:t xml:space="preserve">3.3.1 O ciclo estruturado da </w:t>
            </w:r>
            <w:r>
              <w:rPr>
                <w:rStyle w:val="IndexLink"/>
                <w:rFonts w:eastAsia="Times New Roman" w:cs="Times New Roman"/>
                <w:i/>
                <w:iCs/>
              </w:rPr>
              <w:t>Design Science Research</w:t>
            </w:r>
            <w:r>
              <w:rPr>
                <w:rStyle w:val="IndexLink"/>
                <w:rFonts w:eastAsia="Times New Roman" w:cs="Times New Roman"/>
              </w:rPr>
              <w:t xml:space="preserve"> (DSR)</w:t>
            </w:r>
            <w:r>
              <w:rPr>
                <w:webHidden/>
              </w:rPr>
              <w:fldChar w:fldCharType="begin"/>
            </w:r>
            <w:r>
              <w:rPr>
                <w:webHidden/>
              </w:rPr>
              <w:instrText xml:space="preserve">PAGEREF _Toc242269236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37">
            <w:r>
              <w:rPr>
                <w:webHidden/>
                <w:rStyle w:val="IndexLink"/>
                <w:rFonts w:eastAsia="Times New Roman" w:cs="Times New Roman"/>
              </w:rPr>
              <w:t>3.3.2 Verificação e Validação (V&amp;V)</w:t>
            </w:r>
            <w:r>
              <w:rPr>
                <w:webHidden/>
              </w:rPr>
              <w:fldChar w:fldCharType="begin"/>
            </w:r>
            <w:r>
              <w:rPr>
                <w:webHidden/>
              </w:rPr>
              <w:instrText xml:space="preserve">PAGEREF _Toc242269237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38">
            <w:r>
              <w:rPr>
                <w:webHidden/>
                <w:rStyle w:val="IndexLink"/>
              </w:rPr>
              <w:t>3.4 Métodos de análise de dados</w:t>
            </w:r>
            <w:r>
              <w:rPr>
                <w:webHidden/>
              </w:rPr>
              <w:fldChar w:fldCharType="begin"/>
            </w:r>
            <w:r>
              <w:rPr>
                <w:webHidden/>
              </w:rPr>
              <w:instrText xml:space="preserve">PAGEREF _Toc242269238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39">
            <w:r>
              <w:rPr>
                <w:webHidden/>
                <w:rStyle w:val="IndexLink"/>
              </w:rPr>
              <w:t xml:space="preserve">3.5 Integração de inteligência artificial generativa no desenvolvimento do </w:t>
            </w:r>
            <w:r>
              <w:rPr>
                <w:rStyle w:val="IndexLink"/>
                <w:i/>
                <w:iCs/>
              </w:rPr>
              <w:t>framework</w:t>
            </w:r>
            <w:r>
              <w:rPr>
                <w:rStyle w:val="IndexLink"/>
              </w:rPr>
              <w:t xml:space="preserve"> EVTEAS-Py</w:t>
            </w:r>
            <w:r>
              <w:rPr>
                <w:webHidden/>
              </w:rPr>
              <w:fldChar w:fldCharType="begin"/>
            </w:r>
            <w:r>
              <w:rPr>
                <w:webHidden/>
              </w:rPr>
              <w:instrText xml:space="preserve">PAGEREF _Toc242269239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40">
            <w:r>
              <w:rPr>
                <w:webHidden/>
                <w:rStyle w:val="IndexLink"/>
                <w:rFonts w:eastAsia="Times New Roman" w:cs="Times New Roman"/>
              </w:rPr>
              <w:t>3.5.1 Adoção estratégica da inteligência artificial no ciclo de desenvolvimento de framework</w:t>
            </w:r>
            <w:r>
              <w:rPr>
                <w:webHidden/>
              </w:rPr>
              <w:fldChar w:fldCharType="begin"/>
            </w:r>
            <w:r>
              <w:rPr>
                <w:webHidden/>
              </w:rPr>
              <w:instrText xml:space="preserve">PAGEREF _Toc242269240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41">
            <w:r>
              <w:rPr>
                <w:webHidden/>
                <w:rStyle w:val="IndexLink"/>
                <w:rFonts w:eastAsia="Times New Roman" w:cs="Times New Roman"/>
              </w:rPr>
              <w:t>3.5.2 Processos generativos em refatoração, otimização e prevenção de anomalias</w:t>
            </w:r>
            <w:r>
              <w:rPr>
                <w:webHidden/>
              </w:rPr>
              <w:fldChar w:fldCharType="begin"/>
            </w:r>
            <w:r>
              <w:rPr>
                <w:webHidden/>
              </w:rPr>
              <w:instrText xml:space="preserve">PAGEREF _Toc242269241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42">
            <w:r>
              <w:rPr>
                <w:webHidden/>
                <w:rStyle w:val="IndexLink"/>
                <w:rFonts w:eastAsia="Times New Roman" w:cs="Times New Roman"/>
              </w:rPr>
              <w:t>3.5.3 A Governança cognitiva algorítmica e o paradigma "</w:t>
            </w:r>
            <w:r>
              <w:rPr>
                <w:rStyle w:val="IndexLink"/>
                <w:rFonts w:eastAsia="Times New Roman" w:cs="Times New Roman"/>
                <w:i/>
                <w:iCs/>
              </w:rPr>
              <w:t>Human-in-the-Loop</w:t>
            </w:r>
            <w:r>
              <w:rPr>
                <w:rStyle w:val="IndexLink"/>
                <w:rFonts w:eastAsia="Times New Roman" w:cs="Times New Roman"/>
              </w:rPr>
              <w:t>"</w:t>
            </w:r>
            <w:r>
              <w:rPr>
                <w:webHidden/>
              </w:rPr>
              <w:fldChar w:fldCharType="begin"/>
            </w:r>
            <w:r>
              <w:rPr>
                <w:webHidden/>
              </w:rPr>
              <w:instrText xml:space="preserve">PAGEREF _Toc242269242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43">
            <w:r>
              <w:rPr>
                <w:webHidden/>
                <w:rStyle w:val="IndexLink"/>
              </w:rPr>
              <w:t>3.6 Resultados esperados</w:t>
            </w:r>
            <w:r>
              <w:rPr>
                <w:webHidden/>
              </w:rPr>
              <w:fldChar w:fldCharType="begin"/>
            </w:r>
            <w:r>
              <w:rPr>
                <w:webHidden/>
              </w:rPr>
              <w:instrText xml:space="preserve">PAGEREF _Toc242269243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44">
            <w:r>
              <w:rPr>
                <w:webHidden/>
                <w:rStyle w:val="IndexLink"/>
              </w:rPr>
              <w:t>3.7 CRONOGRAMA DA PESQUISA</w:t>
            </w:r>
            <w:r>
              <w:rPr>
                <w:webHidden/>
              </w:rPr>
              <w:fldChar w:fldCharType="begin"/>
            </w:r>
            <w:r>
              <w:rPr>
                <w:webHidden/>
              </w:rPr>
              <w:instrText xml:space="preserve">PAGEREF _Toc242269244 \h</w:instrText>
            </w:r>
            <w:r>
              <w:rPr>
                <w:webHidden/>
              </w:rPr>
              <w:fldChar w:fldCharType="separate"/>
            </w:r>
            <w:r>
              <w:rPr>
                <w:rStyle w:val="IndexLink"/>
                <w:vanish w:val="false"/>
              </w:rPr>
              <w:tab/>
              <w:t>1</w:t>
            </w:r>
            <w:r>
              <w:rPr>
                <w:webHidden/>
              </w:rPr>
              <w:fldChar w:fldCharType="end"/>
            </w:r>
          </w:hyperlink>
          <w:r>
            <w:br w:type="page"/>
          </w:r>
        </w:p>
        <w:p>
          <w:pPr>
            <w:pStyle w:val="Heading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45">
            <w:r>
              <w:rPr>
                <w:webHidden/>
                <w:rStyle w:val="IndexLink"/>
              </w:rPr>
              <w:t>4 RESULTADOS E DISCUSSÃO</w:t>
            </w:r>
            <w:r>
              <w:rPr>
                <w:webHidden/>
              </w:rPr>
              <w:fldChar w:fldCharType="begin"/>
            </w:r>
            <w:r>
              <w:rPr>
                <w:webHidden/>
              </w:rPr>
              <w:instrText xml:space="preserve">PAGEREF _Toc242269245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46">
            <w:r>
              <w:rPr>
                <w:webHidden/>
                <w:rStyle w:val="IndexLink"/>
                <w:rFonts w:ascii="Arial" w:hAnsi="Arial"/>
              </w:rPr>
              <w:t>4.1 Construção e arquitetura do artefato EVTEAS-Py</w:t>
            </w:r>
            <w:r>
              <w:rPr>
                <w:webHidden/>
              </w:rPr>
              <w:fldChar w:fldCharType="begin"/>
            </w:r>
            <w:r>
              <w:rPr>
                <w:webHidden/>
              </w:rPr>
              <w:instrText xml:space="preserve">PAGEREF _Toc242269246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47">
            <w:r>
              <w:rPr>
                <w:webHidden/>
                <w:rStyle w:val="IndexLink"/>
                <w:rFonts w:ascii="Arial" w:hAnsi="Arial"/>
              </w:rPr>
              <w:t>4.2 Interface de entrada e parametrização do estudo</w:t>
            </w:r>
            <w:r>
              <w:rPr>
                <w:webHidden/>
              </w:rPr>
              <w:fldChar w:fldCharType="begin"/>
            </w:r>
            <w:r>
              <w:rPr>
                <w:webHidden/>
              </w:rPr>
              <w:instrText xml:space="preserve">PAGEREF _Toc242269247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48">
            <w:r>
              <w:rPr>
                <w:webHidden/>
                <w:rStyle w:val="IndexLink"/>
                <w:rFonts w:ascii="Arial" w:hAnsi="Arial"/>
              </w:rPr>
              <w:t>4.3 Resultados da dimensão técnica</w:t>
            </w:r>
            <w:r>
              <w:rPr>
                <w:webHidden/>
              </w:rPr>
              <w:fldChar w:fldCharType="begin"/>
            </w:r>
            <w:r>
              <w:rPr>
                <w:webHidden/>
              </w:rPr>
              <w:instrText xml:space="preserve">PAGEREF _Toc242269248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49">
            <w:r>
              <w:rPr>
                <w:webHidden/>
                <w:rStyle w:val="IndexLink"/>
                <w:rFonts w:ascii="Arial" w:hAnsi="Arial"/>
              </w:rPr>
              <w:t>4.4 Resultados da dimensão econômica</w:t>
            </w:r>
            <w:r>
              <w:rPr>
                <w:webHidden/>
              </w:rPr>
              <w:fldChar w:fldCharType="begin"/>
            </w:r>
            <w:r>
              <w:rPr>
                <w:webHidden/>
              </w:rPr>
              <w:instrText xml:space="preserve">PAGEREF _Toc242269249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50">
            <w:r>
              <w:rPr>
                <w:webHidden/>
                <w:rStyle w:val="IndexLink"/>
                <w:rFonts w:ascii="Arial" w:hAnsi="Arial"/>
              </w:rPr>
              <w:t>4.5 Resultados da dimensão ambiental</w:t>
            </w:r>
            <w:r>
              <w:rPr>
                <w:webHidden/>
              </w:rPr>
              <w:fldChar w:fldCharType="begin"/>
            </w:r>
            <w:r>
              <w:rPr>
                <w:webHidden/>
              </w:rPr>
              <w:instrText xml:space="preserve">PAGEREF _Toc242269250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51">
            <w:r>
              <w:rPr>
                <w:webHidden/>
                <w:rStyle w:val="IndexLink"/>
                <w:rFonts w:ascii="Arial" w:hAnsi="Arial"/>
              </w:rPr>
              <w:t>4.6 Resultados da dimensão social e ESG</w:t>
            </w:r>
            <w:r>
              <w:rPr>
                <w:webHidden/>
              </w:rPr>
              <w:fldChar w:fldCharType="begin"/>
            </w:r>
            <w:r>
              <w:rPr>
                <w:webHidden/>
              </w:rPr>
              <w:instrText xml:space="preserve">PAGEREF _Toc242269251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52">
            <w:r>
              <w:rPr>
                <w:webHidden/>
                <w:rStyle w:val="IndexLink"/>
                <w:rFonts w:ascii="Arial" w:hAnsi="Arial"/>
              </w:rPr>
              <w:t>4.7 Índice integrado EVTEAS</w:t>
            </w:r>
            <w:r>
              <w:rPr>
                <w:webHidden/>
              </w:rPr>
              <w:fldChar w:fldCharType="begin"/>
            </w:r>
            <w:r>
              <w:rPr>
                <w:webHidden/>
              </w:rPr>
              <w:instrText xml:space="preserve">PAGEREF _Toc242269252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53">
            <w:r>
              <w:rPr>
                <w:webHidden/>
                <w:rStyle w:val="IndexLink"/>
                <w:rFonts w:ascii="Arial" w:hAnsi="Arial"/>
              </w:rPr>
              <w:t>4.8 Simulação de Monte Carlo</w:t>
            </w:r>
            <w:r>
              <w:rPr>
                <w:webHidden/>
              </w:rPr>
              <w:fldChar w:fldCharType="begin"/>
            </w:r>
            <w:r>
              <w:rPr>
                <w:webHidden/>
              </w:rPr>
              <w:instrText xml:space="preserve">PAGEREF _Toc242269253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54">
            <w:r>
              <w:rPr>
                <w:webHidden/>
                <w:rStyle w:val="IndexLink"/>
                <w:rFonts w:ascii="Arial" w:hAnsi="Arial"/>
              </w:rPr>
              <w:t>4.9 Análise de sensibilidade e identificação das variáveis críticas</w:t>
            </w:r>
            <w:r>
              <w:rPr>
                <w:webHidden/>
              </w:rPr>
              <w:fldChar w:fldCharType="begin"/>
            </w:r>
            <w:r>
              <w:rPr>
                <w:webHidden/>
              </w:rPr>
              <w:instrText xml:space="preserve">PAGEREF _Toc242269254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55">
            <w:r>
              <w:rPr>
                <w:webHidden/>
                <w:rStyle w:val="IndexLink"/>
                <w:rFonts w:ascii="Arial" w:hAnsi="Arial"/>
              </w:rPr>
              <w:t>4.10 Verificação computacional e V&amp;V</w:t>
            </w:r>
            <w:r>
              <w:rPr>
                <w:webHidden/>
              </w:rPr>
              <w:fldChar w:fldCharType="begin"/>
            </w:r>
            <w:r>
              <w:rPr>
                <w:webHidden/>
              </w:rPr>
              <w:instrText xml:space="preserve">PAGEREF _Toc242269255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56">
            <w:r>
              <w:rPr>
                <w:webHidden/>
                <w:rStyle w:val="IndexLink"/>
                <w:rFonts w:ascii="Arial" w:hAnsi="Arial"/>
              </w:rPr>
              <w:t>4.11 Exportação, reprodutibilidade e documentação dos resultados</w:t>
            </w:r>
            <w:r>
              <w:rPr>
                <w:webHidden/>
              </w:rPr>
              <w:fldChar w:fldCharType="begin"/>
            </w:r>
            <w:r>
              <w:rPr>
                <w:webHidden/>
              </w:rPr>
              <w:instrText xml:space="preserve">PAGEREF _Toc242269256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57">
            <w:r>
              <w:rPr>
                <w:webHidden/>
                <w:rStyle w:val="IndexLink"/>
                <w:rFonts w:ascii="Arial" w:hAnsi="Arial"/>
              </w:rPr>
              <w:t>4.12 Discussão integrada e retorno à lacuna científica</w:t>
            </w:r>
            <w:r>
              <w:rPr>
                <w:webHidden/>
              </w:rPr>
              <w:fldChar w:fldCharType="begin"/>
            </w:r>
            <w:r>
              <w:rPr>
                <w:webHidden/>
              </w:rPr>
              <w:instrText xml:space="preserve">PAGEREF _Toc242269257 \h</w:instrText>
            </w:r>
            <w:r>
              <w:rPr>
                <w:webHidden/>
              </w:rPr>
              <w:fldChar w:fldCharType="separate"/>
            </w:r>
            <w:r>
              <w:rPr>
                <w:rStyle w:val="IndexLink"/>
                <w:vanish w:val="false"/>
              </w:rPr>
              <w:tab/>
              <w:t>1</w:t>
            </w:r>
            <w:r>
              <w:rPr>
                <w:webHidden/>
              </w:rPr>
              <w:fldChar w:fldCharType="end"/>
            </w:r>
          </w:hyperlink>
          <w:r>
            <w:br w:type="page"/>
          </w:r>
        </w:p>
        <w:p>
          <w:pPr>
            <w:pStyle w:val="Heading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58">
            <w:r>
              <w:rPr>
                <w:webHidden/>
                <w:rStyle w:val="IndexLink"/>
              </w:rPr>
              <w:t>5 CONSIDERAÇÕES FINAIS</w:t>
            </w:r>
            <w:r>
              <w:rPr>
                <w:webHidden/>
              </w:rPr>
              <w:fldChar w:fldCharType="begin"/>
            </w:r>
            <w:r>
              <w:rPr>
                <w:webHidden/>
              </w:rPr>
              <w:instrText xml:space="preserve">PAGEREF _Toc242269258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59">
            <w:r>
              <w:rPr>
                <w:webHidden/>
                <w:rStyle w:val="IndexLink"/>
                <w:rFonts w:ascii="Arial" w:hAnsi="Arial"/>
              </w:rPr>
              <w:t>5.1 Síntese da resposta ao problema de pesquisa</w:t>
            </w:r>
            <w:r>
              <w:rPr>
                <w:webHidden/>
              </w:rPr>
              <w:fldChar w:fldCharType="begin"/>
            </w:r>
            <w:r>
              <w:rPr>
                <w:webHidden/>
              </w:rPr>
              <w:instrText xml:space="preserve">PAGEREF _Toc242269259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60">
            <w:r>
              <w:rPr>
                <w:webHidden/>
                <w:rStyle w:val="IndexLink"/>
                <w:rFonts w:ascii="Arial" w:hAnsi="Arial"/>
              </w:rPr>
              <w:t>5.2 Atendimento ao objetivo geral e aos objetivos específicos</w:t>
            </w:r>
            <w:r>
              <w:rPr>
                <w:webHidden/>
              </w:rPr>
              <w:fldChar w:fldCharType="begin"/>
            </w:r>
            <w:r>
              <w:rPr>
                <w:webHidden/>
              </w:rPr>
              <w:instrText xml:space="preserve">PAGEREF _Toc242269260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61">
            <w:r>
              <w:rPr>
                <w:webHidden/>
                <w:rStyle w:val="IndexLink"/>
                <w:rFonts w:ascii="Arial" w:hAnsi="Arial"/>
              </w:rPr>
              <w:t>5.3 Contribuições científicas, metodológicas e aplicadas</w:t>
            </w:r>
            <w:r>
              <w:rPr>
                <w:webHidden/>
              </w:rPr>
              <w:fldChar w:fldCharType="begin"/>
            </w:r>
            <w:r>
              <w:rPr>
                <w:webHidden/>
              </w:rPr>
              <w:instrText xml:space="preserve">PAGEREF _Toc242269261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62">
            <w:r>
              <w:rPr>
                <w:webHidden/>
                <w:rStyle w:val="IndexLink"/>
                <w:rFonts w:ascii="Arial" w:hAnsi="Arial"/>
              </w:rPr>
              <w:t>5.4 Limitações da pesquisa e do artefato</w:t>
            </w:r>
            <w:r>
              <w:rPr>
                <w:webHidden/>
              </w:rPr>
              <w:fldChar w:fldCharType="begin"/>
            </w:r>
            <w:r>
              <w:rPr>
                <w:webHidden/>
              </w:rPr>
              <w:instrText xml:space="preserve">PAGEREF _Toc242269262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63">
            <w:r>
              <w:rPr>
                <w:webHidden/>
                <w:rStyle w:val="IndexLink"/>
                <w:rFonts w:ascii="Arial" w:hAnsi="Arial"/>
              </w:rPr>
              <w:t>5.5 Generalização para a classe de problemas</w:t>
            </w:r>
            <w:r>
              <w:rPr>
                <w:webHidden/>
              </w:rPr>
              <w:fldChar w:fldCharType="begin"/>
            </w:r>
            <w:r>
              <w:rPr>
                <w:webHidden/>
              </w:rPr>
              <w:instrText xml:space="preserve">PAGEREF _Toc242269263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64">
            <w:r>
              <w:rPr>
                <w:webHidden/>
                <w:rStyle w:val="IndexLink"/>
                <w:rFonts w:ascii="Arial" w:hAnsi="Arial"/>
              </w:rPr>
              <w:t>5.6 Trabalhos futuros e continuidade do EVTEAS-Py</w:t>
            </w:r>
            <w:r>
              <w:rPr>
                <w:webHidden/>
              </w:rPr>
              <w:fldChar w:fldCharType="begin"/>
            </w:r>
            <w:r>
              <w:rPr>
                <w:webHidden/>
              </w:rPr>
              <w:instrText xml:space="preserve">PAGEREF _Toc242269264 \h</w:instrText>
            </w:r>
            <w:r>
              <w:rPr>
                <w:webHidden/>
              </w:rPr>
              <w:fldChar w:fldCharType="separate"/>
            </w:r>
            <w:r>
              <w:rPr>
                <w:rStyle w:val="IndexLink"/>
                <w:vanish w:val="false"/>
              </w:rPr>
              <w:tab/>
              <w:t>1</w:t>
            </w:r>
            <w:r>
              <w:rPr>
                <w:webHidden/>
              </w:rPr>
              <w:fldChar w:fldCharType="end"/>
            </w:r>
          </w:hyperlink>
        </w:p>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65">
            <w:r>
              <w:rPr>
                <w:webHidden/>
                <w:rStyle w:val="IndexLink"/>
              </w:rPr>
              <w:t>REFERÊNCIAS</w:t>
            </w:r>
            <w:r>
              <w:rPr>
                <w:webHidden/>
              </w:rPr>
              <w:fldChar w:fldCharType="begin"/>
            </w:r>
            <w:r>
              <w:rPr>
                <w:webHidden/>
              </w:rPr>
              <w:instrText xml:space="preserve">PAGEREF _Toc242269265 \h</w:instrText>
            </w:r>
            <w:r>
              <w:rPr>
                <w:webHidden/>
              </w:rPr>
              <w:fldChar w:fldCharType="separate"/>
            </w:r>
            <w:r>
              <w:rPr>
                <w:rStyle w:val="IndexLink"/>
                <w:vanish w:val="false"/>
              </w:rPr>
              <w:tab/>
              <w:t>1</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9" w:before="0" w:after="160"/>
        <w:jc w:val="left"/>
        <w:rPr>
          <w:rFonts w:ascii="Times New Roman" w:hAnsi="Times New Roman"/>
          <w:sz w:val="24"/>
        </w:rPr>
      </w:pPr>
      <w:r>
        <w:rPr>
          <w:sz w:val="24"/>
        </w:rPr>
      </w:r>
      <w:r>
        <w:br w:type="page"/>
      </w:r>
    </w:p>
    <w:p>
      <w:pPr>
        <w:pStyle w:val="Normal"/>
        <w:spacing w:lineRule="auto" w:line="360" w:before="0" w:after="0"/>
        <w:jc w:val="center"/>
        <w:rPr>
          <w:rFonts w:ascii="Calibri" w:hAnsi="Calibri" w:eastAsia="Times New Roman" w:cs="Calibri"/>
          <w:b/>
          <w:bCs/>
          <w:color w:themeColor="text1" w:val="000000"/>
          <w:sz w:val="24"/>
          <w:szCs w:val="24"/>
        </w:rPr>
      </w:pPr>
      <w:r>
        <w:rPr>
          <w:rFonts w:eastAsia="Times New Roman" w:cs="Calibri" w:ascii="Calibri" w:hAnsi="Calibri"/>
          <w:b/>
          <w:bCs/>
          <w:color w:themeColor="text1" w:val="000000"/>
          <w:sz w:val="24"/>
          <w:szCs w:val="24"/>
        </w:rPr>
        <w:t>LISTA DE ABREVIATURAS E SIGLAS</w:t>
      </w:r>
    </w:p>
    <w:tbl>
      <w:tblPr>
        <w:tblW w:w="9214" w:type="dxa"/>
        <w:jc w:val="left"/>
        <w:tblInd w:w="-5" w:type="dxa"/>
        <w:tblLayout w:type="fixed"/>
        <w:tblCellMar>
          <w:top w:w="40" w:type="dxa"/>
          <w:left w:w="80" w:type="dxa"/>
          <w:bottom w:w="40" w:type="dxa"/>
          <w:right w:w="80" w:type="dxa"/>
        </w:tblCellMar>
        <w:tblLook w:val="04a0" w:noHBand="0" w:noVBand="1" w:firstColumn="1" w:lastRow="0" w:lastColumn="0" w:firstRow="1"/>
      </w:tblPr>
      <w:tblGrid>
        <w:gridCol w:w="1699"/>
        <w:gridCol w:w="7514"/>
      </w:tblGrid>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AACE</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lang w:val="en-US"/>
              </w:rPr>
            </w:pPr>
            <w:r>
              <w:rPr>
                <w:rFonts w:eastAsia="Times New Roman" w:cs="Times New Roman"/>
                <w:i/>
                <w:iCs/>
                <w:sz w:val="24"/>
                <w:szCs w:val="24"/>
                <w:lang w:val="en-US"/>
              </w:rPr>
              <w:t>Association for the Advancement of Cost Engineering</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ABNT</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Associação Brasileira de Normas Técnicas</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AHP</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Analytic Hierarchy Process</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API</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Application Programming Interface</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APP</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Área de Preservação Permanente</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AST</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Abstract Syntax Trees</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BSC</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Balanced Scorecard</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CAPEX</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Capital Expenditure</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CEIA</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Cumulative Environmental Impact Assessment</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CONAMA</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Conselho Nacional do Meio Ambiente</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CVA</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Climate Vulnerability Assessment</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DMAIC</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lang w:val="en-US"/>
              </w:rPr>
            </w:pPr>
            <w:r>
              <w:rPr>
                <w:rFonts w:eastAsia="Times New Roman" w:cs="Times New Roman"/>
                <w:i/>
                <w:iCs/>
                <w:sz w:val="24"/>
                <w:szCs w:val="24"/>
                <w:lang w:val="en-US"/>
              </w:rPr>
              <w:t>Define, Measure, Analyze, Improve, Control</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DOWNTIME</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lang w:val="en-US"/>
              </w:rPr>
            </w:pPr>
            <w:r>
              <w:rPr>
                <w:rFonts w:eastAsia="Times New Roman" w:cs="Times New Roman"/>
                <w:i/>
                <w:iCs/>
                <w:sz w:val="24"/>
                <w:szCs w:val="24"/>
                <w:lang w:val="en-US"/>
              </w:rPr>
              <w:t>Defects, Overproduction, Waiting, Non-utilized talent, Transportation, Inventory, Motion, Extra-processing</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DQO</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Demanda Química de Oxigênio</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DSR</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Design Science Research</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ELI</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Empirical Leanness Indicator</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ESG</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Environmental, Social and Governance</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EVTE</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Estudo de viabilidade técnica e econômica</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EVTEAS</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Estudo de viabilidade técnica, econômica, ambiental e social</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FAO</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Food and Agriculture Organization of the United Nations</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FCR</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Feed Conversion Ratio</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color w:themeColor="text1" w:val="000000"/>
                <w:sz w:val="24"/>
                <w:szCs w:val="24"/>
              </w:rPr>
              <w:t>Fuzzy-ISM</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color w:themeColor="text1" w:val="000000"/>
                <w:sz w:val="24"/>
                <w:szCs w:val="24"/>
              </w:rPr>
              <w:t>Fuzzy Interpretive Structural Modelling</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GLSS</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Green Lean Six Sigma</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GRI</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Global Reporting Initiative</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HITL</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Human-in-the-Loop</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IA</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Inteligência Artificial</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IBAMA</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Instituto Brasileiro do Meio Ambiente e dos Recursos Naturais Renováveis</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IE</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Índice de Ecoeficiência</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IHC</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Interação Humano-Computador</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IMTA</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Integrated Multi-Trophic Aquaculture</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IoT</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lang w:val="en-US"/>
              </w:rPr>
            </w:pPr>
            <w:r>
              <w:rPr>
                <w:rFonts w:eastAsia="Times New Roman" w:cs="Times New Roman"/>
                <w:i/>
                <w:iCs/>
                <w:sz w:val="24"/>
                <w:szCs w:val="24"/>
                <w:lang w:val="en-US"/>
              </w:rPr>
              <w:t>Internet of Things</w:t>
            </w:r>
            <w:r>
              <w:rPr>
                <w:rFonts w:eastAsia="Times New Roman" w:cs="Times New Roman"/>
                <w:sz w:val="24"/>
                <w:szCs w:val="24"/>
                <w:lang w:val="en-US"/>
              </w:rPr>
              <w:t xml:space="preserve"> (Internet das Coisas)</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IPCC</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Intergovernmental Panel on Climate Change</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ISO</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International Organization for Standardization</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JIT</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Just-in-Time</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KPIs</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Key Performance Indicators</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LGPD</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Lei Geral de Proteção de Dados</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LLM / LLMs</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i/>
                <w:iCs/>
                <w:sz w:val="24"/>
                <w:szCs w:val="24"/>
              </w:rPr>
              <w:t>Large Language Models</w:t>
            </w:r>
            <w:r>
              <w:rPr>
                <w:rFonts w:eastAsia="Times New Roman" w:cs="Times New Roman"/>
                <w:sz w:val="24"/>
                <w:szCs w:val="24"/>
              </w:rPr>
              <w:t xml:space="preserve"> </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LSO</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Licença Social para Operar</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LSS</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Lean Six Sigma</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MFV</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Mapeamento do Fluxo de Valor</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MIT CSAIL</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Massachusetts Institute of Technology – Computer Science and Artificial Intelligence Laboratory</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ML</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Machine Learning</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ODS</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Objetivos de Desenvolvimento Sustentável</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OEE</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i/>
                <w:iCs/>
                <w:sz w:val="24"/>
                <w:szCs w:val="24"/>
              </w:rPr>
              <w:t>Overall Equipment Effectiveness</w:t>
            </w:r>
            <w:r>
              <w:rPr>
                <w:rFonts w:eastAsia="Times New Roman" w:cs="Times New Roman"/>
                <w:sz w:val="24"/>
                <w:szCs w:val="24"/>
              </w:rPr>
              <w:t xml:space="preserve"> </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ONU</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Organização das Nações Unidas</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OPEX</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Operational Expenditure</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PDCA</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Plan, Do, Check, Act</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PEA</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Projeto de Educação Ambiental</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PESTLE</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Political, Economic, Social, Technological, Legal and Environmental</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PGTR</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Projeto de Geração de Trabalho e Renda</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PH</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Pegada Hídrica</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PMBOK</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lang w:val="en-US"/>
              </w:rPr>
            </w:pPr>
            <w:r>
              <w:rPr>
                <w:rFonts w:eastAsia="Times New Roman" w:cs="Times New Roman"/>
                <w:i/>
                <w:iCs/>
                <w:sz w:val="24"/>
                <w:szCs w:val="24"/>
                <w:lang w:val="en-US"/>
              </w:rPr>
              <w:t>Project Management Body of Knowledge</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PMEs</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Pequenas e médias empresas</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PMI</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Project Management Institute</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PRISMA</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lang w:val="en-US"/>
              </w:rPr>
            </w:pPr>
            <w:r>
              <w:rPr>
                <w:rFonts w:eastAsia="Times New Roman" w:cs="Times New Roman"/>
                <w:i/>
                <w:iCs/>
                <w:sz w:val="24"/>
                <w:szCs w:val="24"/>
                <w:lang w:val="en-US"/>
              </w:rPr>
              <w:t>Preferred Reporting Items for Systematic Reviews and Meta-Analyses</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RAS</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Recirculating Aquaculture System</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ROI</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i/>
                <w:iCs/>
                <w:sz w:val="24"/>
                <w:szCs w:val="24"/>
              </w:rPr>
              <w:t>Return on Investment</w:t>
            </w:r>
            <w:r>
              <w:rPr>
                <w:rFonts w:eastAsia="Times New Roman" w:cs="Times New Roman"/>
                <w:sz w:val="24"/>
                <w:szCs w:val="24"/>
              </w:rPr>
              <w:t xml:space="preserve"> </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RSC</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Responsabilidade Social Corporativa</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RSL</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Revisão Sistemática da Literatura</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RVL</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Retenção de Valor Local</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SIG</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Sistema de Informação Geográfica</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SLD</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Sustainable Leadership</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TCA</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 xml:space="preserve">Taxa de Conversão Alimentar </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TIC</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Tecnologias da Informação e Comunicação</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TIR</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Taxa Interna de Retorno</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TMA</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Taxa Mínima de Atratividade</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TQM</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Total Quality Management</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VPL</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Valor Presente Líquido</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VSM</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Value Stream Mapping</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V&amp;V</w:t>
            </w:r>
          </w:p>
        </w:tc>
        <w:tc>
          <w:tcPr>
            <w:tcW w:w="7514" w:type="dxa"/>
            <w:tcBorders/>
            <w:vAlign w:val="center"/>
          </w:tcPr>
          <w:p>
            <w:pPr>
              <w:pStyle w:val="Normal"/>
              <w:spacing w:lineRule="auto" w:line="360" w:before="0" w:after="0"/>
              <w:rPr>
                <w:rFonts w:ascii="Times New Roman" w:hAnsi="Times New Roman" w:eastAsia="Times New Roman" w:cs="Times New Roman"/>
                <w:sz w:val="24"/>
                <w:szCs w:val="24"/>
              </w:rPr>
            </w:pPr>
            <w:r>
              <w:rPr>
                <w:rFonts w:eastAsia="Times New Roman" w:cs="Times New Roman"/>
                <w:sz w:val="24"/>
                <w:szCs w:val="24"/>
              </w:rPr>
              <w:t>Verificação e Validação</w:t>
            </w:r>
          </w:p>
        </w:tc>
      </w:tr>
      <w:tr>
        <w:trPr/>
        <w:tc>
          <w:tcPr>
            <w:tcW w:w="1699" w:type="dxa"/>
            <w:tcBorders/>
            <w:vAlign w:val="center"/>
          </w:tcPr>
          <w:p>
            <w:pPr>
              <w:pStyle w:val="Normal"/>
              <w:spacing w:lineRule="auto" w:line="360" w:before="0" w:after="0"/>
              <w:rPr>
                <w:rFonts w:ascii="Times New Roman" w:hAnsi="Times New Roman" w:eastAsia="Times New Roman" w:cs="Times New Roman"/>
                <w:b/>
                <w:bCs/>
                <w:sz w:val="24"/>
                <w:szCs w:val="24"/>
              </w:rPr>
            </w:pPr>
            <w:r>
              <w:rPr>
                <w:rFonts w:eastAsia="Times New Roman" w:cs="Times New Roman"/>
                <w:b/>
                <w:bCs/>
                <w:sz w:val="24"/>
                <w:szCs w:val="24"/>
              </w:rPr>
              <w:t>WFA</w:t>
            </w:r>
          </w:p>
        </w:tc>
        <w:tc>
          <w:tcPr>
            <w:tcW w:w="7514" w:type="dxa"/>
            <w:tcBorders/>
            <w:vAlign w:val="center"/>
          </w:tcPr>
          <w:p>
            <w:pPr>
              <w:pStyle w:val="Normal"/>
              <w:spacing w:lineRule="auto" w:line="360" w:before="0" w:after="0"/>
              <w:rPr>
                <w:rFonts w:ascii="Times New Roman" w:hAnsi="Times New Roman" w:eastAsia="Times New Roman" w:cs="Times New Roman"/>
                <w:i/>
                <w:i/>
                <w:iCs/>
                <w:sz w:val="24"/>
                <w:szCs w:val="24"/>
              </w:rPr>
            </w:pPr>
            <w:r>
              <w:rPr>
                <w:rFonts w:eastAsia="Times New Roman" w:cs="Times New Roman"/>
                <w:i/>
                <w:iCs/>
                <w:sz w:val="24"/>
                <w:szCs w:val="24"/>
              </w:rPr>
              <w:t>Water Footprint Assessment</w:t>
            </w:r>
          </w:p>
        </w:tc>
      </w:tr>
    </w:tbl>
    <w:p>
      <w:pPr>
        <w:pStyle w:val="Normal"/>
        <w:spacing w:lineRule="auto" w:line="360" w:before="0" w:after="0"/>
        <w:jc w:val="center"/>
        <w:rPr>
          <w:rFonts w:ascii="Calibri" w:hAnsi="Calibri" w:eastAsia="Times New Roman" w:cs="Calibri"/>
          <w:b/>
          <w:bCs/>
          <w:color w:themeColor="text1" w:val="000000"/>
          <w:sz w:val="24"/>
          <w:szCs w:val="24"/>
        </w:rPr>
      </w:pPr>
      <w:r>
        <w:br w:type="page"/>
      </w:r>
      <w:r>
        <w:rPr>
          <w:rFonts w:eastAsia="Times New Roman" w:cs="Calibri" w:ascii="Calibri" w:hAnsi="Calibri"/>
          <w:b/>
          <w:bCs/>
          <w:color w:themeColor="text1" w:val="000000"/>
          <w:sz w:val="24"/>
          <w:szCs w:val="24"/>
        </w:rPr>
        <w:t>LISTA DE QUADROS</w:t>
      </w:r>
    </w:p>
    <w:p>
      <w:pPr>
        <w:pStyle w:val="TableofFigures"/>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r>
        <w:fldChar w:fldCharType="begin"/>
      </w:r>
      <w:r>
        <w:rPr>
          <w:rStyle w:val="IndexLink"/>
          <w:sz w:val="24"/>
          <w:szCs w:val="24"/>
          <w:rFonts w:eastAsia="Times New Roman" w:cs="Times New Roman"/>
        </w:rPr>
        <w:instrText xml:space="preserve"> TOC \c "Quadro" \h </w:instrText>
      </w:r>
      <w:r>
        <w:rPr>
          <w:rStyle w:val="IndexLink"/>
          <w:sz w:val="24"/>
          <w:szCs w:val="24"/>
          <w:rFonts w:eastAsia="Times New Roman" w:cs="Times New Roman"/>
        </w:rPr>
        <w:fldChar w:fldCharType="separate"/>
      </w:r>
      <w:hyperlink w:anchor="_Toc227172623">
        <w:r>
          <w:rPr>
            <w:rStyle w:val="IndexLink"/>
            <w:rFonts w:eastAsia="Times New Roman" w:cs="Times New Roman"/>
            <w:sz w:val="24"/>
            <w:szCs w:val="24"/>
          </w:rPr>
          <w:t>Quadro 1 - Fluxo de seleção PRISMA</w:t>
        </w:r>
        <w:r>
          <w:rPr>
            <w:webHidden/>
          </w:rPr>
          <w:fldChar w:fldCharType="begin"/>
        </w:r>
        <w:r>
          <w:rPr>
            <w:webHidden/>
          </w:rPr>
          <w:instrText xml:space="preserve">PAGEREF _Toc227172623 \h</w:instrText>
        </w:r>
        <w:r>
          <w:rPr>
            <w:webHidden/>
          </w:rPr>
          <w:fldChar w:fldCharType="separate"/>
        </w:r>
        <w:r>
          <w:rPr>
            <w:rStyle w:val="IndexLink"/>
            <w:rFonts w:eastAsia="Times New Roman" w:cs="Times New Roman"/>
            <w:sz w:val="24"/>
            <w:szCs w:val="24"/>
          </w:rPr>
          <w:tab/>
          <w:t>27</w:t>
        </w:r>
        <w:r>
          <w:rPr>
            <w:webHidden/>
          </w:rPr>
          <w:fldChar w:fldCharType="end"/>
        </w:r>
      </w:hyperlink>
    </w:p>
    <w:p>
      <w:pPr>
        <w:pStyle w:val="TableofFigures"/>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35197273">
        <w:r>
          <w:rPr>
            <w:webHidden/>
          </w:rPr>
          <w:fldChar w:fldCharType="begin"/>
        </w:r>
        <w:r>
          <w:rPr>
            <w:webHidden/>
          </w:rPr>
          <w:instrText xml:space="preserve">PAGEREF _Toc235197273 \h</w:instrText>
        </w:r>
        <w:r>
          <w:rPr>
            <w:webHidden/>
          </w:rPr>
          <w:fldChar w:fldCharType="separate"/>
        </w:r>
        <w:r>
          <w:rPr>
            <w:rStyle w:val="IndexLink"/>
            <w:rFonts w:eastAsia="Times New Roman" w:cs="Times New Roman"/>
            <w:sz w:val="24"/>
            <w:szCs w:val="24"/>
          </w:rPr>
          <w:t>Quadro 2 - Frameworks aplicado a estudo de viabilidades em aquicultura e Lean Green</w:t>
          <w:tab/>
          <w:t>28</w:t>
        </w:r>
        <w:r>
          <w:rPr>
            <w:webHidden/>
          </w:rPr>
          <w:fldChar w:fldCharType="end"/>
        </w:r>
      </w:hyperlink>
    </w:p>
    <w:p>
      <w:pPr>
        <w:pStyle w:val="TableofFigures"/>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300700005">
        <w:r>
          <w:rPr>
            <w:webHidden/>
          </w:rPr>
          <w:fldChar w:fldCharType="begin"/>
        </w:r>
        <w:r>
          <w:rPr>
            <w:webHidden/>
          </w:rPr>
          <w:instrText xml:space="preserve">PAGEREF _Toc300700005 \h</w:instrText>
        </w:r>
        <w:r>
          <w:rPr>
            <w:webHidden/>
          </w:rPr>
          <w:fldChar w:fldCharType="separate"/>
        </w:r>
        <w:r>
          <w:rPr>
            <w:rStyle w:val="IndexLink"/>
            <w:rFonts w:eastAsia="Times New Roman" w:cs="Times New Roman"/>
            <w:sz w:val="24"/>
            <w:szCs w:val="24"/>
          </w:rPr>
          <w:t>Quadro 3 - Integração, Lean, Sustentabilidade Ambiental e cadeia de suprimentos</w:t>
          <w:tab/>
          <w:t>29</w:t>
        </w:r>
        <w:r>
          <w:rPr>
            <w:webHidden/>
          </w:rPr>
          <w:fldChar w:fldCharType="end"/>
        </w:r>
      </w:hyperlink>
    </w:p>
    <w:p>
      <w:pPr>
        <w:pStyle w:val="TableofFigures"/>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35197275">
        <w:r>
          <w:rPr>
            <w:webHidden/>
          </w:rPr>
          <w:fldChar w:fldCharType="begin"/>
        </w:r>
        <w:r>
          <w:rPr>
            <w:webHidden/>
          </w:rPr>
          <w:instrText xml:space="preserve">PAGEREF _Toc235197275 \h</w:instrText>
        </w:r>
        <w:r>
          <w:rPr>
            <w:webHidden/>
          </w:rPr>
          <w:fldChar w:fldCharType="separate"/>
        </w:r>
        <w:r>
          <w:rPr>
            <w:rStyle w:val="IndexLink"/>
            <w:rFonts w:eastAsia="Times New Roman" w:cs="Times New Roman"/>
            <w:sz w:val="24"/>
            <w:szCs w:val="24"/>
          </w:rPr>
          <w:t>Quadro 4 - Desempenho ESG, Responsabilidade Social Corporativa e Engajamento de Stakeholders</w:t>
          <w:tab/>
          <w:t>31</w:t>
        </w:r>
        <w:r>
          <w:rPr>
            <w:webHidden/>
          </w:rPr>
          <w:fldChar w:fldCharType="end"/>
        </w:r>
      </w:hyperlink>
    </w:p>
    <w:p>
      <w:pPr>
        <w:pStyle w:val="TableofFigures"/>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35197272">
        <w:r>
          <w:rPr>
            <w:webHidden/>
          </w:rPr>
          <w:fldChar w:fldCharType="begin"/>
        </w:r>
        <w:r>
          <w:rPr>
            <w:webHidden/>
          </w:rPr>
          <w:instrText xml:space="preserve">PAGEREF _Toc235197272 \h</w:instrText>
        </w:r>
        <w:r>
          <w:rPr>
            <w:webHidden/>
          </w:rPr>
          <w:fldChar w:fldCharType="separate"/>
        </w:r>
        <w:r>
          <w:rPr>
            <w:rStyle w:val="IndexLink"/>
            <w:rFonts w:eastAsia="Times New Roman" w:cs="Times New Roman"/>
            <w:sz w:val="24"/>
            <w:szCs w:val="24"/>
          </w:rPr>
          <w:t>Quadro 5 - Indicadores de performances</w:t>
          <w:tab/>
          <w:t>58</w:t>
        </w:r>
        <w:r>
          <w:rPr>
            <w:webHidden/>
          </w:rPr>
          <w:fldChar w:fldCharType="end"/>
        </w:r>
      </w:hyperlink>
    </w:p>
    <w:p>
      <w:pPr>
        <w:pStyle w:val="TableofFigures"/>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35197276">
        <w:r>
          <w:rPr>
            <w:webHidden/>
          </w:rPr>
          <w:fldChar w:fldCharType="begin"/>
        </w:r>
        <w:r>
          <w:rPr>
            <w:webHidden/>
          </w:rPr>
          <w:instrText xml:space="preserve">PAGEREF _Toc235197276 \h</w:instrText>
        </w:r>
        <w:r>
          <w:rPr>
            <w:webHidden/>
          </w:rPr>
          <w:fldChar w:fldCharType="separate"/>
        </w:r>
        <w:r>
          <w:rPr>
            <w:rStyle w:val="IndexLink"/>
            <w:rFonts w:eastAsia="Times New Roman" w:cs="Times New Roman"/>
            <w:sz w:val="24"/>
            <w:szCs w:val="24"/>
          </w:rPr>
          <w:t>Quadro 6 - Classificação metodológica</w:t>
          <w:tab/>
          <w:t>71</w:t>
        </w:r>
        <w:r>
          <w:rPr>
            <w:webHidden/>
          </w:rPr>
          <w:fldChar w:fldCharType="end"/>
        </w:r>
      </w:hyperlink>
    </w:p>
    <w:p>
      <w:pPr>
        <w:pStyle w:val="TableofFigures"/>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35197277">
        <w:r>
          <w:rPr>
            <w:webHidden/>
          </w:rPr>
          <w:fldChar w:fldCharType="begin"/>
        </w:r>
        <w:r>
          <w:rPr>
            <w:webHidden/>
          </w:rPr>
          <w:instrText xml:space="preserve">PAGEREF _Toc235197277 \h</w:instrText>
        </w:r>
        <w:r>
          <w:rPr>
            <w:webHidden/>
          </w:rPr>
          <w:fldChar w:fldCharType="separate"/>
        </w:r>
        <w:r>
          <w:rPr>
            <w:rStyle w:val="IndexLink"/>
            <w:rFonts w:eastAsia="Times New Roman" w:cs="Times New Roman"/>
            <w:sz w:val="24"/>
            <w:szCs w:val="24"/>
          </w:rPr>
          <w:t>Quadro 7 - Escala Likert de relevância para parametrização dos pesos do framework EVTEAS-Py</w:t>
          <w:tab/>
          <w:t>77</w:t>
        </w:r>
        <w:r>
          <w:rPr>
            <w:webHidden/>
          </w:rPr>
          <w:fldChar w:fldCharType="end"/>
        </w:r>
      </w:hyperlink>
    </w:p>
    <w:p>
      <w:pPr>
        <w:pStyle w:val="TableofFigures"/>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35197278">
        <w:r>
          <w:rPr>
            <w:webHidden/>
          </w:rPr>
          <w:fldChar w:fldCharType="begin"/>
        </w:r>
        <w:r>
          <w:rPr>
            <w:webHidden/>
          </w:rPr>
          <w:instrText xml:space="preserve">PAGEREF _Toc235197278 \h</w:instrText>
        </w:r>
        <w:r>
          <w:rPr>
            <w:webHidden/>
          </w:rPr>
          <w:fldChar w:fldCharType="separate"/>
        </w:r>
        <w:r>
          <w:rPr>
            <w:rStyle w:val="IndexLink"/>
            <w:rFonts w:eastAsia="Times New Roman" w:cs="Times New Roman"/>
            <w:sz w:val="24"/>
            <w:szCs w:val="24"/>
          </w:rPr>
          <w:t>Quadro 8 - Atividades inerentes à dissertação</w:t>
          <w:tab/>
          <w:t>86</w:t>
        </w:r>
        <w:r>
          <w:rPr>
            <w:webHidden/>
          </w:rPr>
          <w:fldChar w:fldCharType="end"/>
        </w:r>
      </w:hyperlink>
    </w:p>
    <w:p>
      <w:pPr>
        <w:pStyle w:val="TableofFigures"/>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35197279">
        <w:r>
          <w:rPr>
            <w:webHidden/>
          </w:rPr>
          <w:fldChar w:fldCharType="begin"/>
        </w:r>
        <w:r>
          <w:rPr>
            <w:webHidden/>
          </w:rPr>
          <w:instrText xml:space="preserve">PAGEREF _Toc235197279 \h</w:instrText>
        </w:r>
        <w:r>
          <w:rPr>
            <w:webHidden/>
          </w:rPr>
          <w:fldChar w:fldCharType="separate"/>
        </w:r>
        <w:r>
          <w:rPr>
            <w:rStyle w:val="IndexLink"/>
            <w:rFonts w:eastAsia="Times New Roman" w:cs="Times New Roman"/>
            <w:sz w:val="24"/>
            <w:szCs w:val="24"/>
          </w:rPr>
          <w:t>Quadro 9 - Cronograma mensal de execução das tarefas (jun/2026 a fev/2027)</w:t>
          <w:tab/>
          <w:t>90</w:t>
        </w:r>
        <w:r>
          <w:rPr>
            <w:webHidden/>
          </w:rPr>
          <w:fldChar w:fldCharType="end"/>
        </w:r>
      </w:hyperlink>
      <w:r>
        <w:rPr>
          <w:rStyle w:val="IndexLink"/>
          <w:sz w:val="24"/>
          <w:szCs w:val="24"/>
          <w:rFonts w:eastAsia="Times New Roman" w:cs="Times New Roman"/>
        </w:rPr>
        <w:fldChar w:fldCharType="end"/>
      </w:r>
    </w:p>
    <w:p>
      <w:pPr>
        <w:pStyle w:val="TableofFigures"/>
        <w:tabs>
          <w:tab w:val="clear" w:pos="720"/>
          <w:tab w:val="right" w:pos="8494" w:leader="dot"/>
        </w:tabs>
        <w:spacing w:lineRule="auto" w:line="360"/>
        <w:rPr>
          <w:rFonts w:ascii="Calibri" w:hAnsi="Calibri" w:eastAsia="" w:cs="" w:asciiTheme="minorHAnsi" w:cstheme="minorBidi" w:eastAsiaTheme="minorEastAsia" w:hAnsiTheme="minorHAnsi"/>
          <w:kern w:val="2"/>
          <w:sz w:val="24"/>
          <w:szCs w:val="24"/>
          <w14:ligatures w14:val="standardContextual"/>
        </w:rPr>
      </w:pPr>
      <w:r>
        <w:rPr>
          <w:rFonts w:eastAsia="" w:cs="" w:cstheme="minorBidi" w:eastAsiaTheme="minorEastAsia" w:ascii="Calibri" w:hAnsi="Calibri"/>
          <w:kern w:val="2"/>
          <w:sz w:val="24"/>
          <w:szCs w:val="24"/>
          <w14:ligatures w14:val="standardContextual"/>
        </w:rPr>
      </w:r>
      <w:r>
        <w:br w:type="page"/>
      </w:r>
    </w:p>
    <w:p>
      <w:pPr>
        <w:pStyle w:val="Normal"/>
        <w:spacing w:lineRule="auto" w:line="360" w:before="0" w:after="0"/>
        <w:jc w:val="center"/>
        <w:rPr>
          <w:rFonts w:ascii="Times New Roman" w:hAnsi="Times New Roman" w:eastAsia="Times New Roman" w:cs="Times New Roman"/>
          <w:b/>
          <w:bCs/>
          <w:sz w:val="24"/>
          <w:szCs w:val="24"/>
        </w:rPr>
      </w:pPr>
      <w:r>
        <w:rPr>
          <w:rFonts w:eastAsia="Times New Roman" w:cs="Times New Roman"/>
          <w:b/>
          <w:bCs/>
          <w:sz w:val="24"/>
          <w:szCs w:val="24"/>
        </w:rPr>
        <w:t>LISTA DE FIGURAS</w:t>
      </w:r>
    </w:p>
    <w:p>
      <w:pPr>
        <w:pStyle w:val="TableofFigures"/>
        <w:tabs>
          <w:tab w:val="clear" w:pos="720"/>
          <w:tab w:val="right" w:pos="8494" w:leader="dot"/>
        </w:tabs>
        <w:rPr>
          <w:rStyle w:val="Hyperlink"/>
          <w:rFonts w:ascii="Calibri" w:hAnsi="Calibri" w:cs="Calibri"/>
        </w:rPr>
      </w:pPr>
      <w:r>
        <w:fldChar w:fldCharType="begin"/>
      </w:r>
      <w:r>
        <w:rPr>
          <w:rStyle w:val="IndexLink"/>
          <w:sz w:val="24"/>
          <w:szCs w:val="24"/>
          <w:rFonts w:eastAsia="Times New Roman" w:cs="Times New Roman"/>
        </w:rPr>
        <w:instrText xml:space="preserve"> TOC \c "Figura" \h </w:instrText>
      </w:r>
      <w:r>
        <w:rPr>
          <w:rStyle w:val="IndexLink"/>
          <w:sz w:val="24"/>
          <w:szCs w:val="24"/>
          <w:rFonts w:eastAsia="Times New Roman" w:cs="Times New Roman"/>
        </w:rPr>
        <w:fldChar w:fldCharType="separate"/>
      </w:r>
      <w:hyperlink w:anchor="_Toc240362122">
        <w:r>
          <w:rPr>
            <w:rStyle w:val="IndexLink"/>
            <w:rFonts w:eastAsia="Times New Roman" w:cs="Times New Roman"/>
            <w:sz w:val="24"/>
            <w:szCs w:val="24"/>
          </w:rPr>
          <w:t>Figura 1 - Fluxograma PRISMA</w:t>
        </w:r>
        <w:r>
          <w:rPr>
            <w:webHidden/>
          </w:rPr>
          <w:fldChar w:fldCharType="begin"/>
        </w:r>
        <w:r>
          <w:rPr>
            <w:webHidden/>
          </w:rPr>
          <w:instrText xml:space="preserve">PAGEREF _Toc240362122 \h</w:instrText>
        </w:r>
        <w:r>
          <w:rPr>
            <w:webHidden/>
          </w:rPr>
          <w:fldChar w:fldCharType="separate"/>
        </w:r>
        <w:r>
          <w:rPr>
            <w:rStyle w:val="IndexLink"/>
            <w:rFonts w:eastAsia="Times New Roman" w:cs="Times New Roman"/>
            <w:sz w:val="24"/>
            <w:szCs w:val="24"/>
          </w:rPr>
          <w:tab/>
          <w:t>26</w:t>
        </w:r>
        <w:r>
          <w:rPr>
            <w:webHidden/>
          </w:rPr>
          <w:fldChar w:fldCharType="end"/>
        </w:r>
      </w:hyperlink>
    </w:p>
    <w:p>
      <w:pPr>
        <w:pStyle w:val="TableofFigures"/>
        <w:tabs>
          <w:tab w:val="clear" w:pos="720"/>
          <w:tab w:val="right" w:pos="8494" w:leader="dot"/>
        </w:tabs>
        <w:rPr>
          <w:rFonts w:ascii="Calibri" w:hAnsi="Calibri" w:cs="Calibri"/>
        </w:rPr>
      </w:pPr>
      <w:hyperlink w:anchor="_Toc240362123">
        <w:r>
          <w:rPr>
            <w:webHidden/>
          </w:rPr>
          <w:fldChar w:fldCharType="begin"/>
        </w:r>
        <w:r>
          <w:rPr>
            <w:webHidden/>
          </w:rPr>
          <w:instrText xml:space="preserve">PAGEREF _Toc240362123 \h</w:instrText>
        </w:r>
        <w:r>
          <w:rPr>
            <w:webHidden/>
          </w:rPr>
          <w:fldChar w:fldCharType="separate"/>
        </w:r>
        <w:r>
          <w:rPr>
            <w:rStyle w:val="IndexLink"/>
            <w:rFonts w:eastAsia="Times New Roman" w:cs="Times New Roman"/>
            <w:sz w:val="24"/>
            <w:szCs w:val="24"/>
          </w:rPr>
          <w:t>Figura 2 - Rede de coocorrência das palavras-chave identificadas no corpus da RSL</w:t>
          <w:tab/>
          <w:t>33</w:t>
        </w:r>
        <w:r>
          <w:rPr>
            <w:webHidden/>
          </w:rPr>
          <w:fldChar w:fldCharType="end"/>
        </w:r>
      </w:hyperlink>
    </w:p>
    <w:p>
      <w:pPr>
        <w:pStyle w:val="TableofFigures"/>
        <w:tabs>
          <w:tab w:val="clear" w:pos="720"/>
          <w:tab w:val="right" w:pos="8494" w:leader="dot"/>
        </w:tabs>
        <w:rPr>
          <w:rFonts w:ascii="Calibri" w:hAnsi="Calibri" w:cs="Calibri"/>
        </w:rPr>
      </w:pPr>
      <w:hyperlink w:anchor="_Toc240362124">
        <w:r>
          <w:rPr>
            <w:webHidden/>
          </w:rPr>
          <w:fldChar w:fldCharType="begin"/>
        </w:r>
        <w:r>
          <w:rPr>
            <w:webHidden/>
          </w:rPr>
          <w:instrText xml:space="preserve">PAGEREF _Toc240362124 \h</w:instrText>
        </w:r>
        <w:r>
          <w:rPr>
            <w:webHidden/>
          </w:rPr>
          <w:fldChar w:fldCharType="separate"/>
        </w:r>
        <w:r>
          <w:rPr>
            <w:rStyle w:val="IndexLink"/>
            <w:rFonts w:eastAsia="Times New Roman" w:cs="Times New Roman"/>
            <w:sz w:val="24"/>
            <w:szCs w:val="24"/>
          </w:rPr>
          <w:t>Figura 3 - Visualização por sobreposição temporal da coocorrência de palavras-chave no corpus da revisão sistemática</w:t>
          <w:tab/>
          <w:t>34</w:t>
        </w:r>
        <w:r>
          <w:rPr>
            <w:webHidden/>
          </w:rPr>
          <w:fldChar w:fldCharType="end"/>
        </w:r>
      </w:hyperlink>
    </w:p>
    <w:p>
      <w:pPr>
        <w:pStyle w:val="TableofFigures"/>
        <w:tabs>
          <w:tab w:val="clear" w:pos="720"/>
          <w:tab w:val="right" w:pos="8494" w:leader="dot"/>
        </w:tabs>
        <w:rPr>
          <w:rFonts w:ascii="Calibri" w:hAnsi="Calibri" w:cs="Calibri"/>
        </w:rPr>
      </w:pPr>
      <w:hyperlink w:anchor="_Toc240362125">
        <w:r>
          <w:rPr>
            <w:webHidden/>
          </w:rPr>
          <w:fldChar w:fldCharType="begin"/>
        </w:r>
        <w:r>
          <w:rPr>
            <w:webHidden/>
          </w:rPr>
          <w:instrText xml:space="preserve">PAGEREF _Toc240362125 \h</w:instrText>
        </w:r>
        <w:r>
          <w:rPr>
            <w:webHidden/>
          </w:rPr>
          <w:fldChar w:fldCharType="separate"/>
        </w:r>
        <w:r>
          <w:rPr>
            <w:rStyle w:val="IndexLink"/>
            <w:rFonts w:eastAsia="Times New Roman" w:cs="Times New Roman"/>
            <w:sz w:val="24"/>
            <w:szCs w:val="24"/>
          </w:rPr>
          <w:t>Figura 4 - Mapa de densidade da coocorrência de palavras-chave no corpus da revisão sistemática</w:t>
          <w:tab/>
          <w:t>35</w:t>
        </w:r>
        <w:r>
          <w:rPr>
            <w:webHidden/>
          </w:rPr>
          <w:fldChar w:fldCharType="end"/>
        </w:r>
      </w:hyperlink>
    </w:p>
    <w:p>
      <w:pPr>
        <w:pStyle w:val="TableofFigures"/>
        <w:tabs>
          <w:tab w:val="clear" w:pos="720"/>
          <w:tab w:val="right" w:pos="8494" w:leader="dot"/>
        </w:tabs>
        <w:rPr>
          <w:rFonts w:ascii="Calibri" w:hAnsi="Calibri" w:cs="Calibri"/>
        </w:rPr>
      </w:pPr>
      <w:hyperlink w:anchor="_Toc231132091">
        <w:r>
          <w:rPr>
            <w:webHidden/>
          </w:rPr>
          <w:fldChar w:fldCharType="begin"/>
        </w:r>
        <w:r>
          <w:rPr>
            <w:webHidden/>
          </w:rPr>
          <w:instrText xml:space="preserve">PAGEREF _Toc231132091 \h</w:instrText>
        </w:r>
        <w:r>
          <w:rPr>
            <w:webHidden/>
          </w:rPr>
          <w:fldChar w:fldCharType="separate"/>
        </w:r>
        <w:r>
          <w:rPr>
            <w:rStyle w:val="IndexLink"/>
            <w:rFonts w:eastAsia="Times New Roman" w:cs="Times New Roman"/>
            <w:sz w:val="24"/>
            <w:szCs w:val="24"/>
          </w:rPr>
          <w:t>Figura 5 - Impacto do efluente não tratado da aquicultura no meio ambiente e nos seres humanos</w:t>
          <w:tab/>
          <w:t>42</w:t>
        </w:r>
        <w:r>
          <w:rPr>
            <w:webHidden/>
          </w:rPr>
          <w:fldChar w:fldCharType="end"/>
        </w:r>
      </w:hyperlink>
    </w:p>
    <w:p>
      <w:pPr>
        <w:pStyle w:val="TableofFigures"/>
        <w:tabs>
          <w:tab w:val="clear" w:pos="720"/>
          <w:tab w:val="right" w:pos="8494" w:leader="dot"/>
        </w:tabs>
        <w:rPr>
          <w:rFonts w:ascii="Calibri" w:hAnsi="Calibri" w:cs="Calibri"/>
        </w:rPr>
      </w:pPr>
      <w:hyperlink w:anchor="_Toc231132092">
        <w:r>
          <w:rPr>
            <w:webHidden/>
          </w:rPr>
          <w:fldChar w:fldCharType="begin"/>
        </w:r>
        <w:r>
          <w:rPr>
            <w:webHidden/>
          </w:rPr>
          <w:instrText xml:space="preserve">PAGEREF _Toc231132092 \h</w:instrText>
        </w:r>
        <w:r>
          <w:rPr>
            <w:webHidden/>
          </w:rPr>
          <w:fldChar w:fldCharType="separate"/>
        </w:r>
        <w:r>
          <w:rPr>
            <w:rStyle w:val="IndexLink"/>
            <w:rFonts w:eastAsia="Times New Roman" w:cs="Times New Roman"/>
            <w:sz w:val="24"/>
            <w:szCs w:val="24"/>
          </w:rPr>
          <w:t>Figura 6 - Panorama técnico-operacional do uso de P. tricornutum na remediação de águas residuais</w:t>
          <w:tab/>
          <w:t>43</w:t>
        </w:r>
        <w:r>
          <w:rPr>
            <w:webHidden/>
          </w:rPr>
          <w:fldChar w:fldCharType="end"/>
        </w:r>
      </w:hyperlink>
    </w:p>
    <w:p>
      <w:pPr>
        <w:pStyle w:val="TableofFigures"/>
        <w:tabs>
          <w:tab w:val="clear" w:pos="720"/>
          <w:tab w:val="right" w:pos="8494" w:leader="dot"/>
        </w:tabs>
        <w:rPr>
          <w:rFonts w:ascii="Calibri" w:hAnsi="Calibri" w:cs="Calibri"/>
        </w:rPr>
      </w:pPr>
      <w:hyperlink w:anchor="_Toc231132093">
        <w:r>
          <w:rPr>
            <w:webHidden/>
          </w:rPr>
          <w:fldChar w:fldCharType="begin"/>
        </w:r>
        <w:r>
          <w:rPr>
            <w:webHidden/>
          </w:rPr>
          <w:instrText xml:space="preserve">PAGEREF _Toc231132093 \h</w:instrText>
        </w:r>
        <w:r>
          <w:rPr>
            <w:webHidden/>
          </w:rPr>
          <w:fldChar w:fldCharType="separate"/>
        </w:r>
        <w:r>
          <w:rPr>
            <w:rStyle w:val="IndexLink"/>
            <w:rFonts w:eastAsia="Times New Roman" w:cs="Times New Roman"/>
            <w:sz w:val="24"/>
            <w:szCs w:val="24"/>
          </w:rPr>
          <w:t>Figura 7 - Panorama técnico-operacional do uso de microalgas na remediação de águas residuais em sistema de recirculação aquícola (RAS)</w:t>
          <w:tab/>
          <w:t>44</w:t>
        </w:r>
        <w:r>
          <w:rPr>
            <w:webHidden/>
          </w:rPr>
          <w:fldChar w:fldCharType="end"/>
        </w:r>
      </w:hyperlink>
    </w:p>
    <w:p>
      <w:pPr>
        <w:pStyle w:val="TableofFigures"/>
        <w:tabs>
          <w:tab w:val="clear" w:pos="720"/>
          <w:tab w:val="right" w:pos="8494" w:leader="dot"/>
        </w:tabs>
        <w:rPr>
          <w:rFonts w:ascii="Calibri" w:hAnsi="Calibri" w:cs="Calibri"/>
        </w:rPr>
      </w:pPr>
      <w:hyperlink w:anchor="_Toc240362129">
        <w:r>
          <w:rPr>
            <w:webHidden/>
          </w:rPr>
          <w:fldChar w:fldCharType="begin"/>
        </w:r>
        <w:r>
          <w:rPr>
            <w:webHidden/>
          </w:rPr>
          <w:instrText xml:space="preserve">PAGEREF _Toc240362129 \h</w:instrText>
        </w:r>
        <w:r>
          <w:rPr>
            <w:webHidden/>
          </w:rPr>
          <w:fldChar w:fldCharType="separate"/>
        </w:r>
        <w:r>
          <w:rPr>
            <w:rStyle w:val="IndexLink"/>
            <w:rFonts w:eastAsia="Times New Roman" w:cs="Times New Roman"/>
            <w:sz w:val="24"/>
            <w:szCs w:val="24"/>
          </w:rPr>
          <w:t>Figura 8 - Adaptação de framework esquemático de viabilidade para piscicultura</w:t>
          <w:tab/>
          <w:t>46</w:t>
        </w:r>
        <w:r>
          <w:rPr>
            <w:webHidden/>
          </w:rPr>
          <w:fldChar w:fldCharType="end"/>
        </w:r>
      </w:hyperlink>
    </w:p>
    <w:p>
      <w:pPr>
        <w:pStyle w:val="TableofFigures"/>
        <w:tabs>
          <w:tab w:val="clear" w:pos="720"/>
          <w:tab w:val="right" w:pos="8494" w:leader="dot"/>
        </w:tabs>
        <w:rPr>
          <w:rFonts w:ascii="Calibri" w:hAnsi="Calibri" w:cs="Calibri"/>
        </w:rPr>
      </w:pPr>
      <w:hyperlink w:anchor="_Toc240362130">
        <w:r>
          <w:rPr>
            <w:webHidden/>
          </w:rPr>
          <w:fldChar w:fldCharType="begin"/>
        </w:r>
        <w:r>
          <w:rPr>
            <w:webHidden/>
          </w:rPr>
          <w:instrText xml:space="preserve">PAGEREF _Toc240362130 \h</w:instrText>
        </w:r>
        <w:r>
          <w:rPr>
            <w:webHidden/>
          </w:rPr>
          <w:fldChar w:fldCharType="separate"/>
        </w:r>
        <w:r>
          <w:rPr>
            <w:rStyle w:val="IndexLink"/>
            <w:rFonts w:eastAsia="Times New Roman" w:cs="Times New Roman"/>
            <w:sz w:val="24"/>
            <w:szCs w:val="24"/>
          </w:rPr>
          <w:t>Figura 9 - Modelos de economia linear, de reciclagem e circular na gestão da cadeia de suprimentos</w:t>
          <w:tab/>
          <w:t>47</w:t>
        </w:r>
        <w:r>
          <w:rPr>
            <w:webHidden/>
          </w:rPr>
          <w:fldChar w:fldCharType="end"/>
        </w:r>
      </w:hyperlink>
    </w:p>
    <w:p>
      <w:pPr>
        <w:pStyle w:val="TableofFigures"/>
        <w:tabs>
          <w:tab w:val="clear" w:pos="720"/>
          <w:tab w:val="right" w:pos="8494" w:leader="dot"/>
        </w:tabs>
        <w:rPr>
          <w:rFonts w:ascii="Calibri" w:hAnsi="Calibri" w:cs="Calibri"/>
        </w:rPr>
      </w:pPr>
      <w:hyperlink w:anchor="_Toc240362131">
        <w:r>
          <w:rPr>
            <w:webHidden/>
          </w:rPr>
          <w:fldChar w:fldCharType="begin"/>
        </w:r>
        <w:r>
          <w:rPr>
            <w:webHidden/>
          </w:rPr>
          <w:instrText xml:space="preserve">PAGEREF _Toc240362131 \h</w:instrText>
        </w:r>
        <w:r>
          <w:rPr>
            <w:webHidden/>
          </w:rPr>
          <w:fldChar w:fldCharType="separate"/>
        </w:r>
        <w:r>
          <w:rPr>
            <w:rStyle w:val="IndexLink"/>
            <w:rFonts w:eastAsia="Times New Roman" w:cs="Times New Roman"/>
            <w:sz w:val="24"/>
            <w:szCs w:val="24"/>
          </w:rPr>
          <w:t>Figura 10 - Mapa mental da metodologia de pesquisa</w:t>
          <w:tab/>
          <w:t>80</w:t>
        </w:r>
        <w:r>
          <w:rPr>
            <w:webHidden/>
          </w:rPr>
          <w:fldChar w:fldCharType="end"/>
        </w:r>
      </w:hyperlink>
      <w:r>
        <w:rPr>
          <w:rStyle w:val="IndexLink"/>
          <w:sz w:val="24"/>
          <w:szCs w:val="24"/>
          <w:rFonts w:eastAsia="Times New Roman" w:cs="Times New Roman"/>
        </w:rPr>
        <w:fldChar w:fldCharType="end"/>
      </w:r>
    </w:p>
    <w:p>
      <w:pPr>
        <w:pStyle w:val="TableofFigures"/>
        <w:tabs>
          <w:tab w:val="clear" w:pos="720"/>
          <w:tab w:val="right" w:pos="8494" w:leader="dot"/>
        </w:tabs>
        <w:spacing w:lineRule="auto" w:line="360"/>
        <w:rPr>
          <w:rFonts w:ascii="Calibri" w:hAnsi="Calibri" w:eastAsia="" w:cs="" w:asciiTheme="minorHAnsi" w:cstheme="minorBidi" w:eastAsiaTheme="minorEastAsia" w:hAnsiTheme="minorHAnsi"/>
          <w:kern w:val="2"/>
          <w:sz w:val="24"/>
          <w:szCs w:val="24"/>
          <w14:ligatures w14:val="standardContextual"/>
        </w:rPr>
      </w:pPr>
      <w:r>
        <w:rPr>
          <w:rFonts w:eastAsia="" w:cs="" w:cstheme="minorBidi" w:eastAsiaTheme="minorEastAsia" w:ascii="Calibri" w:hAnsi="Calibri"/>
          <w:kern w:val="2"/>
          <w:sz w:val="24"/>
          <w:szCs w:val="24"/>
          <w14:ligatures w14:val="standardContextual"/>
        </w:rPr>
      </w:r>
      <w:r>
        <w:br w:type="page"/>
      </w:r>
    </w:p>
    <w:p>
      <w:pPr>
        <w:pStyle w:val="Normal"/>
        <w:spacing w:lineRule="auto" w:line="360" w:before="0" w:after="0"/>
        <w:jc w:val="center"/>
        <w:rPr>
          <w:rFonts w:ascii="Times New Roman" w:hAnsi="Times New Roman" w:eastAsia="Times New Roman" w:cs="Times New Roman"/>
          <w:b/>
          <w:bCs/>
          <w:sz w:val="24"/>
          <w:szCs w:val="24"/>
        </w:rPr>
      </w:pPr>
      <w:r>
        <w:rPr>
          <w:rFonts w:eastAsia="Times New Roman" w:cs="Times New Roman"/>
          <w:b/>
          <w:bCs/>
          <w:sz w:val="24"/>
          <w:szCs w:val="24"/>
        </w:rPr>
        <w:t>LISTA DE TABELAS</w:t>
      </w:r>
    </w:p>
    <w:p>
      <w:pPr>
        <w:pStyle w:val="TableofFigures"/>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r>
        <w:fldChar w:fldCharType="begin"/>
      </w:r>
      <w:r>
        <w:rPr>
          <w:rStyle w:val="IndexLink"/>
          <w:rFonts w:cs="Calibri"/>
        </w:rPr>
        <w:instrText xml:space="preserve"> TOC \c "Tabela" \h </w:instrText>
      </w:r>
      <w:r>
        <w:rPr>
          <w:rStyle w:val="IndexLink"/>
          <w:rFonts w:cs="Calibri"/>
        </w:rPr>
        <w:fldChar w:fldCharType="separate"/>
      </w:r>
      <w:hyperlink w:anchor="_Toc242269266">
        <w:r>
          <w:rPr>
            <w:rStyle w:val="IndexLink"/>
            <w:rFonts w:cs="Calibri" w:cstheme="minorHAnsi"/>
          </w:rPr>
          <w:t>Tabela 1 - Artigos encontrados por eixo temático</w:t>
        </w:r>
        <w:r>
          <w:rPr>
            <w:webHidden/>
          </w:rPr>
          <w:fldChar w:fldCharType="begin"/>
        </w:r>
        <w:r>
          <w:rPr>
            <w:webHidden/>
          </w:rPr>
          <w:instrText xml:space="preserve">PAGEREF _Toc242269266 \h</w:instrText>
        </w:r>
        <w:r>
          <w:rPr>
            <w:webHidden/>
          </w:rPr>
          <w:fldChar w:fldCharType="separate"/>
        </w:r>
        <w:r>
          <w:rPr>
            <w:rStyle w:val="IndexLink"/>
          </w:rPr>
          <w:tab/>
          <w:t>1</w:t>
        </w:r>
        <w:r>
          <w:rPr>
            <w:webHidden/>
          </w:rPr>
          <w:fldChar w:fldCharType="end"/>
        </w:r>
      </w:hyperlink>
    </w:p>
    <w:p>
      <w:pPr>
        <w:pStyle w:val="TableofFigures"/>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67">
        <w:r>
          <w:rPr>
            <w:rStyle w:val="IndexLink"/>
            <w:rFonts w:cs="Calibri" w:cstheme="minorHAnsi"/>
          </w:rPr>
          <w:t xml:space="preserve">Tabela </w:t>
        </w:r>
        <w:r>
          <w:rPr>
            <w:rStyle w:val="IndexLink"/>
            <w:rFonts w:cs="Calibri" w:ascii="Calibri" w:hAnsi="Calibri"/>
          </w:rPr>
          <w:t>2</w:t>
        </w:r>
        <w:r>
          <w:rPr>
            <w:rStyle w:val="IndexLink"/>
            <w:rFonts w:cs="Calibri" w:cstheme="minorHAnsi"/>
          </w:rPr>
          <w:t xml:space="preserve"> - Artigos selecionados após o PRISMA</w:t>
        </w:r>
        <w:r>
          <w:rPr>
            <w:webHidden/>
          </w:rPr>
          <w:fldChar w:fldCharType="begin"/>
        </w:r>
        <w:r>
          <w:rPr>
            <w:webHidden/>
          </w:rPr>
          <w:instrText xml:space="preserve">PAGEREF _Toc242269267 \h</w:instrText>
        </w:r>
        <w:r>
          <w:rPr>
            <w:webHidden/>
          </w:rPr>
          <w:fldChar w:fldCharType="separate"/>
        </w:r>
        <w:r>
          <w:rPr>
            <w:rStyle w:val="IndexLink"/>
          </w:rPr>
          <w:tab/>
          <w:t>1</w:t>
        </w:r>
        <w:r>
          <w:rPr>
            <w:webHidden/>
          </w:rPr>
          <w:fldChar w:fldCharType="end"/>
        </w:r>
      </w:hyperlink>
      <w:r>
        <w:rPr>
          <w:rStyle w:val="IndexLink"/>
        </w:rPr>
        <w:fldChar w:fldCharType="end"/>
      </w:r>
    </w:p>
    <w:p>
      <w:pPr>
        <w:pStyle w:val="TableofFigures"/>
        <w:tabs>
          <w:tab w:val="clear" w:pos="720"/>
          <w:tab w:val="right" w:pos="8494" w:leader="dot"/>
        </w:tabs>
        <w:spacing w:lineRule="auto" w:line="360"/>
        <w:rPr>
          <w:rFonts w:ascii="Calibri" w:hAnsi="Calibri" w:eastAsia="" w:cs="" w:asciiTheme="minorHAnsi" w:cstheme="minorBidi" w:eastAsiaTheme="minorEastAsia" w:hAnsiTheme="minorHAnsi"/>
          <w:kern w:val="2"/>
          <w:sz w:val="24"/>
          <w:szCs w:val="24"/>
          <w14:ligatures w14:val="standardContextual"/>
        </w:rPr>
      </w:pPr>
      <w:r>
        <w:rPr>
          <w:rFonts w:eastAsia="" w:cs="" w:cstheme="minorBidi" w:eastAsiaTheme="minorEastAsia" w:ascii="Calibri" w:hAnsi="Calibri"/>
          <w:kern w:val="2"/>
          <w:sz w:val="24"/>
          <w:szCs w:val="24"/>
          <w14:ligatures w14:val="standardContextual"/>
        </w:rPr>
      </w:r>
    </w:p>
    <w:p>
      <w:pPr>
        <w:pStyle w:val="TOCHeading"/>
        <w:spacing w:lineRule="auto" w:line="360" w:before="0" w:after="0"/>
        <w:rPr>
          <w:sz w:val="22"/>
          <w:szCs w:val="22"/>
        </w:rPr>
      </w:pPr>
      <w:r>
        <w:rPr>
          <w:sz w:val="22"/>
          <w:szCs w:val="22"/>
        </w:rPr>
      </w:r>
    </w:p>
    <w:sdt>
      <w:sdtPr>
        <w:docPartObj>
          <w:docPartGallery w:val="Table of Contents"/>
          <w:docPartUnique w:val="true"/>
        </w:docPartObj>
      </w:sdtPr>
      <w:sdtContent>
        <w:p>
          <w:pPr>
            <w:pStyle w:val="Normal"/>
            <w:keepNext w:val="true"/>
            <w:keepLines/>
            <w:spacing w:lineRule="auto" w:line="360" w:before="0" w:after="0"/>
            <w:jc w:val="center"/>
            <w:rPr>
              <w:rFonts w:ascii="Calibri" w:hAnsi="Calibri" w:eastAsia="Calibri" w:cs="Calibri" w:asciiTheme="minorHAnsi" w:cstheme="minorHAnsi" w:hAnsiTheme="minorHAnsi"/>
              <w:b/>
              <w:bCs/>
              <w:color w:themeColor="text1" w:val="000000"/>
              <w:sz w:val="24"/>
              <w:szCs w:val="24"/>
            </w:rPr>
          </w:pPr>
          <w:r>
            <w:br w:type="page"/>
          </w:r>
          <w:r>
            <w:rPr>
              <w:rFonts w:eastAsia="Calibri" w:cs="Calibri" w:ascii="Calibri" w:hAnsi="Calibri" w:asciiTheme="minorHAnsi" w:cstheme="minorHAnsi" w:hAnsiTheme="minorHAnsi"/>
              <w:b/>
              <w:bCs/>
              <w:color w:themeColor="text1" w:val="000000"/>
              <w:sz w:val="24"/>
              <w:szCs w:val="24"/>
            </w:rPr>
            <w:t>SUMÁRIO</w:t>
          </w:r>
        </w:p>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r>
            <w:fldChar w:fldCharType="begin"/>
          </w:r>
          <w:r>
            <w:rPr>
              <w:webHidden/>
              <w:rStyle w:val="IndexLink"/>
              <w:sz w:val="24"/>
              <w:b/>
              <w:szCs w:val="24"/>
              <w:bCs/>
              <w:rFonts w:eastAsia="Times New Roman" w:cs="Calibri" w:ascii="Calibri" w:hAnsi="Calibri"/>
            </w:rPr>
            <w:instrText xml:space="preserve"> TOC \z \o "1-3" \u \h</w:instrText>
          </w:r>
          <w:r>
            <w:rPr>
              <w:webHidden/>
              <w:rStyle w:val="IndexLink"/>
              <w:sz w:val="24"/>
              <w:b/>
              <w:szCs w:val="24"/>
              <w:bCs/>
              <w:rFonts w:eastAsia="Times New Roman" w:cs="Calibri" w:ascii="Calibri" w:hAnsi="Calibri"/>
            </w:rPr>
            <w:fldChar w:fldCharType="separate"/>
          </w:r>
          <w:hyperlink w:anchor="_Toc242269268">
            <w:r>
              <w:rPr>
                <w:webHidden/>
                <w:rStyle w:val="IndexLink"/>
                <w:rFonts w:eastAsia="Times New Roman" w:cs="Calibri" w:ascii="Calibri" w:hAnsi="Calibri"/>
                <w:b/>
                <w:bCs/>
                <w:sz w:val="24"/>
                <w:szCs w:val="24"/>
              </w:rPr>
              <w:t>SUMÁRIO</w:t>
            </w:r>
            <w:r>
              <w:rPr>
                <w:webHidden/>
              </w:rPr>
              <w:fldChar w:fldCharType="begin"/>
            </w:r>
            <w:r>
              <w:rPr>
                <w:webHidden/>
              </w:rPr>
              <w:instrText xml:space="preserve">PAGEREF _Toc242269268 \h</w:instrText>
            </w:r>
            <w:r>
              <w:rPr>
                <w:webHidden/>
              </w:rPr>
              <w:fldChar w:fldCharType="separate"/>
            </w:r>
            <w:r>
              <w:rPr>
                <w:rStyle w:val="IndexLink"/>
                <w:vanish w:val="false"/>
              </w:rPr>
              <w:tab/>
              <w:t>1</w:t>
            </w:r>
            <w:r>
              <w:rPr>
                <w:webHidden/>
              </w:rPr>
              <w:fldChar w:fldCharType="end"/>
            </w:r>
          </w:hyperlink>
        </w:p>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69">
            <w:r>
              <w:rPr>
                <w:webHidden/>
                <w:rStyle w:val="IndexLink"/>
              </w:rPr>
              <w:t>LISTA DE CÓDIGOS</w:t>
            </w:r>
            <w:r>
              <w:rPr>
                <w:webHidden/>
              </w:rPr>
              <w:fldChar w:fldCharType="begin"/>
            </w:r>
            <w:r>
              <w:rPr>
                <w:webHidden/>
              </w:rPr>
              <w:instrText xml:space="preserve">PAGEREF _Toc242269269 \h</w:instrText>
            </w:r>
            <w:r>
              <w:rPr>
                <w:webHidden/>
              </w:rPr>
              <w:fldChar w:fldCharType="separate"/>
            </w:r>
            <w:r>
              <w:rPr>
                <w:rStyle w:val="IndexLink"/>
                <w:vanish w:val="false"/>
              </w:rPr>
              <w:tab/>
              <w:t>1</w:t>
            </w:r>
            <w:r>
              <w:rPr>
                <w:webHidden/>
              </w:rPr>
              <w:fldChar w:fldCharType="end"/>
            </w:r>
          </w:hyperlink>
        </w:p>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70">
            <w:r>
              <w:rPr>
                <w:webHidden/>
                <w:rStyle w:val="IndexLink"/>
                <w:rFonts w:eastAsia="Times New Roman" w:cs="Times New Roman"/>
                <w:b/>
                <w:bCs/>
              </w:rPr>
              <w:t>1 INTRODUÇÃO</w:t>
            </w:r>
            <w:r>
              <w:rPr>
                <w:webHidden/>
              </w:rPr>
              <w:fldChar w:fldCharType="begin"/>
            </w:r>
            <w:r>
              <w:rPr>
                <w:webHidden/>
              </w:rPr>
              <w:instrText xml:space="preserve">PAGEREF _Toc242269270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71">
            <w:r>
              <w:rPr>
                <w:webHidden/>
                <w:rStyle w:val="IndexLink"/>
              </w:rPr>
              <w:t>1.1 Objetivos</w:t>
            </w:r>
            <w:r>
              <w:rPr>
                <w:webHidden/>
              </w:rPr>
              <w:fldChar w:fldCharType="begin"/>
            </w:r>
            <w:r>
              <w:rPr>
                <w:webHidden/>
              </w:rPr>
              <w:instrText xml:space="preserve">PAGEREF _Toc242269271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72">
            <w:r>
              <w:rPr>
                <w:webHidden/>
                <w:rStyle w:val="IndexLink"/>
              </w:rPr>
              <w:t>1.2 Justificativa</w:t>
            </w:r>
            <w:r>
              <w:rPr>
                <w:webHidden/>
              </w:rPr>
              <w:fldChar w:fldCharType="begin"/>
            </w:r>
            <w:r>
              <w:rPr>
                <w:webHidden/>
              </w:rPr>
              <w:instrText xml:space="preserve">PAGEREF _Toc242269272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73">
            <w:r>
              <w:rPr>
                <w:webHidden/>
                <w:rStyle w:val="IndexLink"/>
              </w:rPr>
              <w:t>1.3 O Problema de pesquisa e a hipótese</w:t>
            </w:r>
            <w:r>
              <w:rPr>
                <w:webHidden/>
              </w:rPr>
              <w:fldChar w:fldCharType="begin"/>
            </w:r>
            <w:r>
              <w:rPr>
                <w:webHidden/>
              </w:rPr>
              <w:instrText xml:space="preserve">PAGEREF _Toc242269273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74">
            <w:r>
              <w:rPr>
                <w:webHidden/>
                <w:rStyle w:val="IndexLink"/>
              </w:rPr>
              <w:t>1.4 Estrutura e delimitação da Dissertação</w:t>
            </w:r>
            <w:r>
              <w:rPr>
                <w:webHidden/>
              </w:rPr>
              <w:fldChar w:fldCharType="begin"/>
            </w:r>
            <w:r>
              <w:rPr>
                <w:webHidden/>
              </w:rPr>
              <w:instrText xml:space="preserve">PAGEREF _Toc242269274 \h</w:instrText>
            </w:r>
            <w:r>
              <w:rPr>
                <w:webHidden/>
              </w:rPr>
              <w:fldChar w:fldCharType="separate"/>
            </w:r>
            <w:r>
              <w:rPr>
                <w:rStyle w:val="IndexLink"/>
                <w:vanish w:val="false"/>
              </w:rPr>
              <w:tab/>
              <w:t>1</w:t>
            </w:r>
            <w:r>
              <w:rPr>
                <w:webHidden/>
              </w:rPr>
              <w:fldChar w:fldCharType="end"/>
            </w:r>
          </w:hyperlink>
        </w:p>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75">
            <w:r>
              <w:rPr>
                <w:webHidden/>
                <w:rStyle w:val="IndexLink"/>
                <w:rFonts w:eastAsia="Times New Roman" w:cs="Times New Roman"/>
                <w:b/>
                <w:bCs/>
              </w:rPr>
              <w:t>2 REFERENCIAL TEÓRICO</w:t>
            </w:r>
            <w:r>
              <w:rPr>
                <w:webHidden/>
              </w:rPr>
              <w:fldChar w:fldCharType="begin"/>
            </w:r>
            <w:r>
              <w:rPr>
                <w:webHidden/>
              </w:rPr>
              <w:instrText xml:space="preserve">PAGEREF _Toc242269275 \h</w:instrText>
            </w:r>
            <w:r>
              <w:rPr>
                <w:webHidden/>
              </w:rPr>
              <w:fldChar w:fldCharType="separate"/>
            </w:r>
            <w:r>
              <w:rPr>
                <w:rStyle w:val="IndexLink"/>
                <w:vanish w:val="false"/>
              </w:rPr>
              <w:tab/>
              <w:t>1</w:t>
            </w:r>
            <w:r>
              <w:rPr>
                <w:webHidden/>
              </w:rPr>
              <w:fldChar w:fldCharType="end"/>
            </w:r>
          </w:hyperlink>
        </w:p>
        <w:p>
          <w:pPr>
            <w:pStyle w:val="TOC2"/>
            <w:tabs>
              <w:tab w:val="left" w:pos="720" w:leader="none"/>
              <w:tab w:val="right" w:pos="8494" w:leader="dot"/>
            </w:tabs>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76">
            <w:r>
              <w:rPr>
                <w:webHidden/>
                <w:rStyle w:val="IndexLink"/>
              </w:rPr>
              <w:t>2.1</w:t>
            </w:r>
            <w:r>
              <w:rPr>
                <w:rStyle w:val="IndexLink"/>
                <w:rFonts w:eastAsia="" w:cs="" w:ascii="Calibri" w:hAnsi="Calibri" w:asciiTheme="minorHAnsi" w:cstheme="minorBidi" w:eastAsiaTheme="minorEastAsia" w:hAnsiTheme="minorHAnsi"/>
                <w:b w:val="false"/>
                <w:bCs w:val="false"/>
                <w:kern w:val="2"/>
                <w:sz w:val="24"/>
                <w:szCs w:val="24"/>
                <w14:ligatures w14:val="standardContextual"/>
              </w:rPr>
              <w:tab/>
            </w:r>
            <w:r>
              <w:rPr>
                <w:rStyle w:val="IndexLink"/>
              </w:rPr>
              <w:t>Protocolo de busca para realização do PRISMA</w:t>
            </w:r>
            <w:r>
              <w:rPr>
                <w:webHidden/>
              </w:rPr>
              <w:fldChar w:fldCharType="begin"/>
            </w:r>
            <w:r>
              <w:rPr>
                <w:webHidden/>
              </w:rPr>
              <w:instrText xml:space="preserve">PAGEREF _Toc242269276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77">
            <w:r>
              <w:rPr>
                <w:webHidden/>
                <w:rStyle w:val="IndexLink"/>
                <w:rFonts w:eastAsia="Times New Roman" w:cs="Times New Roman"/>
                <w:b/>
                <w:bCs/>
              </w:rPr>
              <w:t>2.1.1 Bases de dados consultadas</w:t>
            </w:r>
            <w:r>
              <w:rPr>
                <w:webHidden/>
              </w:rPr>
              <w:fldChar w:fldCharType="begin"/>
            </w:r>
            <w:r>
              <w:rPr>
                <w:webHidden/>
              </w:rPr>
              <w:instrText xml:space="preserve">PAGEREF _Toc242269277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78">
            <w:r>
              <w:rPr>
                <w:webHidden/>
                <w:rStyle w:val="IndexLink"/>
                <w:rFonts w:eastAsia="Times New Roman" w:cs="Times New Roman"/>
                <w:b/>
                <w:bCs/>
              </w:rPr>
              <w:t xml:space="preserve">2.1.2 </w:t>
            </w:r>
            <w:r>
              <w:rPr>
                <w:rStyle w:val="IndexLink"/>
                <w:rFonts w:eastAsia="Times New Roman" w:cs="Times New Roman"/>
                <w:b/>
                <w:bCs/>
                <w:i/>
                <w:iCs/>
              </w:rPr>
              <w:t xml:space="preserve">Strings </w:t>
            </w:r>
            <w:r>
              <w:rPr>
                <w:rStyle w:val="IndexLink"/>
                <w:rFonts w:eastAsia="Times New Roman" w:cs="Times New Roman"/>
                <w:b/>
                <w:bCs/>
              </w:rPr>
              <w:t>de busca por eixo temático</w:t>
            </w:r>
            <w:r>
              <w:rPr>
                <w:webHidden/>
              </w:rPr>
              <w:fldChar w:fldCharType="begin"/>
            </w:r>
            <w:r>
              <w:rPr>
                <w:webHidden/>
              </w:rPr>
              <w:instrText xml:space="preserve">PAGEREF _Toc242269278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79">
            <w:r>
              <w:rPr>
                <w:webHidden/>
                <w:rStyle w:val="IndexLink"/>
              </w:rPr>
              <w:t>2.2 Processo de seleção – Fluxo PRISMA</w:t>
            </w:r>
            <w:r>
              <w:rPr>
                <w:webHidden/>
              </w:rPr>
              <w:fldChar w:fldCharType="begin"/>
            </w:r>
            <w:r>
              <w:rPr>
                <w:webHidden/>
              </w:rPr>
              <w:instrText xml:space="preserve">PAGEREF _Toc242269279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80">
            <w:r>
              <w:rPr>
                <w:webHidden/>
                <w:rStyle w:val="IndexLink"/>
              </w:rPr>
              <w:t>2.3 Critérios de inclusão e exclusão</w:t>
            </w:r>
            <w:r>
              <w:rPr>
                <w:webHidden/>
              </w:rPr>
              <w:fldChar w:fldCharType="begin"/>
            </w:r>
            <w:r>
              <w:rPr>
                <w:webHidden/>
              </w:rPr>
              <w:instrText xml:space="preserve">PAGEREF _Toc242269280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81">
            <w:r>
              <w:rPr>
                <w:webHidden/>
                <w:rStyle w:val="IndexLink"/>
                <w:rFonts w:eastAsia="Times New Roman" w:cs="Times New Roman"/>
              </w:rPr>
              <w:t>2.3.1 Critérios de inclusão</w:t>
            </w:r>
            <w:r>
              <w:rPr>
                <w:webHidden/>
              </w:rPr>
              <w:fldChar w:fldCharType="begin"/>
            </w:r>
            <w:r>
              <w:rPr>
                <w:webHidden/>
              </w:rPr>
              <w:instrText xml:space="preserve">PAGEREF _Toc242269281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82">
            <w:r>
              <w:rPr>
                <w:webHidden/>
                <w:rStyle w:val="IndexLink"/>
                <w:rFonts w:eastAsia="Times New Roman" w:cs="Times New Roman"/>
              </w:rPr>
              <w:t>2.3.2 Critérios de exclusão</w:t>
            </w:r>
            <w:r>
              <w:rPr>
                <w:webHidden/>
              </w:rPr>
              <w:fldChar w:fldCharType="begin"/>
            </w:r>
            <w:r>
              <w:rPr>
                <w:webHidden/>
              </w:rPr>
              <w:instrText xml:space="preserve">PAGEREF _Toc242269282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83">
            <w:r>
              <w:rPr>
                <w:webHidden/>
                <w:rStyle w:val="IndexLink"/>
              </w:rPr>
              <w:t>2.4 Resultados e discussão por eixo temático de artigos relevantes nas bases de pesquisa</w:t>
            </w:r>
            <w:r>
              <w:rPr>
                <w:webHidden/>
              </w:rPr>
              <w:fldChar w:fldCharType="begin"/>
            </w:r>
            <w:r>
              <w:rPr>
                <w:webHidden/>
              </w:rPr>
              <w:instrText xml:space="preserve">PAGEREF _Toc242269283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84">
            <w:r>
              <w:rPr>
                <w:webHidden/>
                <w:rStyle w:val="IndexLink"/>
                <w:rFonts w:eastAsia="Times New Roman" w:cs="Times New Roman"/>
              </w:rPr>
              <w:t xml:space="preserve">2.4.1 Eixo 1 - </w:t>
            </w:r>
            <w:r>
              <w:rPr>
                <w:rStyle w:val="IndexLink"/>
                <w:rFonts w:eastAsia="Times New Roman" w:cs="Times New Roman"/>
                <w:i/>
                <w:iCs/>
              </w:rPr>
              <w:t xml:space="preserve">Frameworks </w:t>
            </w:r>
            <w:r>
              <w:rPr>
                <w:rStyle w:val="IndexLink"/>
                <w:rFonts w:eastAsia="Times New Roman" w:cs="Times New Roman"/>
              </w:rPr>
              <w:t>aplicado a estudo de viabilidades em aquicultura</w:t>
            </w:r>
            <w:r>
              <w:rPr>
                <w:webHidden/>
              </w:rPr>
              <w:fldChar w:fldCharType="begin"/>
            </w:r>
            <w:r>
              <w:rPr>
                <w:webHidden/>
              </w:rPr>
              <w:instrText xml:space="preserve">PAGEREF _Toc242269284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85">
            <w:r>
              <w:rPr>
                <w:webHidden/>
                <w:rStyle w:val="IndexLink"/>
                <w:rFonts w:eastAsia="Times New Roman" w:cs="Times New Roman"/>
              </w:rPr>
              <w:t xml:space="preserve">2.4.2 Eixo 2 - Integração, </w:t>
            </w:r>
            <w:r>
              <w:rPr>
                <w:rStyle w:val="IndexLink"/>
                <w:rFonts w:eastAsia="Times New Roman" w:cs="Times New Roman"/>
                <w:i/>
                <w:iCs/>
              </w:rPr>
              <w:t>Lean</w:t>
            </w:r>
            <w:r>
              <w:rPr>
                <w:rStyle w:val="IndexLink"/>
                <w:rFonts w:eastAsia="Times New Roman" w:cs="Times New Roman"/>
              </w:rPr>
              <w:t>, Sustentabilidade Ambiental e cadeia de suprimentos</w:t>
            </w:r>
            <w:r>
              <w:rPr>
                <w:webHidden/>
              </w:rPr>
              <w:fldChar w:fldCharType="begin"/>
            </w:r>
            <w:r>
              <w:rPr>
                <w:webHidden/>
              </w:rPr>
              <w:instrText xml:space="preserve">PAGEREF _Toc242269285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86">
            <w:r>
              <w:rPr>
                <w:webHidden/>
                <w:rStyle w:val="IndexLink"/>
                <w:rFonts w:eastAsia="Times New Roman" w:cs="Times New Roman"/>
              </w:rPr>
              <w:t xml:space="preserve">2.4.3 Eixo 3 - Desempenho ESG, Responsabilidade Social Corporativa e Engajamento de </w:t>
            </w:r>
            <w:r>
              <w:rPr>
                <w:rStyle w:val="IndexLink"/>
                <w:rFonts w:eastAsia="Times New Roman" w:cs="Times New Roman"/>
                <w:i/>
                <w:iCs/>
              </w:rPr>
              <w:t>Stakeholders</w:t>
            </w:r>
            <w:r>
              <w:rPr>
                <w:webHidden/>
              </w:rPr>
              <w:fldChar w:fldCharType="begin"/>
            </w:r>
            <w:r>
              <w:rPr>
                <w:webHidden/>
              </w:rPr>
              <w:instrText xml:space="preserve">PAGEREF _Toc242269286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87">
            <w:r>
              <w:rPr>
                <w:webHidden/>
                <w:rStyle w:val="IndexLink"/>
              </w:rPr>
              <w:t>2.5 Perfil bibliométrico do corpus</w:t>
            </w:r>
            <w:r>
              <w:rPr>
                <w:webHidden/>
              </w:rPr>
              <w:fldChar w:fldCharType="begin"/>
            </w:r>
            <w:r>
              <w:rPr>
                <w:webHidden/>
              </w:rPr>
              <w:instrText xml:space="preserve">PAGEREF _Toc242269287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88">
            <w:r>
              <w:rPr>
                <w:webHidden/>
                <w:rStyle w:val="IndexLink"/>
                <w:rFonts w:eastAsia="Times New Roman" w:cs="Times New Roman"/>
              </w:rPr>
              <w:t>2.5.1 Mapeamento bibliométrico da estrutura conceitual do corpus com utilização de VOSviewer</w:t>
            </w:r>
            <w:r>
              <w:rPr>
                <w:webHidden/>
              </w:rPr>
              <w:fldChar w:fldCharType="begin"/>
            </w:r>
            <w:r>
              <w:rPr>
                <w:webHidden/>
              </w:rPr>
              <w:instrText xml:space="preserve">PAGEREF _Toc242269288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89">
            <w:r>
              <w:rPr>
                <w:webHidden/>
                <w:rStyle w:val="IndexLink"/>
              </w:rPr>
              <w:t>2.6 Síntese analítica da RSL</w:t>
            </w:r>
            <w:r>
              <w:rPr>
                <w:webHidden/>
              </w:rPr>
              <w:fldChar w:fldCharType="begin"/>
            </w:r>
            <w:r>
              <w:rPr>
                <w:webHidden/>
              </w:rPr>
              <w:instrText xml:space="preserve">PAGEREF _Toc242269289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90">
            <w:r>
              <w:rPr>
                <w:webHidden/>
                <w:rStyle w:val="IndexLink"/>
                <w:rFonts w:eastAsia="Times New Roman" w:cs="Times New Roman"/>
              </w:rPr>
              <w:t>2.6.1 Identificações na leitura analítica</w:t>
            </w:r>
            <w:r>
              <w:rPr>
                <w:webHidden/>
              </w:rPr>
              <w:fldChar w:fldCharType="begin"/>
            </w:r>
            <w:r>
              <w:rPr>
                <w:webHidden/>
              </w:rPr>
              <w:instrText xml:space="preserve">PAGEREF _Toc242269290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91">
            <w:r>
              <w:rPr>
                <w:webHidden/>
                <w:rStyle w:val="IndexLink"/>
                <w:rFonts w:eastAsia="Times New Roman" w:cs="Times New Roman"/>
              </w:rPr>
              <w:t>2.6.2 Domínios pouco investigados identificados</w:t>
            </w:r>
            <w:r>
              <w:rPr>
                <w:webHidden/>
              </w:rPr>
              <w:fldChar w:fldCharType="begin"/>
            </w:r>
            <w:r>
              <w:rPr>
                <w:webHidden/>
              </w:rPr>
              <w:instrText xml:space="preserve">PAGEREF _Toc242269291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92">
            <w:r>
              <w:rPr>
                <w:webHidden/>
                <w:rStyle w:val="IndexLink"/>
                <w:rFonts w:eastAsia="Times New Roman" w:cs="Times New Roman"/>
              </w:rPr>
              <w:t>2.6.3 Condução dos resultados para pesquisa</w:t>
            </w:r>
            <w:r>
              <w:rPr>
                <w:webHidden/>
              </w:rPr>
              <w:fldChar w:fldCharType="begin"/>
            </w:r>
            <w:r>
              <w:rPr>
                <w:webHidden/>
              </w:rPr>
              <w:instrText xml:space="preserve">PAGEREF _Toc242269292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93">
            <w:r>
              <w:rPr>
                <w:webHidden/>
                <w:rStyle w:val="IndexLink"/>
                <w:rFonts w:eastAsia="Times New Roman" w:cs="Times New Roman"/>
              </w:rPr>
              <w:t>2.6.4 Contribuição da RSL para a revisão teórica</w:t>
            </w:r>
            <w:r>
              <w:rPr>
                <w:webHidden/>
              </w:rPr>
              <w:fldChar w:fldCharType="begin"/>
            </w:r>
            <w:r>
              <w:rPr>
                <w:webHidden/>
              </w:rPr>
              <w:instrText xml:space="preserve">PAGEREF _Toc242269293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94">
            <w:r>
              <w:rPr>
                <w:webHidden/>
                <w:rStyle w:val="IndexLink"/>
              </w:rPr>
              <w:t>2.7 Revisão bibliográfica: livros, artigos relevantes, normas e documentos institucionais</w:t>
            </w:r>
            <w:r>
              <w:rPr>
                <w:webHidden/>
              </w:rPr>
              <w:fldChar w:fldCharType="begin"/>
            </w:r>
            <w:r>
              <w:rPr>
                <w:webHidden/>
              </w:rPr>
              <w:instrText xml:space="preserve">PAGEREF _Toc242269294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295">
            <w:r>
              <w:rPr>
                <w:webHidden/>
                <w:rStyle w:val="IndexLink"/>
              </w:rPr>
              <w:t xml:space="preserve">2.8 Eixo 1 – </w:t>
            </w:r>
            <w:r>
              <w:rPr>
                <w:rStyle w:val="IndexLink"/>
                <w:i/>
                <w:iCs/>
              </w:rPr>
              <w:t xml:space="preserve">Frameworks </w:t>
            </w:r>
            <w:r>
              <w:rPr>
                <w:rStyle w:val="IndexLink"/>
              </w:rPr>
              <w:t>aplicados a estudos de viabilidade em aquicultura</w:t>
            </w:r>
            <w:r>
              <w:rPr>
                <w:webHidden/>
              </w:rPr>
              <w:fldChar w:fldCharType="begin"/>
            </w:r>
            <w:r>
              <w:rPr>
                <w:webHidden/>
              </w:rPr>
              <w:instrText xml:space="preserve">PAGEREF _Toc242269295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96">
            <w:r>
              <w:rPr>
                <w:webHidden/>
                <w:rStyle w:val="IndexLink"/>
                <w:rFonts w:eastAsia="Times New Roman" w:cs="Times New Roman"/>
              </w:rPr>
              <w:t>2.8.1 O EVTEAS e a tomada de decisão estratégica sustentável</w:t>
            </w:r>
            <w:r>
              <w:rPr>
                <w:webHidden/>
              </w:rPr>
              <w:fldChar w:fldCharType="begin"/>
            </w:r>
            <w:r>
              <w:rPr>
                <w:webHidden/>
              </w:rPr>
              <w:instrText xml:space="preserve">PAGEREF _Toc242269296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97">
            <w:r>
              <w:rPr>
                <w:webHidden/>
                <w:rStyle w:val="IndexLink"/>
                <w:rFonts w:eastAsia="Times New Roman" w:cs="Times New Roman"/>
              </w:rPr>
              <w:t xml:space="preserve">2.8.2 A administração da produção, objetivos de desempenho para </w:t>
            </w:r>
            <w:r>
              <w:rPr>
                <w:rStyle w:val="IndexLink"/>
                <w:rFonts w:eastAsia="Times New Roman" w:cs="Times New Roman"/>
                <w:i/>
                <w:iCs/>
              </w:rPr>
              <w:t xml:space="preserve">framework </w:t>
            </w:r>
            <w:r>
              <w:rPr>
                <w:rStyle w:val="IndexLink"/>
                <w:rFonts w:eastAsia="Times New Roman" w:cs="Times New Roman"/>
              </w:rPr>
              <w:t>computacional</w:t>
            </w:r>
            <w:r>
              <w:rPr>
                <w:webHidden/>
              </w:rPr>
              <w:fldChar w:fldCharType="begin"/>
            </w:r>
            <w:r>
              <w:rPr>
                <w:webHidden/>
              </w:rPr>
              <w:instrText xml:space="preserve">PAGEREF _Toc242269297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98">
            <w:r>
              <w:rPr>
                <w:webHidden/>
                <w:rStyle w:val="IndexLink"/>
                <w:rFonts w:eastAsia="Times New Roman" w:cs="Times New Roman"/>
              </w:rPr>
              <w:t>2.8.3 Padronização e governança de projetos: A lógica do PMBOK aplicada ao código</w:t>
            </w:r>
            <w:r>
              <w:rPr>
                <w:webHidden/>
              </w:rPr>
              <w:fldChar w:fldCharType="begin"/>
            </w:r>
            <w:r>
              <w:rPr>
                <w:webHidden/>
              </w:rPr>
              <w:instrText xml:space="preserve">PAGEREF _Toc242269298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299">
            <w:r>
              <w:rPr>
                <w:webHidden/>
                <w:rStyle w:val="IndexLink"/>
                <w:rFonts w:eastAsia="Times New Roman" w:cs="Times New Roman"/>
              </w:rPr>
              <w:t>2.8.4</w:t>
            </w:r>
            <w:r>
              <w:rPr>
                <w:rStyle w:val="IndexLink"/>
                <w:rFonts w:eastAsia="Times New Roman" w:cs="Times New Roman"/>
                <w:i/>
                <w:iCs/>
              </w:rPr>
              <w:t xml:space="preserve"> Data science </w:t>
            </w:r>
            <w:r>
              <w:rPr>
                <w:rStyle w:val="IndexLink"/>
                <w:rFonts w:eastAsia="Times New Roman" w:cs="Times New Roman"/>
              </w:rPr>
              <w:t xml:space="preserve">e bibliotecas analíticas: o </w:t>
            </w:r>
            <w:r>
              <w:rPr>
                <w:rStyle w:val="IndexLink"/>
                <w:rFonts w:eastAsia="Times New Roman" w:cs="Times New Roman"/>
                <w:i/>
                <w:iCs/>
              </w:rPr>
              <w:t>framework</w:t>
            </w:r>
            <w:r>
              <w:rPr>
                <w:rStyle w:val="IndexLink"/>
                <w:rFonts w:eastAsia="Times New Roman" w:cs="Times New Roman"/>
              </w:rPr>
              <w:t xml:space="preserve"> técnico</w:t>
            </w:r>
            <w:r>
              <w:rPr>
                <w:webHidden/>
              </w:rPr>
              <w:fldChar w:fldCharType="begin"/>
            </w:r>
            <w:r>
              <w:rPr>
                <w:webHidden/>
              </w:rPr>
              <w:instrText xml:space="preserve">PAGEREF _Toc242269299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00">
            <w:r>
              <w:rPr>
                <w:webHidden/>
                <w:rStyle w:val="IndexLink"/>
                <w:rFonts w:eastAsia="Times New Roman" w:cs="Times New Roman"/>
              </w:rPr>
              <w:t>2.8.5 A Automação de tarefas repetitivas: Python como ferramenta de produtividade</w:t>
            </w:r>
            <w:r>
              <w:rPr>
                <w:webHidden/>
              </w:rPr>
              <w:fldChar w:fldCharType="begin"/>
            </w:r>
            <w:r>
              <w:rPr>
                <w:webHidden/>
              </w:rPr>
              <w:instrText xml:space="preserve">PAGEREF _Toc242269300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01">
            <w:r>
              <w:rPr>
                <w:webHidden/>
                <w:rStyle w:val="IndexLink"/>
                <w:rFonts w:eastAsia="Times New Roman" w:cs="Times New Roman"/>
              </w:rPr>
              <w:t xml:space="preserve">2.8.6 Definição de variáveis, indicadores e do </w:t>
            </w:r>
            <w:r>
              <w:rPr>
                <w:rStyle w:val="IndexLink"/>
                <w:rFonts w:eastAsia="Times New Roman" w:cs="Times New Roman"/>
                <w:i/>
                <w:iCs/>
              </w:rPr>
              <w:t xml:space="preserve">framework </w:t>
            </w:r>
            <w:r>
              <w:rPr>
                <w:rStyle w:val="IndexLink"/>
                <w:rFonts w:eastAsia="Times New Roman" w:cs="Times New Roman"/>
              </w:rPr>
              <w:t>Evteas-Py</w:t>
            </w:r>
            <w:r>
              <w:rPr>
                <w:webHidden/>
              </w:rPr>
              <w:fldChar w:fldCharType="begin"/>
            </w:r>
            <w:r>
              <w:rPr>
                <w:webHidden/>
              </w:rPr>
              <w:instrText xml:space="preserve">PAGEREF _Toc242269301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02">
            <w:r>
              <w:rPr>
                <w:webHidden/>
                <w:rStyle w:val="IndexLink"/>
              </w:rPr>
              <w:t>2.9 Eixo 2 – Integração, Lean, Sustentabilidade Ambiental e cadeia de suprimentos</w:t>
            </w:r>
            <w:r>
              <w:rPr>
                <w:webHidden/>
              </w:rPr>
              <w:fldChar w:fldCharType="begin"/>
            </w:r>
            <w:r>
              <w:rPr>
                <w:webHidden/>
              </w:rPr>
              <w:instrText xml:space="preserve">PAGEREF _Toc242269302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03">
            <w:r>
              <w:rPr>
                <w:webHidden/>
                <w:rStyle w:val="IndexLink"/>
                <w:rFonts w:eastAsia="Times New Roman" w:cs="Times New Roman"/>
              </w:rPr>
              <w:t xml:space="preserve">2.9.1 Gestão </w:t>
            </w:r>
            <w:r>
              <w:rPr>
                <w:rStyle w:val="IndexLink"/>
                <w:rFonts w:eastAsia="Times New Roman" w:cs="Times New Roman"/>
                <w:i/>
                <w:iCs/>
              </w:rPr>
              <w:t>Lean &amp; Green</w:t>
            </w:r>
            <w:r>
              <w:rPr>
                <w:rStyle w:val="IndexLink"/>
                <w:rFonts w:eastAsia="Times New Roman" w:cs="Times New Roman"/>
              </w:rPr>
              <w:t>: convergência para a eficiência na piscicultura</w:t>
            </w:r>
            <w:r>
              <w:rPr>
                <w:webHidden/>
              </w:rPr>
              <w:fldChar w:fldCharType="begin"/>
            </w:r>
            <w:r>
              <w:rPr>
                <w:webHidden/>
              </w:rPr>
              <w:instrText xml:space="preserve">PAGEREF _Toc242269303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04">
            <w:r>
              <w:rPr>
                <w:webHidden/>
                <w:rStyle w:val="IndexLink"/>
                <w:rFonts w:eastAsia="Times New Roman" w:cs="Times New Roman"/>
              </w:rPr>
              <w:t>2.9.2 O dilema estratégico: cadeias enxutas (</w:t>
            </w:r>
            <w:r>
              <w:rPr>
                <w:rStyle w:val="IndexLink"/>
                <w:rFonts w:eastAsia="Times New Roman" w:cs="Times New Roman"/>
                <w:i/>
                <w:iCs/>
              </w:rPr>
              <w:t>Lean</w:t>
            </w:r>
            <w:r>
              <w:rPr>
                <w:rStyle w:val="IndexLink"/>
                <w:rFonts w:eastAsia="Times New Roman" w:cs="Times New Roman"/>
              </w:rPr>
              <w:t>) versus cadeias responsivas (</w:t>
            </w:r>
            <w:r>
              <w:rPr>
                <w:rStyle w:val="IndexLink"/>
                <w:rFonts w:eastAsia="Times New Roman" w:cs="Times New Roman"/>
                <w:i/>
                <w:iCs/>
              </w:rPr>
              <w:t>Responsiveness</w:t>
            </w:r>
            <w:r>
              <w:rPr>
                <w:rStyle w:val="IndexLink"/>
                <w:rFonts w:eastAsia="Times New Roman" w:cs="Times New Roman"/>
              </w:rPr>
              <w:t>)</w:t>
            </w:r>
            <w:r>
              <w:rPr>
                <w:webHidden/>
              </w:rPr>
              <w:fldChar w:fldCharType="begin"/>
            </w:r>
            <w:r>
              <w:rPr>
                <w:webHidden/>
              </w:rPr>
              <w:instrText xml:space="preserve">PAGEREF _Toc242269304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05">
            <w:r>
              <w:rPr>
                <w:webHidden/>
                <w:rStyle w:val="IndexLink"/>
                <w:rFonts w:eastAsia="Times New Roman" w:cs="Times New Roman"/>
              </w:rPr>
              <w:t>2.9.3 Competências digitais e a indústria 4.0: O papel da modelagem computacional na agroindústria</w:t>
            </w:r>
            <w:r>
              <w:rPr>
                <w:webHidden/>
              </w:rPr>
              <w:fldChar w:fldCharType="begin"/>
            </w:r>
            <w:r>
              <w:rPr>
                <w:webHidden/>
              </w:rPr>
              <w:instrText xml:space="preserve">PAGEREF _Toc242269305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06">
            <w:r>
              <w:rPr>
                <w:webHidden/>
                <w:rStyle w:val="IndexLink"/>
                <w:rFonts w:eastAsia="Times New Roman" w:cs="Times New Roman"/>
              </w:rPr>
              <w:t xml:space="preserve">2.9.4 Inovação Schumpeteriana e Eco desenvolvimento: o propósito do </w:t>
            </w:r>
            <w:r>
              <w:rPr>
                <w:rStyle w:val="IndexLink"/>
                <w:rFonts w:eastAsia="Times New Roman" w:cs="Times New Roman"/>
                <w:i/>
                <w:iCs/>
              </w:rPr>
              <w:t>framework</w:t>
            </w:r>
            <w:r>
              <w:rPr>
                <w:webHidden/>
              </w:rPr>
              <w:fldChar w:fldCharType="begin"/>
            </w:r>
            <w:r>
              <w:rPr>
                <w:webHidden/>
              </w:rPr>
              <w:instrText xml:space="preserve">PAGEREF _Toc242269306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07">
            <w:r>
              <w:rPr>
                <w:webHidden/>
                <w:rStyle w:val="IndexLink"/>
                <w:rFonts w:eastAsia="Times New Roman" w:cs="Times New Roman"/>
              </w:rPr>
              <w:t>2.9.5 Estratégia competitiva vs. eficiência operacional</w:t>
            </w:r>
            <w:r>
              <w:rPr>
                <w:webHidden/>
              </w:rPr>
              <w:fldChar w:fldCharType="begin"/>
            </w:r>
            <w:r>
              <w:rPr>
                <w:webHidden/>
              </w:rPr>
              <w:instrText xml:space="preserve">PAGEREF _Toc242269307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08">
            <w:r>
              <w:rPr>
                <w:webHidden/>
                <w:rStyle w:val="IndexLink"/>
                <w:rFonts w:eastAsia="Times New Roman" w:cs="Times New Roman"/>
              </w:rPr>
              <w:t>2.9.6 Estratégias de Postergação na Cadeia de Suprimentos</w:t>
            </w:r>
            <w:r>
              <w:rPr>
                <w:webHidden/>
              </w:rPr>
              <w:fldChar w:fldCharType="begin"/>
            </w:r>
            <w:r>
              <w:rPr>
                <w:webHidden/>
              </w:rPr>
              <w:instrText xml:space="preserve">PAGEREF _Toc242269308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09">
            <w:r>
              <w:rPr>
                <w:webHidden/>
                <w:rStyle w:val="IndexLink"/>
              </w:rPr>
              <w:t xml:space="preserve">2.10 Eixo 3 – Desempenho ESG, Responsabilidade Social Corporativa e Engajamento de </w:t>
            </w:r>
            <w:r>
              <w:rPr>
                <w:rStyle w:val="IndexLink"/>
                <w:i/>
                <w:iCs/>
              </w:rPr>
              <w:t>Stakeholders</w:t>
            </w:r>
            <w:r>
              <w:rPr>
                <w:webHidden/>
              </w:rPr>
              <w:fldChar w:fldCharType="begin"/>
            </w:r>
            <w:r>
              <w:rPr>
                <w:webHidden/>
              </w:rPr>
              <w:instrText xml:space="preserve">PAGEREF _Toc242269309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10">
            <w:r>
              <w:rPr>
                <w:webHidden/>
                <w:rStyle w:val="IndexLink"/>
                <w:rFonts w:eastAsia="Times New Roman" w:cs="Times New Roman"/>
              </w:rPr>
              <w:t>2.10.1 ESG: A evolução da responsabilidade social e o desempenho econômico</w:t>
            </w:r>
            <w:r>
              <w:rPr>
                <w:webHidden/>
              </w:rPr>
              <w:fldChar w:fldCharType="begin"/>
            </w:r>
            <w:r>
              <w:rPr>
                <w:webHidden/>
              </w:rPr>
              <w:instrText xml:space="preserve">PAGEREF _Toc242269310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11">
            <w:r>
              <w:rPr>
                <w:webHidden/>
                <w:rStyle w:val="IndexLink"/>
                <w:rFonts w:eastAsia="Times New Roman" w:cs="Times New Roman"/>
              </w:rPr>
              <w:t>2.10.2 Interseção teórica: O ponto de convergência entre EVTEAS</w:t>
            </w:r>
            <w:r>
              <w:rPr>
                <w:rStyle w:val="IndexLink"/>
                <w:rFonts w:eastAsia="Times New Roman" w:cs="Times New Roman"/>
                <w:i/>
                <w:iCs/>
              </w:rPr>
              <w:t>, Lean-Green</w:t>
            </w:r>
            <w:r>
              <w:rPr>
                <w:rStyle w:val="IndexLink"/>
                <w:rFonts w:eastAsia="Times New Roman" w:cs="Times New Roman"/>
              </w:rPr>
              <w:t xml:space="preserve"> e ESG</w:t>
            </w:r>
            <w:r>
              <w:rPr>
                <w:webHidden/>
              </w:rPr>
              <w:fldChar w:fldCharType="begin"/>
            </w:r>
            <w:r>
              <w:rPr>
                <w:webHidden/>
              </w:rPr>
              <w:instrText xml:space="preserve">PAGEREF _Toc242269311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12">
            <w:r>
              <w:rPr>
                <w:webHidden/>
                <w:rStyle w:val="IndexLink"/>
                <w:rFonts w:eastAsia="Times New Roman" w:cs="Times New Roman"/>
              </w:rPr>
              <w:t>2.10.3 A gestão contemporânea: a ciência e a arte da decisão</w:t>
            </w:r>
            <w:r>
              <w:rPr>
                <w:webHidden/>
              </w:rPr>
              <w:fldChar w:fldCharType="begin"/>
            </w:r>
            <w:r>
              <w:rPr>
                <w:webHidden/>
              </w:rPr>
              <w:instrText xml:space="preserve">PAGEREF _Toc242269312 \h</w:instrText>
            </w:r>
            <w:r>
              <w:rPr>
                <w:webHidden/>
              </w:rPr>
              <w:fldChar w:fldCharType="separate"/>
            </w:r>
            <w:r>
              <w:rPr>
                <w:rStyle w:val="IndexLink"/>
                <w:vanish w:val="false"/>
              </w:rPr>
              <w:tab/>
              <w:t>1</w:t>
            </w:r>
            <w:r>
              <w:rPr>
                <w:webHidden/>
              </w:rPr>
              <w:fldChar w:fldCharType="end"/>
            </w:r>
          </w:hyperlink>
        </w:p>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13">
            <w:r>
              <w:rPr>
                <w:webHidden/>
                <w:rStyle w:val="IndexLink"/>
                <w:rFonts w:eastAsia="Times New Roman" w:cs="Times New Roman"/>
                <w:b/>
                <w:bCs/>
              </w:rPr>
              <w:t>3 METODOLOGIA DE PESQUISA</w:t>
            </w:r>
            <w:r>
              <w:rPr>
                <w:webHidden/>
              </w:rPr>
              <w:fldChar w:fldCharType="begin"/>
            </w:r>
            <w:r>
              <w:rPr>
                <w:webHidden/>
              </w:rPr>
              <w:instrText xml:space="preserve">PAGEREF _Toc242269313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14">
            <w:r>
              <w:rPr>
                <w:webHidden/>
                <w:rStyle w:val="IndexLink"/>
              </w:rPr>
              <w:t>3.1 Definição do método da pesquisa</w:t>
            </w:r>
            <w:r>
              <w:rPr>
                <w:webHidden/>
              </w:rPr>
              <w:fldChar w:fldCharType="begin"/>
            </w:r>
            <w:r>
              <w:rPr>
                <w:webHidden/>
              </w:rPr>
              <w:instrText xml:space="preserve">PAGEREF _Toc242269314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15">
            <w:r>
              <w:rPr>
                <w:webHidden/>
                <w:rStyle w:val="IndexLink"/>
              </w:rPr>
              <w:t>3.2 A execução da pesquisa</w:t>
            </w:r>
            <w:r>
              <w:rPr>
                <w:webHidden/>
              </w:rPr>
              <w:fldChar w:fldCharType="begin"/>
            </w:r>
            <w:r>
              <w:rPr>
                <w:webHidden/>
              </w:rPr>
              <w:instrText xml:space="preserve">PAGEREF _Toc242269315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16">
            <w:r>
              <w:rPr>
                <w:webHidden/>
                <w:rStyle w:val="IndexLink"/>
              </w:rPr>
              <w:t>3.3 Detalhamento metodológico</w:t>
            </w:r>
            <w:r>
              <w:rPr>
                <w:webHidden/>
              </w:rPr>
              <w:fldChar w:fldCharType="begin"/>
            </w:r>
            <w:r>
              <w:rPr>
                <w:webHidden/>
              </w:rPr>
              <w:instrText xml:space="preserve">PAGEREF _Toc242269316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17">
            <w:r>
              <w:rPr>
                <w:webHidden/>
                <w:rStyle w:val="IndexLink"/>
                <w:rFonts w:eastAsia="Times New Roman" w:cs="Times New Roman"/>
              </w:rPr>
              <w:t xml:space="preserve">3.3.1 O ciclo estruturado da </w:t>
            </w:r>
            <w:r>
              <w:rPr>
                <w:rStyle w:val="IndexLink"/>
                <w:rFonts w:eastAsia="Times New Roman" w:cs="Times New Roman"/>
                <w:i/>
                <w:iCs/>
              </w:rPr>
              <w:t>Design Science Research</w:t>
            </w:r>
            <w:r>
              <w:rPr>
                <w:rStyle w:val="IndexLink"/>
                <w:rFonts w:eastAsia="Times New Roman" w:cs="Times New Roman"/>
              </w:rPr>
              <w:t xml:space="preserve"> (DSR)</w:t>
            </w:r>
            <w:r>
              <w:rPr>
                <w:webHidden/>
              </w:rPr>
              <w:fldChar w:fldCharType="begin"/>
            </w:r>
            <w:r>
              <w:rPr>
                <w:webHidden/>
              </w:rPr>
              <w:instrText xml:space="preserve">PAGEREF _Toc242269317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18">
            <w:r>
              <w:rPr>
                <w:webHidden/>
                <w:rStyle w:val="IndexLink"/>
                <w:rFonts w:eastAsia="Times New Roman" w:cs="Times New Roman"/>
              </w:rPr>
              <w:t>3.3.2 Verificação e Validação (V&amp;V)</w:t>
            </w:r>
            <w:r>
              <w:rPr>
                <w:webHidden/>
              </w:rPr>
              <w:fldChar w:fldCharType="begin"/>
            </w:r>
            <w:r>
              <w:rPr>
                <w:webHidden/>
              </w:rPr>
              <w:instrText xml:space="preserve">PAGEREF _Toc242269318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19">
            <w:r>
              <w:rPr>
                <w:webHidden/>
                <w:rStyle w:val="IndexLink"/>
              </w:rPr>
              <w:t>3.4 Métodos de análise de dados</w:t>
            </w:r>
            <w:r>
              <w:rPr>
                <w:webHidden/>
              </w:rPr>
              <w:fldChar w:fldCharType="begin"/>
            </w:r>
            <w:r>
              <w:rPr>
                <w:webHidden/>
              </w:rPr>
              <w:instrText xml:space="preserve">PAGEREF _Toc242269319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20">
            <w:r>
              <w:rPr>
                <w:webHidden/>
                <w:rStyle w:val="IndexLink"/>
              </w:rPr>
              <w:t xml:space="preserve">3.5 Integração de inteligência artificial generativa no desenvolvimento do </w:t>
            </w:r>
            <w:r>
              <w:rPr>
                <w:rStyle w:val="IndexLink"/>
                <w:i/>
                <w:iCs/>
              </w:rPr>
              <w:t>framework</w:t>
            </w:r>
            <w:r>
              <w:rPr>
                <w:rStyle w:val="IndexLink"/>
              </w:rPr>
              <w:t xml:space="preserve"> EVTEAS-Py</w:t>
            </w:r>
            <w:r>
              <w:rPr>
                <w:webHidden/>
              </w:rPr>
              <w:fldChar w:fldCharType="begin"/>
            </w:r>
            <w:r>
              <w:rPr>
                <w:webHidden/>
              </w:rPr>
              <w:instrText xml:space="preserve">PAGEREF _Toc242269320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21">
            <w:r>
              <w:rPr>
                <w:webHidden/>
                <w:rStyle w:val="IndexLink"/>
                <w:rFonts w:eastAsia="Times New Roman" w:cs="Times New Roman"/>
              </w:rPr>
              <w:t>3.5.1 Adoção estratégica da inteligência artificial no ciclo de desenvolvimento de framework</w:t>
            </w:r>
            <w:r>
              <w:rPr>
                <w:webHidden/>
              </w:rPr>
              <w:fldChar w:fldCharType="begin"/>
            </w:r>
            <w:r>
              <w:rPr>
                <w:webHidden/>
              </w:rPr>
              <w:instrText xml:space="preserve">PAGEREF _Toc242269321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22">
            <w:r>
              <w:rPr>
                <w:webHidden/>
                <w:rStyle w:val="IndexLink"/>
                <w:rFonts w:eastAsia="Times New Roman" w:cs="Times New Roman"/>
              </w:rPr>
              <w:t>3.5.2 Processos generativos em refatoração, otimização e prevenção de anomalias</w:t>
            </w:r>
            <w:r>
              <w:rPr>
                <w:webHidden/>
              </w:rPr>
              <w:fldChar w:fldCharType="begin"/>
            </w:r>
            <w:r>
              <w:rPr>
                <w:webHidden/>
              </w:rPr>
              <w:instrText xml:space="preserve">PAGEREF _Toc242269322 \h</w:instrText>
            </w:r>
            <w:r>
              <w:rPr>
                <w:webHidden/>
              </w:rPr>
              <w:fldChar w:fldCharType="separate"/>
            </w:r>
            <w:r>
              <w:rPr>
                <w:rStyle w:val="IndexLink"/>
                <w:vanish w:val="false"/>
              </w:rPr>
              <w:tab/>
              <w:t>1</w:t>
            </w:r>
            <w:r>
              <w:rPr>
                <w:webHidden/>
              </w:rPr>
              <w:fldChar w:fldCharType="end"/>
            </w:r>
          </w:hyperlink>
        </w:p>
        <w:p>
          <w:pPr>
            <w:pStyle w:val="TOC3"/>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23">
            <w:r>
              <w:rPr>
                <w:webHidden/>
                <w:rStyle w:val="IndexLink"/>
                <w:rFonts w:eastAsia="Times New Roman" w:cs="Times New Roman"/>
              </w:rPr>
              <w:t>3.5.3 A Governança cognitiva algorítmica e o paradigma "</w:t>
            </w:r>
            <w:r>
              <w:rPr>
                <w:rStyle w:val="IndexLink"/>
                <w:rFonts w:eastAsia="Times New Roman" w:cs="Times New Roman"/>
                <w:i/>
                <w:iCs/>
              </w:rPr>
              <w:t>Human-in-the-Loop</w:t>
            </w:r>
            <w:r>
              <w:rPr>
                <w:rStyle w:val="IndexLink"/>
                <w:rFonts w:eastAsia="Times New Roman" w:cs="Times New Roman"/>
              </w:rPr>
              <w:t>"</w:t>
            </w:r>
            <w:r>
              <w:rPr>
                <w:webHidden/>
              </w:rPr>
              <w:fldChar w:fldCharType="begin"/>
            </w:r>
            <w:r>
              <w:rPr>
                <w:webHidden/>
              </w:rPr>
              <w:instrText xml:space="preserve">PAGEREF _Toc242269323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24">
            <w:r>
              <w:rPr>
                <w:webHidden/>
                <w:rStyle w:val="IndexLink"/>
              </w:rPr>
              <w:t>3.6 Resultados esperados</w:t>
            </w:r>
            <w:r>
              <w:rPr>
                <w:webHidden/>
              </w:rPr>
              <w:fldChar w:fldCharType="begin"/>
            </w:r>
            <w:r>
              <w:rPr>
                <w:webHidden/>
              </w:rPr>
              <w:instrText xml:space="preserve">PAGEREF _Toc242269324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25">
            <w:r>
              <w:rPr>
                <w:webHidden/>
                <w:rStyle w:val="IndexLink"/>
              </w:rPr>
              <w:t>3.7 CRONOGRAMA DA PESQUISA</w:t>
            </w:r>
            <w:r>
              <w:rPr>
                <w:webHidden/>
              </w:rPr>
              <w:fldChar w:fldCharType="begin"/>
            </w:r>
            <w:r>
              <w:rPr>
                <w:webHidden/>
              </w:rPr>
              <w:instrText xml:space="preserve">PAGEREF _Toc242269325 \h</w:instrText>
            </w:r>
            <w:r>
              <w:rPr>
                <w:webHidden/>
              </w:rPr>
              <w:fldChar w:fldCharType="separate"/>
            </w:r>
            <w:r>
              <w:rPr>
                <w:rStyle w:val="IndexLink"/>
                <w:vanish w:val="false"/>
              </w:rPr>
              <w:tab/>
              <w:t>1</w:t>
            </w:r>
            <w:r>
              <w:rPr>
                <w:webHidden/>
              </w:rPr>
              <w:fldChar w:fldCharType="end"/>
            </w:r>
          </w:hyperlink>
        </w:p>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26">
            <w:r>
              <w:rPr>
                <w:webHidden/>
                <w:rStyle w:val="IndexLink"/>
              </w:rPr>
              <w:t>4 RESULTADOS E DISCUSSÃO</w:t>
            </w:r>
            <w:r>
              <w:rPr>
                <w:webHidden/>
              </w:rPr>
              <w:fldChar w:fldCharType="begin"/>
            </w:r>
            <w:r>
              <w:rPr>
                <w:webHidden/>
              </w:rPr>
              <w:instrText xml:space="preserve">PAGEREF _Toc242269326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27">
            <w:r>
              <w:rPr>
                <w:webHidden/>
                <w:rStyle w:val="IndexLink"/>
                <w:rFonts w:ascii="Arial" w:hAnsi="Arial"/>
              </w:rPr>
              <w:t>4.1 Construção e arquitetura do artefato EVTEAS-Py</w:t>
            </w:r>
            <w:r>
              <w:rPr>
                <w:webHidden/>
              </w:rPr>
              <w:fldChar w:fldCharType="begin"/>
            </w:r>
            <w:r>
              <w:rPr>
                <w:webHidden/>
              </w:rPr>
              <w:instrText xml:space="preserve">PAGEREF _Toc242269327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28">
            <w:r>
              <w:rPr>
                <w:webHidden/>
                <w:rStyle w:val="IndexLink"/>
                <w:rFonts w:ascii="Arial" w:hAnsi="Arial"/>
              </w:rPr>
              <w:t>4.2 Interface de entrada e parametrização do estudo</w:t>
            </w:r>
            <w:r>
              <w:rPr>
                <w:webHidden/>
              </w:rPr>
              <w:fldChar w:fldCharType="begin"/>
            </w:r>
            <w:r>
              <w:rPr>
                <w:webHidden/>
              </w:rPr>
              <w:instrText xml:space="preserve">PAGEREF _Toc242269328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29">
            <w:r>
              <w:rPr>
                <w:webHidden/>
                <w:rStyle w:val="IndexLink"/>
                <w:rFonts w:ascii="Arial" w:hAnsi="Arial"/>
              </w:rPr>
              <w:t>4.3 Resultados da dimensão técnica</w:t>
            </w:r>
            <w:r>
              <w:rPr>
                <w:webHidden/>
              </w:rPr>
              <w:fldChar w:fldCharType="begin"/>
            </w:r>
            <w:r>
              <w:rPr>
                <w:webHidden/>
              </w:rPr>
              <w:instrText xml:space="preserve">PAGEREF _Toc242269329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30">
            <w:r>
              <w:rPr>
                <w:webHidden/>
                <w:rStyle w:val="IndexLink"/>
                <w:rFonts w:ascii="Arial" w:hAnsi="Arial"/>
              </w:rPr>
              <w:t>4.4 Resultados da dimensão econômica</w:t>
            </w:r>
            <w:r>
              <w:rPr>
                <w:webHidden/>
              </w:rPr>
              <w:fldChar w:fldCharType="begin"/>
            </w:r>
            <w:r>
              <w:rPr>
                <w:webHidden/>
              </w:rPr>
              <w:instrText xml:space="preserve">PAGEREF _Toc242269330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31">
            <w:r>
              <w:rPr>
                <w:webHidden/>
                <w:rStyle w:val="IndexLink"/>
                <w:rFonts w:ascii="Arial" w:hAnsi="Arial"/>
              </w:rPr>
              <w:t>4.5 Resultados da dimensão ambiental</w:t>
            </w:r>
            <w:r>
              <w:rPr>
                <w:webHidden/>
              </w:rPr>
              <w:fldChar w:fldCharType="begin"/>
            </w:r>
            <w:r>
              <w:rPr>
                <w:webHidden/>
              </w:rPr>
              <w:instrText xml:space="preserve">PAGEREF _Toc242269331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32">
            <w:r>
              <w:rPr>
                <w:webHidden/>
                <w:rStyle w:val="IndexLink"/>
                <w:rFonts w:ascii="Arial" w:hAnsi="Arial"/>
              </w:rPr>
              <w:t>4.6 Resultados da dimensão social e ESG</w:t>
            </w:r>
            <w:r>
              <w:rPr>
                <w:webHidden/>
              </w:rPr>
              <w:fldChar w:fldCharType="begin"/>
            </w:r>
            <w:r>
              <w:rPr>
                <w:webHidden/>
              </w:rPr>
              <w:instrText xml:space="preserve">PAGEREF _Toc242269332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33">
            <w:r>
              <w:rPr>
                <w:webHidden/>
                <w:rStyle w:val="IndexLink"/>
                <w:rFonts w:ascii="Arial" w:hAnsi="Arial"/>
              </w:rPr>
              <w:t>4.7 Índice integrado EVTEAS</w:t>
            </w:r>
            <w:r>
              <w:rPr>
                <w:webHidden/>
              </w:rPr>
              <w:fldChar w:fldCharType="begin"/>
            </w:r>
            <w:r>
              <w:rPr>
                <w:webHidden/>
              </w:rPr>
              <w:instrText xml:space="preserve">PAGEREF _Toc242269333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34">
            <w:r>
              <w:rPr>
                <w:webHidden/>
                <w:rStyle w:val="IndexLink"/>
                <w:rFonts w:ascii="Arial" w:hAnsi="Arial"/>
              </w:rPr>
              <w:t>4.8 Simulação de Monte Carlo</w:t>
            </w:r>
            <w:r>
              <w:rPr>
                <w:webHidden/>
              </w:rPr>
              <w:fldChar w:fldCharType="begin"/>
            </w:r>
            <w:r>
              <w:rPr>
                <w:webHidden/>
              </w:rPr>
              <w:instrText xml:space="preserve">PAGEREF _Toc242269334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35">
            <w:r>
              <w:rPr>
                <w:webHidden/>
                <w:rStyle w:val="IndexLink"/>
                <w:rFonts w:ascii="Arial" w:hAnsi="Arial"/>
              </w:rPr>
              <w:t>4.9 Análise de sensibilidade e identificação das variáveis críticas</w:t>
            </w:r>
            <w:r>
              <w:rPr>
                <w:webHidden/>
              </w:rPr>
              <w:fldChar w:fldCharType="begin"/>
            </w:r>
            <w:r>
              <w:rPr>
                <w:webHidden/>
              </w:rPr>
              <w:instrText xml:space="preserve">PAGEREF _Toc242269335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36">
            <w:r>
              <w:rPr>
                <w:webHidden/>
                <w:rStyle w:val="IndexLink"/>
                <w:rFonts w:ascii="Arial" w:hAnsi="Arial"/>
              </w:rPr>
              <w:t>4.10 Verificação computacional e V&amp;V</w:t>
            </w:r>
            <w:r>
              <w:rPr>
                <w:webHidden/>
              </w:rPr>
              <w:fldChar w:fldCharType="begin"/>
            </w:r>
            <w:r>
              <w:rPr>
                <w:webHidden/>
              </w:rPr>
              <w:instrText xml:space="preserve">PAGEREF _Toc242269336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37">
            <w:r>
              <w:rPr>
                <w:webHidden/>
                <w:rStyle w:val="IndexLink"/>
                <w:rFonts w:ascii="Arial" w:hAnsi="Arial"/>
              </w:rPr>
              <w:t>4.11 Exportação, reprodutibilidade e documentação dos resultados</w:t>
            </w:r>
            <w:r>
              <w:rPr>
                <w:webHidden/>
              </w:rPr>
              <w:fldChar w:fldCharType="begin"/>
            </w:r>
            <w:r>
              <w:rPr>
                <w:webHidden/>
              </w:rPr>
              <w:instrText xml:space="preserve">PAGEREF _Toc242269337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38">
            <w:r>
              <w:rPr>
                <w:webHidden/>
                <w:rStyle w:val="IndexLink"/>
                <w:rFonts w:ascii="Arial" w:hAnsi="Arial"/>
              </w:rPr>
              <w:t>4.12 Discussão integrada e retorno à lacuna científica</w:t>
            </w:r>
            <w:r>
              <w:rPr>
                <w:webHidden/>
              </w:rPr>
              <w:fldChar w:fldCharType="begin"/>
            </w:r>
            <w:r>
              <w:rPr>
                <w:webHidden/>
              </w:rPr>
              <w:instrText xml:space="preserve">PAGEREF _Toc242269338 \h</w:instrText>
            </w:r>
            <w:r>
              <w:rPr>
                <w:webHidden/>
              </w:rPr>
              <w:fldChar w:fldCharType="separate"/>
            </w:r>
            <w:r>
              <w:rPr>
                <w:rStyle w:val="IndexLink"/>
                <w:vanish w:val="false"/>
              </w:rPr>
              <w:tab/>
              <w:t>1</w:t>
            </w:r>
            <w:r>
              <w:rPr>
                <w:webHidden/>
              </w:rPr>
              <w:fldChar w:fldCharType="end"/>
            </w:r>
          </w:hyperlink>
        </w:p>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39">
            <w:r>
              <w:rPr>
                <w:webHidden/>
                <w:rStyle w:val="IndexLink"/>
              </w:rPr>
              <w:t>5 CONSIDERAÇÕES FINAIS</w:t>
            </w:r>
            <w:r>
              <w:rPr>
                <w:webHidden/>
              </w:rPr>
              <w:fldChar w:fldCharType="begin"/>
            </w:r>
            <w:r>
              <w:rPr>
                <w:webHidden/>
              </w:rPr>
              <w:instrText xml:space="preserve">PAGEREF _Toc242269339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40">
            <w:r>
              <w:rPr>
                <w:webHidden/>
                <w:rStyle w:val="IndexLink"/>
                <w:rFonts w:ascii="Arial" w:hAnsi="Arial"/>
              </w:rPr>
              <w:t>5.1 Síntese da resposta ao problema de pesquisa</w:t>
            </w:r>
            <w:r>
              <w:rPr>
                <w:webHidden/>
              </w:rPr>
              <w:fldChar w:fldCharType="begin"/>
            </w:r>
            <w:r>
              <w:rPr>
                <w:webHidden/>
              </w:rPr>
              <w:instrText xml:space="preserve">PAGEREF _Toc242269340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41">
            <w:r>
              <w:rPr>
                <w:webHidden/>
                <w:rStyle w:val="IndexLink"/>
                <w:rFonts w:ascii="Arial" w:hAnsi="Arial"/>
              </w:rPr>
              <w:t>5.2 Atendimento ao objetivo geral e aos objetivos específicos</w:t>
            </w:r>
            <w:r>
              <w:rPr>
                <w:webHidden/>
              </w:rPr>
              <w:fldChar w:fldCharType="begin"/>
            </w:r>
            <w:r>
              <w:rPr>
                <w:webHidden/>
              </w:rPr>
              <w:instrText xml:space="preserve">PAGEREF _Toc242269341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42">
            <w:r>
              <w:rPr>
                <w:webHidden/>
                <w:rStyle w:val="IndexLink"/>
                <w:rFonts w:ascii="Arial" w:hAnsi="Arial"/>
              </w:rPr>
              <w:t>5.3 Contribuições científicas, metodológicas e aplicadas</w:t>
            </w:r>
            <w:r>
              <w:rPr>
                <w:webHidden/>
              </w:rPr>
              <w:fldChar w:fldCharType="begin"/>
            </w:r>
            <w:r>
              <w:rPr>
                <w:webHidden/>
              </w:rPr>
              <w:instrText xml:space="preserve">PAGEREF _Toc242269342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43">
            <w:r>
              <w:rPr>
                <w:webHidden/>
                <w:rStyle w:val="IndexLink"/>
                <w:rFonts w:ascii="Arial" w:hAnsi="Arial"/>
              </w:rPr>
              <w:t>5.4 Limitações da pesquisa e do artefato</w:t>
            </w:r>
            <w:r>
              <w:rPr>
                <w:webHidden/>
              </w:rPr>
              <w:fldChar w:fldCharType="begin"/>
            </w:r>
            <w:r>
              <w:rPr>
                <w:webHidden/>
              </w:rPr>
              <w:instrText xml:space="preserve">PAGEREF _Toc242269343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44">
            <w:r>
              <w:rPr>
                <w:webHidden/>
                <w:rStyle w:val="IndexLink"/>
                <w:rFonts w:ascii="Arial" w:hAnsi="Arial"/>
              </w:rPr>
              <w:t>5.5 Generalização para a classe de problemas</w:t>
            </w:r>
            <w:r>
              <w:rPr>
                <w:webHidden/>
              </w:rPr>
              <w:fldChar w:fldCharType="begin"/>
            </w:r>
            <w:r>
              <w:rPr>
                <w:webHidden/>
              </w:rPr>
              <w:instrText xml:space="preserve">PAGEREF _Toc242269344 \h</w:instrText>
            </w:r>
            <w:r>
              <w:rPr>
                <w:webHidden/>
              </w:rPr>
              <w:fldChar w:fldCharType="separate"/>
            </w:r>
            <w:r>
              <w:rPr>
                <w:rStyle w:val="IndexLink"/>
                <w:vanish w:val="false"/>
              </w:rPr>
              <w:tab/>
              <w:t>1</w:t>
            </w:r>
            <w:r>
              <w:rPr>
                <w:webHidden/>
              </w:rPr>
              <w:fldChar w:fldCharType="end"/>
            </w:r>
          </w:hyperlink>
        </w:p>
        <w:p>
          <w:pPr>
            <w:pStyle w:val="TOC2"/>
            <w:rPr>
              <w:rFonts w:ascii="Calibri" w:hAnsi="Calibri" w:eastAsia="" w:cs="" w:asciiTheme="minorHAnsi" w:cstheme="minorBidi" w:eastAsiaTheme="minorEastAsia" w:hAnsiTheme="minorHAnsi"/>
              <w:b w:val="false"/>
              <w:bCs w:val="false"/>
              <w:kern w:val="2"/>
              <w:sz w:val="24"/>
              <w:szCs w:val="24"/>
              <w14:ligatures w14:val="standardContextual"/>
            </w:rPr>
          </w:pPr>
          <w:hyperlink w:anchor="_Toc242269345">
            <w:r>
              <w:rPr>
                <w:webHidden/>
                <w:rStyle w:val="IndexLink"/>
                <w:rFonts w:ascii="Arial" w:hAnsi="Arial"/>
              </w:rPr>
              <w:t>5.6 Trabalhos futuros e continuidade do EVTEAS-Py</w:t>
            </w:r>
            <w:r>
              <w:rPr>
                <w:webHidden/>
              </w:rPr>
              <w:fldChar w:fldCharType="begin"/>
            </w:r>
            <w:r>
              <w:rPr>
                <w:webHidden/>
              </w:rPr>
              <w:instrText xml:space="preserve">PAGEREF _Toc242269345 \h</w:instrText>
            </w:r>
            <w:r>
              <w:rPr>
                <w:webHidden/>
              </w:rPr>
              <w:fldChar w:fldCharType="separate"/>
            </w:r>
            <w:r>
              <w:rPr>
                <w:rStyle w:val="IndexLink"/>
                <w:vanish w:val="false"/>
              </w:rPr>
              <w:tab/>
              <w:t>1</w:t>
            </w:r>
            <w:r>
              <w:rPr>
                <w:webHidden/>
              </w:rPr>
              <w:fldChar w:fldCharType="end"/>
            </w:r>
          </w:hyperlink>
        </w:p>
        <w:p>
          <w:pPr>
            <w:pStyle w:val="TOC1"/>
            <w:tabs>
              <w:tab w:val="clear" w:pos="720"/>
              <w:tab w:val="right" w:pos="8494" w:leader="dot"/>
            </w:tabs>
            <w:rPr>
              <w:rFonts w:ascii="Calibri" w:hAnsi="Calibri" w:eastAsia="" w:cs="" w:asciiTheme="minorHAnsi" w:cstheme="minorBidi" w:eastAsiaTheme="minorEastAsia" w:hAnsiTheme="minorHAnsi"/>
              <w:kern w:val="2"/>
              <w:sz w:val="24"/>
              <w:szCs w:val="24"/>
              <w14:ligatures w14:val="standardContextual"/>
            </w:rPr>
          </w:pPr>
          <w:hyperlink w:anchor="_Toc242269346">
            <w:r>
              <w:rPr>
                <w:webHidden/>
                <w:rStyle w:val="IndexLink"/>
              </w:rPr>
              <w:t>REFERÊNCIAS</w:t>
            </w:r>
            <w:r>
              <w:rPr>
                <w:webHidden/>
              </w:rPr>
              <w:fldChar w:fldCharType="begin"/>
            </w:r>
            <w:r>
              <w:rPr>
                <w:webHidden/>
              </w:rPr>
              <w:instrText xml:space="preserve">PAGEREF _Toc242269346 \h</w:instrText>
            </w:r>
            <w:r>
              <w:rPr>
                <w:webHidden/>
              </w:rPr>
              <w:fldChar w:fldCharType="separate"/>
            </w:r>
            <w:r>
              <w:rPr>
                <w:rStyle w:val="IndexLink"/>
                <w:vanish w:val="false"/>
              </w:rPr>
              <w:tab/>
              <w:t>1</w:t>
            </w:r>
            <w:r>
              <w:rPr>
                <w:webHidden/>
              </w:rPr>
              <w:fldChar w:fldCharType="end"/>
            </w:r>
          </w:hyperlink>
        </w:p>
        <w:p>
          <w:pPr>
            <w:pStyle w:val="TOC1"/>
            <w:tabs>
              <w:tab w:val="clear" w:pos="720"/>
              <w:tab w:val="right" w:pos="8494" w:leader="dot"/>
            </w:tabs>
            <w:spacing w:lineRule="auto" w:line="360" w:before="0" w:after="0"/>
            <w:rPr>
              <w:rFonts w:ascii="Calibri" w:hAnsi="Calibri" w:eastAsia="" w:cs="" w:asciiTheme="minorHAnsi" w:cstheme="minorBidi" w:eastAsiaTheme="minorEastAsia" w:hAnsiTheme="minorHAnsi"/>
              <w:kern w:val="2"/>
              <w:sz w:val="24"/>
              <w:szCs w:val="24"/>
              <w14:ligatures w14:val="standardContextual"/>
            </w:rPr>
          </w:pPr>
          <w:r>
            <w:rPr>
              <w:rFonts w:eastAsia="" w:cs="" w:cstheme="minorBidi" w:eastAsiaTheme="minorEastAsia" w:ascii="Calibri" w:hAnsi="Calibri"/>
              <w:kern w:val="2"/>
              <w:sz w:val="24"/>
              <w:szCs w:val="24"/>
              <w14:ligatures w14:val="standardContextual"/>
            </w:rPr>
          </w:r>
          <w:r>
            <w:rPr>
              <w:sz w:val="24"/>
              <w:kern w:val="2"/>
              <w:szCs w:val="24"/>
              <w:rFonts w:eastAsia="" w:cs="" w:ascii="Calibri" w:hAnsi="Calibri"/>
            </w:rPr>
            <w:fldChar w:fldCharType="end"/>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1701" w:gutter="0" w:header="708" w:top="1417" w:footer="0" w:bottom="1417"/>
              <w:pgNumType w:start="1" w:fmt="decimal"/>
              <w:formProt w:val="false"/>
              <w:textDirection w:val="lrTb"/>
              <w:docGrid w:type="default" w:linePitch="100" w:charSpace="4096"/>
            </w:sectPr>
          </w:pPr>
        </w:p>
      </w:sdtContent>
    </w:sdt>
    <w:p>
      <w:pPr>
        <w:pStyle w:val="Heading1"/>
        <w:rPr/>
      </w:pPr>
      <w:bookmarkStart w:id="4" w:name="_Toc242269269"/>
      <w:bookmarkStart w:id="5" w:name="_Toc242269188"/>
      <w:bookmarkStart w:id="6" w:name="_Toc242269109"/>
      <w:r>
        <w:rPr/>
        <w:t>LISTA DE CÓDIGOS</w:t>
      </w:r>
      <w:bookmarkEnd w:id="4"/>
      <w:bookmarkEnd w:id="5"/>
      <w:bookmarkEnd w:id="6"/>
    </w:p>
    <w:p>
      <w:pPr>
        <w:pStyle w:val="Normal"/>
        <w:ind w:hanging="454" w:left="454"/>
        <w:rPr/>
      </w:pPr>
      <w:r>
        <w:rPr>
          <w:sz w:val="24"/>
        </w:rPr>
        <w:t>Código 1 – Estrutura de configuração e classes do EVTEAS-Py</w:t>
      </w:r>
    </w:p>
    <w:p>
      <w:pPr>
        <w:pStyle w:val="Normal"/>
        <w:ind w:hanging="454" w:left="454"/>
        <w:rPr/>
      </w:pPr>
      <w:r>
        <w:rPr>
          <w:sz w:val="24"/>
        </w:rPr>
        <w:t>Código 2 – Utilitários numéricos e financeiros do modelo</w:t>
      </w:r>
    </w:p>
    <w:p>
      <w:pPr>
        <w:pStyle w:val="Normal"/>
        <w:ind w:hanging="454" w:left="454"/>
        <w:rPr/>
      </w:pPr>
      <w:r>
        <w:rPr>
          <w:sz w:val="24"/>
        </w:rPr>
        <w:t>Código 3 – Entrada interativa e parametrização completa do estudo</w:t>
      </w:r>
    </w:p>
    <w:p>
      <w:pPr>
        <w:pStyle w:val="Normal"/>
        <w:ind w:hanging="454" w:left="454"/>
        <w:rPr/>
      </w:pPr>
      <w:r>
        <w:rPr>
          <w:sz w:val="24"/>
        </w:rPr>
        <w:t>Código 4 – Cálculo da dimensão técnica e OEE</w:t>
      </w:r>
    </w:p>
    <w:p>
      <w:pPr>
        <w:pStyle w:val="Normal"/>
        <w:ind w:hanging="454" w:left="454"/>
        <w:rPr/>
      </w:pPr>
      <w:r>
        <w:rPr>
          <w:sz w:val="24"/>
        </w:rPr>
        <w:t>Código 5 – Projeção econômica, DRE e indicadores financeiros</w:t>
      </w:r>
    </w:p>
    <w:p>
      <w:pPr>
        <w:pStyle w:val="Normal"/>
        <w:ind w:hanging="454" w:left="454"/>
        <w:rPr/>
      </w:pPr>
      <w:r>
        <w:rPr>
          <w:sz w:val="24"/>
        </w:rPr>
        <w:t>Código 6 – Cálculo da dimensão ambiental e ecoeficiência</w:t>
      </w:r>
    </w:p>
    <w:p>
      <w:pPr>
        <w:pStyle w:val="Normal"/>
        <w:ind w:hanging="454" w:left="454"/>
        <w:rPr/>
      </w:pPr>
      <w:r>
        <w:rPr>
          <w:sz w:val="24"/>
        </w:rPr>
        <w:t>Código 7 – Cálculo da dimensão social, RVL e LSO</w:t>
      </w:r>
    </w:p>
    <w:p>
      <w:pPr>
        <w:pStyle w:val="Normal"/>
        <w:ind w:hanging="454" w:left="454"/>
        <w:rPr/>
      </w:pPr>
      <w:r>
        <w:rPr>
          <w:sz w:val="24"/>
        </w:rPr>
        <w:t>Código 8 – Normalização dos KPIs e índice integrado EVTEAS</w:t>
      </w:r>
    </w:p>
    <w:p>
      <w:pPr>
        <w:pStyle w:val="Normal"/>
        <w:ind w:hanging="454" w:left="454"/>
        <w:rPr/>
      </w:pPr>
      <w:r>
        <w:rPr>
          <w:sz w:val="24"/>
        </w:rPr>
        <w:t>Código 9 – Simulação de Monte Carlo e distribuições de incerteza</w:t>
      </w:r>
    </w:p>
    <w:p>
      <w:pPr>
        <w:pStyle w:val="Normal"/>
        <w:ind w:hanging="454" w:left="454"/>
        <w:rPr/>
      </w:pPr>
      <w:r>
        <w:rPr>
          <w:sz w:val="24"/>
        </w:rPr>
        <w:t>Código 10 – Análise de sensibilidade e elasticidade do VPL</w:t>
      </w:r>
    </w:p>
    <w:p>
      <w:pPr>
        <w:pStyle w:val="Normal"/>
        <w:ind w:hanging="454" w:left="454"/>
        <w:rPr/>
      </w:pPr>
      <w:r>
        <w:rPr>
          <w:sz w:val="24"/>
        </w:rPr>
        <w:t>Código 11 – Verificação por invariantes e testes determinísticos</w:t>
      </w:r>
    </w:p>
    <w:p>
      <w:pPr>
        <w:pStyle w:val="Normal"/>
        <w:ind w:hanging="454" w:left="454"/>
        <w:rPr/>
      </w:pPr>
      <w:r>
        <w:rPr>
          <w:sz w:val="24"/>
        </w:rPr>
        <w:t>Código 12 – Resumo executivo, exportação e geração de gráficos</w:t>
      </w:r>
    </w:p>
    <w:p>
      <w:pPr>
        <w:pStyle w:val="Normal"/>
        <w:ind w:hanging="454" w:left="454"/>
        <w:rPr/>
      </w:pPr>
      <w:r>
        <w:rPr>
          <w:sz w:val="24"/>
        </w:rPr>
        <w:t>Código 13 – Pipeline principal reproduzível do EVTEAS-Py</w:t>
      </w:r>
    </w:p>
    <w:p>
      <w:pPr>
        <w:pStyle w:val="Heading1"/>
        <w:spacing w:lineRule="auto" w:line="360" w:before="360" w:after="0"/>
        <w:rPr>
          <w:rFonts w:ascii="Times New Roman" w:hAnsi="Times New Roman" w:eastAsia="Times New Roman" w:cs="Times New Roman"/>
          <w:b/>
          <w:bCs/>
          <w:color w:themeColor="text1" w:val="000000"/>
          <w:sz w:val="32"/>
          <w:szCs w:val="32"/>
        </w:rPr>
      </w:pPr>
      <w:bookmarkStart w:id="7" w:name="_Toc242269270"/>
      <w:bookmarkStart w:id="8" w:name="_Toc242269189"/>
      <w:bookmarkStart w:id="9" w:name="_Toc242269110"/>
      <w:r>
        <w:rPr>
          <w:rFonts w:eastAsia="Times New Roman" w:cs="Times New Roman" w:ascii="Times New Roman" w:hAnsi="Times New Roman"/>
          <w:b/>
          <w:bCs/>
          <w:color w:themeColor="text1" w:val="000000"/>
          <w:sz w:val="32"/>
          <w:szCs w:val="32"/>
        </w:rPr>
        <w:t>1 INTRODUÇÃO</w:t>
      </w:r>
      <w:bookmarkEnd w:id="7"/>
      <w:bookmarkEnd w:id="8"/>
      <w:bookmarkEnd w:id="9"/>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color w:themeColor="text1" w:val="000000"/>
          <w:sz w:val="24"/>
          <w:szCs w:val="24"/>
        </w:rPr>
        <w:t xml:space="preserve">A aquicultura consolidou-se como o segmento de produção de alimentos de origem animal de maior crescimento no mundo e responde hoje por mais da metade da produção de peixe destinado ao consumo humano (FAO, 2024). Em economias emergentes, e, de modo particular, no Brasil, o licenciamento ambiental federal converte parte das condicionantes de licença em programas de educação ambiental e em projetos de compensação de caráter coletivo, destinados a grupos sociais cuja atividade econômica sofre interferência de impactos inevitáveis do empreendimento (IBAMA, 2010, 2012). É nesse arranjo que alternativas produtivas de pequena escala, como a piscicultura, costumam ser concebidas para gerar renda e coesão social em comunidades pesqueiras </w:t>
      </w:r>
      <w:r>
        <w:rPr>
          <w:rFonts w:eastAsia="Times New Roman" w:cs="Times New Roman"/>
          <w:color w:val="000000"/>
          <w:sz w:val="24"/>
          <w:szCs w:val="24"/>
        </w:rPr>
        <w:t>(Hurst; Ihlen, 2018).</w:t>
      </w:r>
    </w:p>
    <w:p>
      <w:pPr>
        <w:pStyle w:val="Normal"/>
        <w:spacing w:lineRule="auto" w:line="360" w:before="0" w:after="0"/>
        <w:ind w:firstLine="708"/>
        <w:jc w:val="both"/>
        <w:rPr>
          <w:rFonts w:ascii="Times New Roman" w:hAnsi="Times New Roman" w:eastAsia="Times New Roman" w:cs="Times New Roman"/>
          <w:color w:val="000000"/>
          <w:sz w:val="24"/>
          <w:szCs w:val="24"/>
        </w:rPr>
      </w:pPr>
      <w:r>
        <w:rPr>
          <w:rFonts w:eastAsia="Times New Roman" w:cs="Times New Roman"/>
          <w:color w:val="000000"/>
          <w:sz w:val="24"/>
          <w:szCs w:val="24"/>
        </w:rPr>
        <w:t xml:space="preserve">Neste cenário, a decisão de investir depende de estudos de viabilidade que, na prática, são balizados em métricas de Engenharia Financeira, com indicadores como: valor presente líquido (VPL), taxa interna de retorno (TIR) e </w:t>
      </w:r>
      <w:r>
        <w:rPr>
          <w:rFonts w:eastAsia="Times New Roman" w:cs="Times New Roman"/>
          <w:i/>
          <w:iCs/>
          <w:color w:val="000000"/>
          <w:sz w:val="24"/>
          <w:szCs w:val="24"/>
        </w:rPr>
        <w:t xml:space="preserve">payback </w:t>
      </w:r>
      <w:r>
        <w:rPr>
          <w:rFonts w:eastAsia="Times New Roman" w:cs="Times New Roman"/>
          <w:color w:val="000000"/>
          <w:sz w:val="24"/>
          <w:szCs w:val="24"/>
        </w:rPr>
        <w:t xml:space="preserve">(Prazo de retorno) (Assaf Neto, 2014). Os instrumentos predominantes são planilhas, processadores de textos e aplicativos de desenhos assistido por computador, manejados por equipes multidisciplinares que produzem documentos estáticos e determinísticos (Yokoyama; Oliveira; Futami, 2018). A dimensão socioambiental, raramente é operacionalizada como conjunto de indicadores quantificáveis, ao permanecer como anexo descritivo em lugar de variável de decisão (Calabrese </w:t>
      </w:r>
      <w:r>
        <w:rPr>
          <w:rFonts w:eastAsia="Times New Roman" w:cs="Times New Roman"/>
          <w:i/>
          <w:iCs/>
          <w:color w:val="000000"/>
          <w:sz w:val="24"/>
          <w:szCs w:val="24"/>
        </w:rPr>
        <w:t>et al.</w:t>
      </w:r>
      <w:r>
        <w:rPr>
          <w:rFonts w:eastAsia="Times New Roman" w:cs="Times New Roman"/>
          <w:color w:val="000000"/>
          <w:sz w:val="24"/>
          <w:szCs w:val="24"/>
        </w:rPr>
        <w:t>, 2019). É dessa lacuna instrumental que resulta na proposta aqui apresentada.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Propõe-se um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para facilitar inserção de dados e obtenção de resultados de estudo de viabilidade técnica e econômica conforme abordado por Assaf Neto (2014), entretanto com aspectos socioambientais conforme orientação da ONU (2015) para agenda do desenvolvimento sustentável, resultando em estudo de viabilidade técnica, econômica, social e ambiental (EVTEAS). </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Espera-se que o </w:t>
      </w:r>
      <w:r>
        <w:rPr>
          <w:rFonts w:eastAsia="Times New Roman" w:cs="Times New Roman"/>
          <w:i/>
          <w:iCs/>
          <w:color w:themeColor="text1" w:val="000000"/>
          <w:sz w:val="24"/>
          <w:szCs w:val="24"/>
        </w:rPr>
        <w:t xml:space="preserve">framework, denominado EVTEAS-Py e aplicado à piscicultura, </w:t>
      </w:r>
      <w:r>
        <w:rPr>
          <w:rFonts w:eastAsia="Times New Roman" w:cs="Times New Roman"/>
          <w:color w:themeColor="text1" w:val="000000"/>
          <w:sz w:val="24"/>
          <w:szCs w:val="24"/>
        </w:rPr>
        <w:t>possua indicadores de KPIs (</w:t>
      </w:r>
      <w:r>
        <w:rPr>
          <w:rFonts w:eastAsia="Times New Roman" w:cs="Times New Roman"/>
          <w:i/>
          <w:iCs/>
          <w:color w:themeColor="text1" w:val="000000"/>
          <w:sz w:val="24"/>
          <w:szCs w:val="24"/>
        </w:rPr>
        <w:t>Key Perfomance Indicators</w:t>
      </w:r>
      <w:r>
        <w:rPr>
          <w:rFonts w:eastAsia="Times New Roman" w:cs="Times New Roman"/>
          <w:color w:themeColor="text1" w:val="000000"/>
          <w:sz w:val="24"/>
          <w:szCs w:val="24"/>
        </w:rPr>
        <w:t xml:space="preserve">), conforme Parmenter (2015), capazes de gerar resultados automatizados a partir da entrada dos dados pelo usuário, com princípios de </w:t>
      </w:r>
      <w:r>
        <w:rPr>
          <w:rFonts w:eastAsia="Times New Roman" w:cs="Times New Roman"/>
          <w:i/>
          <w:iCs/>
          <w:color w:themeColor="text1" w:val="000000"/>
          <w:sz w:val="24"/>
          <w:szCs w:val="24"/>
        </w:rPr>
        <w:t>Lean Green</w:t>
      </w:r>
      <w:r>
        <w:rPr>
          <w:rFonts w:eastAsia="Times New Roman" w:cs="Times New Roman"/>
          <w:color w:themeColor="text1" w:val="000000"/>
          <w:sz w:val="24"/>
          <w:szCs w:val="24"/>
        </w:rPr>
        <w:t xml:space="preserve">, conforme Mesquita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(2022), e indicadores ESG (</w:t>
      </w:r>
      <w:r>
        <w:rPr>
          <w:rFonts w:eastAsia="Times New Roman" w:cs="Times New Roman"/>
          <w:i/>
          <w:iCs/>
          <w:color w:themeColor="text1" w:val="000000"/>
          <w:sz w:val="24"/>
          <w:szCs w:val="24"/>
        </w:rPr>
        <w:t>Enviroment, Social and Governance</w:t>
      </w:r>
      <w:r>
        <w:rPr>
          <w:rFonts w:eastAsia="Times New Roman" w:cs="Times New Roman"/>
          <w:color w:themeColor="text1" w:val="000000"/>
          <w:sz w:val="24"/>
          <w:szCs w:val="24"/>
        </w:rPr>
        <w:t>) a partir de Janowski (2021).</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O trabalho justifica-se por esperar demonstrar a viabilidade sustentável de Projetos de Geração de Trabalho e Renda (PGTR) com foco em piscicultura, para pessoas afetadas por impactos socioambientais, a partir da experiência do autor em trabalho no Projeto Pescarte, um projeto de mitigação ambiental exigido pelo Ibama, e o objetivo é organização comunitária por meio de geração trabalho e renda. Desse modo, análogo à experiência do Projeto de Educação Ambiental Pescarte (PEA)</w:t>
      </w:r>
      <w:r>
        <w:rPr>
          <w:rStyle w:val="FootnoteReference"/>
          <w:rFonts w:eastAsia="Times New Roman" w:cs="Times New Roman"/>
          <w:color w:themeColor="text1" w:val="000000"/>
          <w:sz w:val="24"/>
          <w:szCs w:val="24"/>
        </w:rPr>
        <w:footnoteReference w:id="2"/>
      </w:r>
      <w:r>
        <w:rPr>
          <w:rFonts w:eastAsia="Times New Roman" w:cs="Times New Roman"/>
          <w:color w:themeColor="text1" w:val="000000"/>
          <w:sz w:val="24"/>
          <w:szCs w:val="24"/>
        </w:rPr>
        <w:t xml:space="preserve"> outras comunidades afetadas ou vulneráveis podem validar a viabilidade de projetos com aquisição de recurso a partir de editais ou organizações fomentadoras de trabalho e renda.</w:t>
      </w:r>
    </w:p>
    <w:p>
      <w:pPr>
        <w:pStyle w:val="Normal"/>
        <w:spacing w:lineRule="auto" w:line="360" w:before="0" w:after="0"/>
        <w:ind w:firstLine="708"/>
        <w:jc w:val="both"/>
        <w:rPr>
          <w:rFonts w:ascii="Times New Roman" w:hAnsi="Times New Roman" w:eastAsia="Times New Roman" w:cs="Times New Roman"/>
          <w:color w:val="EE0000"/>
          <w:sz w:val="24"/>
          <w:szCs w:val="24"/>
        </w:rPr>
      </w:pPr>
      <w:r>
        <w:rPr>
          <w:rFonts w:eastAsia="Times New Roman" w:cs="Times New Roman"/>
          <w:color w:themeColor="text1" w:val="000000"/>
          <w:sz w:val="24"/>
          <w:szCs w:val="24"/>
        </w:rPr>
        <w:t xml:space="preserve">A motivação para o presente trabalho parte da experiência do autor com estudos de viabilidade técnicas, econômicas, ambiental e social com ferramentas básicas e tradicionais, como ferramentas de buscas, </w:t>
      </w:r>
      <w:r>
        <w:rPr>
          <w:rFonts w:eastAsia="Times New Roman" w:cs="Times New Roman"/>
          <w:i/>
          <w:iCs/>
          <w:color w:themeColor="text1" w:val="000000"/>
          <w:sz w:val="24"/>
          <w:szCs w:val="24"/>
        </w:rPr>
        <w:t>Word</w:t>
      </w:r>
      <w:r>
        <w:rPr>
          <w:rFonts w:eastAsia="Times New Roman" w:cs="Times New Roman"/>
          <w:color w:themeColor="text1" w:val="000000"/>
          <w:sz w:val="24"/>
          <w:szCs w:val="24"/>
        </w:rPr>
        <w:t xml:space="preserve">, </w:t>
      </w:r>
      <w:r>
        <w:rPr>
          <w:rFonts w:eastAsia="Times New Roman" w:cs="Times New Roman"/>
          <w:i/>
          <w:iCs/>
          <w:color w:themeColor="text1" w:val="000000"/>
          <w:sz w:val="24"/>
          <w:szCs w:val="24"/>
        </w:rPr>
        <w:t>Excel</w:t>
      </w:r>
      <w:r>
        <w:rPr>
          <w:rFonts w:eastAsia="Times New Roman" w:cs="Times New Roman"/>
          <w:color w:themeColor="text1" w:val="000000"/>
          <w:sz w:val="24"/>
          <w:szCs w:val="24"/>
        </w:rPr>
        <w:t xml:space="preserve"> e </w:t>
      </w:r>
      <w:r>
        <w:rPr>
          <w:rFonts w:eastAsia="Times New Roman" w:cs="Times New Roman"/>
          <w:i/>
          <w:iCs/>
          <w:color w:themeColor="text1" w:val="000000"/>
          <w:sz w:val="24"/>
          <w:szCs w:val="24"/>
        </w:rPr>
        <w:t xml:space="preserve">Autocad </w:t>
      </w:r>
      <w:r>
        <w:rPr>
          <w:rFonts w:eastAsia="Times New Roman" w:cs="Times New Roman"/>
          <w:color w:themeColor="text1" w:val="000000"/>
          <w:sz w:val="24"/>
          <w:szCs w:val="24"/>
        </w:rPr>
        <w:t>para desenvolvimento com equipes multidisciplinares com objetivo de demonstrar viabilidade sustentável para órgãos fomentadores e gerar renda para comunidades em vulnerabilidade.</w:t>
      </w:r>
      <w:r>
        <w:rPr>
          <w:rFonts w:eastAsia="Times New Roman" w:cs="Times New Roman"/>
          <w:color w:val="EE0000"/>
          <w:sz w:val="24"/>
          <w:szCs w:val="24"/>
        </w:rPr>
        <w:t xml:space="preserve"> </w:t>
      </w:r>
    </w:p>
    <w:p>
      <w:pPr>
        <w:pStyle w:val="Normal"/>
        <w:spacing w:lineRule="auto" w:line="360" w:before="0" w:after="0"/>
        <w:ind w:firstLine="708"/>
        <w:jc w:val="both"/>
        <w:rPr>
          <w:rFonts w:ascii="Times New Roman" w:hAnsi="Times New Roman" w:eastAsia="Times New Roman" w:cs="Times New Roman"/>
          <w:color w:val="EE0000"/>
          <w:sz w:val="24"/>
          <w:szCs w:val="24"/>
        </w:rPr>
      </w:pPr>
      <w:r>
        <w:rPr>
          <w:rFonts w:eastAsia="Times New Roman" w:cs="Times New Roman"/>
          <w:color w:val="EE0000"/>
          <w:sz w:val="24"/>
          <w:szCs w:val="24"/>
        </w:rPr>
      </w:r>
    </w:p>
    <w:p>
      <w:pPr>
        <w:pStyle w:val="Heading2"/>
        <w:spacing w:lineRule="auto" w:line="360" w:before="0" w:after="0"/>
        <w:rPr>
          <w:rFonts w:ascii="Times New Roman" w:hAnsi="Times New Roman" w:eastAsia="Times New Roman" w:cs="Times New Roman"/>
          <w:b/>
          <w:bCs/>
          <w:color w:themeColor="text1" w:val="000000"/>
          <w:sz w:val="28"/>
          <w:szCs w:val="28"/>
        </w:rPr>
      </w:pPr>
      <w:bookmarkStart w:id="10" w:name="_Toc242269271"/>
      <w:bookmarkStart w:id="11" w:name="_Toc242269190"/>
      <w:bookmarkStart w:id="12" w:name="_Toc242269111"/>
      <w:r>
        <w:rPr>
          <w:rFonts w:eastAsia="Times New Roman" w:cs="Times New Roman" w:ascii="Times New Roman" w:hAnsi="Times New Roman"/>
          <w:b/>
          <w:bCs/>
          <w:color w:themeColor="text1" w:val="000000"/>
          <w:sz w:val="28"/>
          <w:szCs w:val="28"/>
        </w:rPr>
        <w:t>1.1 Objetivos</w:t>
      </w:r>
      <w:bookmarkEnd w:id="10"/>
      <w:bookmarkEnd w:id="11"/>
      <w:bookmarkEnd w:id="12"/>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Desenvolver um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computacional em Python, com o código afinado à denominado EVTEAS-Py, que integre de forma sistemática as dimensões técnica, econômica, ambiental e social do EVTEAS, com princípios de </w:t>
      </w:r>
      <w:r>
        <w:rPr>
          <w:rFonts w:eastAsia="Times New Roman" w:cs="Times New Roman"/>
          <w:i/>
          <w:iCs/>
          <w:color w:themeColor="text1" w:val="000000"/>
          <w:sz w:val="24"/>
          <w:szCs w:val="24"/>
        </w:rPr>
        <w:t>Lean Green</w:t>
      </w:r>
      <w:r>
        <w:rPr>
          <w:rFonts w:eastAsia="Times New Roman" w:cs="Times New Roman"/>
          <w:b/>
          <w:bCs/>
          <w:i/>
          <w:iCs/>
          <w:color w:themeColor="text1" w:val="000000"/>
          <w:sz w:val="24"/>
          <w:szCs w:val="24"/>
        </w:rPr>
        <w:t xml:space="preserve">, </w:t>
      </w:r>
      <w:r>
        <w:rPr>
          <w:rFonts w:eastAsia="Times New Roman" w:cs="Times New Roman"/>
          <w:color w:themeColor="text1" w:val="000000"/>
          <w:sz w:val="24"/>
          <w:szCs w:val="24"/>
        </w:rPr>
        <w:t>quando aplicável, para a mitigação de desperdícios analíticos e promover a conformidade com indicadores ESG no planejamento de sistemas de produção aquícola sustentável.</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Para alcançar o objetivo geral, este estudo estabelece os seguintes objetivos específicos:</w:t>
      </w:r>
    </w:p>
    <w:p>
      <w:pPr>
        <w:pStyle w:val="Normal"/>
        <w:numPr>
          <w:ilvl w:val="0"/>
          <w:numId w:val="2"/>
        </w:numPr>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Selecionar indicadores de desempenho ambiental (Ecoeficiência), social e de governança, bem como técnicos e econômicos, alinhados às bases ESG e às práticas de </w:t>
      </w:r>
      <w:r>
        <w:rPr>
          <w:rFonts w:eastAsia="Times New Roman" w:cs="Times New Roman"/>
          <w:i/>
          <w:iCs/>
          <w:color w:themeColor="text1" w:val="000000"/>
          <w:sz w:val="24"/>
          <w:szCs w:val="24"/>
        </w:rPr>
        <w:t>Lean Green</w:t>
      </w:r>
      <w:r>
        <w:rPr>
          <w:rFonts w:eastAsia="Times New Roman" w:cs="Times New Roman"/>
          <w:color w:themeColor="text1" w:val="000000"/>
          <w:sz w:val="24"/>
          <w:szCs w:val="24"/>
        </w:rPr>
        <w:t>, quando aplicável;</w:t>
      </w:r>
    </w:p>
    <w:p>
      <w:pPr>
        <w:pStyle w:val="Normal"/>
        <w:numPr>
          <w:ilvl w:val="0"/>
          <w:numId w:val="2"/>
        </w:numPr>
        <w:spacing w:lineRule="auto" w:line="360" w:before="0" w:after="0"/>
        <w:jc w:val="both"/>
        <w:rPr>
          <w:color w:themeColor="text1" w:val="000000"/>
        </w:rPr>
      </w:pPr>
      <w:r>
        <w:rPr>
          <w:rFonts w:eastAsia="Times New Roman" w:cs="Times New Roman"/>
          <w:color w:themeColor="text1" w:val="000000"/>
          <w:sz w:val="24"/>
          <w:szCs w:val="24"/>
        </w:rPr>
        <w:t xml:space="preserve">Desenvolver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EVTEAS-Py, ao integrar bibliotecas de análise de dados, visualização e apoio à decisão, de modo a propiciar a identificação de </w:t>
      </w:r>
      <w:r>
        <w:rPr>
          <w:rFonts w:eastAsia="Times New Roman" w:cs="Times New Roman"/>
          <w:i/>
          <w:iCs/>
          <w:color w:themeColor="text1" w:val="000000"/>
          <w:sz w:val="24"/>
          <w:szCs w:val="24"/>
        </w:rPr>
        <w:t>trade-offs</w:t>
      </w:r>
      <w:r>
        <w:rPr>
          <w:rFonts w:eastAsia="Times New Roman" w:cs="Times New Roman"/>
          <w:color w:themeColor="text1" w:val="000000"/>
          <w:sz w:val="24"/>
          <w:szCs w:val="24"/>
        </w:rPr>
        <w:t xml:space="preserve"> entre desempenho técnico, econômico, ambiental, social e de governança;</w:t>
      </w:r>
    </w:p>
    <w:p>
      <w:pPr>
        <w:pStyle w:val="Normal"/>
        <w:numPr>
          <w:ilvl w:val="0"/>
          <w:numId w:val="2"/>
        </w:numPr>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Validar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com análise de especialistas;</w:t>
      </w:r>
    </w:p>
    <w:p>
      <w:pPr>
        <w:pStyle w:val="Normal"/>
        <w:numPr>
          <w:ilvl w:val="0"/>
          <w:numId w:val="2"/>
        </w:numPr>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Validar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por meio de uma simulação, aplicando o EVTEAS-Py a um projeto de piscicultura, avaliando sua eficácia na geração de valor sustentável, na transparência decisória.</w:t>
      </w:r>
    </w:p>
    <w:p>
      <w:pPr>
        <w:pStyle w:val="Normal"/>
        <w:spacing w:lineRule="auto" w:line="360" w:before="0" w:after="0"/>
        <w:ind w:firstLine="708"/>
        <w:jc w:val="both"/>
        <w:rPr>
          <w:rFonts w:ascii="Times New Roman" w:hAnsi="Times New Roman" w:eastAsia="Times New Roman" w:cs="Times New Roman"/>
          <w:color w:val="EE0000"/>
          <w:sz w:val="24"/>
          <w:szCs w:val="24"/>
        </w:rPr>
      </w:pPr>
      <w:r>
        <w:rPr>
          <w:rFonts w:eastAsia="Times New Roman" w:cs="Times New Roman"/>
          <w:color w:val="EE0000"/>
          <w:sz w:val="24"/>
          <w:szCs w:val="24"/>
        </w:rPr>
      </w:r>
    </w:p>
    <w:p>
      <w:pPr>
        <w:pStyle w:val="Heading2"/>
        <w:spacing w:lineRule="auto" w:line="360" w:before="0" w:after="0"/>
        <w:rPr>
          <w:rFonts w:ascii="Times New Roman" w:hAnsi="Times New Roman" w:eastAsia="Times New Roman" w:cs="Times New Roman"/>
          <w:b/>
          <w:bCs/>
          <w:color w:themeColor="text1" w:val="000000"/>
          <w:sz w:val="28"/>
          <w:szCs w:val="28"/>
        </w:rPr>
      </w:pPr>
      <w:bookmarkStart w:id="13" w:name="_Toc242269272"/>
      <w:bookmarkStart w:id="14" w:name="_Toc242269191"/>
      <w:bookmarkStart w:id="15" w:name="_Toc242269112"/>
      <w:r>
        <w:rPr>
          <w:rFonts w:eastAsia="Times New Roman" w:cs="Times New Roman" w:ascii="Times New Roman" w:hAnsi="Times New Roman"/>
          <w:b/>
          <w:bCs/>
          <w:color w:themeColor="text1" w:val="000000"/>
          <w:sz w:val="28"/>
          <w:szCs w:val="28"/>
        </w:rPr>
        <w:t>1.2 Justificativa</w:t>
      </w:r>
      <w:bookmarkEnd w:id="13"/>
      <w:bookmarkEnd w:id="14"/>
      <w:bookmarkEnd w:id="15"/>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tomada de decisão em projetos socioambientais é frequentemente prejudicada pela subjetividade e pela incerteza dos dados. Conforme destacam Calabrese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(2019), a falta de métodos estruturados para lidar com a ambiguidade inerente aos temas de sustentabilidade impede que as empresas identifiquem onde podem gerar valor compartilhado real. Nesse sentido, a proposição de um</w:t>
      </w:r>
      <w:r>
        <w:rPr>
          <w:rFonts w:eastAsia="Times New Roman" w:cs="Times New Roman"/>
          <w:i/>
          <w:iCs/>
          <w:color w:themeColor="text1" w:val="000000"/>
          <w:sz w:val="24"/>
          <w:szCs w:val="24"/>
        </w:rPr>
        <w:t xml:space="preserve"> framework</w:t>
      </w:r>
      <w:r>
        <w:rPr>
          <w:rFonts w:eastAsia="Times New Roman" w:cs="Times New Roman"/>
          <w:color w:themeColor="text1" w:val="000000"/>
          <w:sz w:val="24"/>
          <w:szCs w:val="24"/>
        </w:rPr>
        <w:t xml:space="preserve"> automatizado visa reduzir essa incerteza, oferecendo uma base quantitativa para escolhas estratégicas que beneficiem tanto a eficiência produtiva quanto o contexto social, seja por responsabilidade social, o por licenciamento regulatório.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necessidade de uma nova ferramenta computacional decorre também de lacunas instrumentais. Yokoyama, Oliveira e Futami (2018) identificaram que as ferramentas mais recorrentes na literatura para a gestão integrada são as normas ISO (</w:t>
      </w:r>
      <w:r>
        <w:rPr>
          <w:rFonts w:eastAsia="Times New Roman" w:cs="Times New Roman"/>
          <w:i/>
          <w:iCs/>
          <w:color w:themeColor="text1" w:val="000000"/>
          <w:sz w:val="24"/>
          <w:szCs w:val="24"/>
        </w:rPr>
        <w:t>International Organization for Standardization</w:t>
      </w:r>
      <w:r>
        <w:rPr>
          <w:rFonts w:eastAsia="Times New Roman" w:cs="Times New Roman"/>
          <w:color w:themeColor="text1" w:val="000000"/>
          <w:sz w:val="24"/>
          <w:szCs w:val="24"/>
        </w:rPr>
        <w:t xml:space="preserve">) 14001 e o Mapeamento do Fluxo de Valor (MFV). A predominância de métodos manuais ou procedimentais reforça a oportunidade para o desenvolvimento de soluções automatizadas, como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em Python proposto, capaz de tratar dados complexos de piscicultura que ferramentas tradicionais abordam de modo não padronizado.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integração da dimensão social no EVTEAS enfrenta, à princípio, o desafio da “ambiguidade semântica” que envolve o conceito de Responsabilidade Social Corporativa (RSC). A partir da revisão sistemática de Janowski (2021), a literatura científica não apresenta consenso sobre o papel e os limites da RSC, entre a filantropia corporativa e a eficiência de mercado.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Em relação às normas internacionais, Calabrese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(2019, p. 156) indicam a ISO 26000 como diretriz para padronizar a gestão estratégica da sustentabilidade, diante da incerteza, da ambiguidade e da complexidade percebidas no tema, e ressaltam que as PMEs, com menos recursos, frequentemente não conseguem identificar e aproveitar oportunidades de vantagem competitiva por meio da sustentabilidade.</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Por um lado, surge uma visão crítica sobre a moralidade das corporações que exercem um “superpoder” ao dizer o que é melhor para a sociedade por meio de projetos socioambientais. Sob esta perspectiva, a RSC seria exercida de forma mais direta e democrática por meio da prática do preço justo, ao manter o excedente financeiro no “bolso do cliente” (Janowski, 2021).</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Por outro lado, Bowen (1953 apud Janowski, 2021, p. 9) e Carroll (1979 apud Janowski, 2021, p. 9), e defensores da Teoria dos </w:t>
      </w:r>
      <w:r>
        <w:rPr>
          <w:rFonts w:eastAsia="Times New Roman" w:cs="Times New Roman"/>
          <w:i/>
          <w:iCs/>
          <w:color w:themeColor="text1" w:val="000000"/>
          <w:sz w:val="24"/>
          <w:szCs w:val="24"/>
        </w:rPr>
        <w:t>Stakeholders</w:t>
      </w:r>
      <w:r>
        <w:rPr>
          <w:rFonts w:eastAsia="Times New Roman" w:cs="Times New Roman"/>
          <w:color w:themeColor="text1" w:val="000000"/>
          <w:sz w:val="24"/>
          <w:szCs w:val="24"/>
        </w:rPr>
        <w:t xml:space="preserve"> sustentam que a RSC é um imperativo ético inegociável: as empresas, como grandes beneficiárias dos recursos sociais, possuem o dever moral de corrigir externalidades socioambientais negativas, ao agir como fomentadoras de bem-estar social para reparar danos causados por sua atuação.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Essa divergência entre a abordagem instrumental (RSC como estratégia de lucro e aceitação) e a abordagem normativa (RSC como dever ético) reforça a complexidade de se mensurar o impacto social em um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como o EVTEAS-py. Por essa razão justifica-se que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possua inserção de dados que demonstrem impactos socioambientais que validem a obrigação dos fundos mitigatórios ou compensatórios.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Para o mapeamento das responsabilidades sociais dentro 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proposto, consideram-se as duas abordagens de engajamento sugeridas por Hurst e Ihlen (2018): a estratégica e a negociada. Enquanto a abordagem estratégica foca na comunicação de políticas já caracterizadas pela alta gestão para obter </w:t>
      </w:r>
      <w:r>
        <w:rPr>
          <w:rFonts w:eastAsia="Times New Roman" w:cs="Times New Roman"/>
          <w:i/>
          <w:iCs/>
          <w:color w:themeColor="text1" w:val="000000"/>
          <w:sz w:val="24"/>
          <w:szCs w:val="24"/>
        </w:rPr>
        <w:t>feedback</w:t>
      </w:r>
      <w:r>
        <w:rPr>
          <w:rFonts w:eastAsia="Times New Roman" w:cs="Times New Roman"/>
          <w:color w:themeColor="text1" w:val="000000"/>
          <w:sz w:val="24"/>
          <w:szCs w:val="24"/>
        </w:rPr>
        <w:t xml:space="preserve">, a abordagem negociada pressupõe um diálogo aberto.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em Python pode subsidiar o gestor para identificar qual dessas estratégias de resposta às partes interessadas é mais adequada ao contexto local para o projeto proposto.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relevância de integrar indicadores sociais ao EVTEAS reside na necessidade de obter a “licença social para operar” (LSO). Hurst e Ihlen (2018) elucidam que, essa licença é a aceitação contínua de um desenvolvimento pela comunidade local, fator determinante para que aquicultura prosperem e sobrevivam no ambiente em que estão inseridos.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Sob a perspectiva instrumental, a RSC justifica-se pela vantagem competitiva obtida ao alocar recursos estrategicamente para atender às demandas percebidas das partes interessadas (Hurst; Ihlen, 2018). Isso sugere que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EVTEAS-Py não deve apenas medir custos, mas atuar como uma ferramenta de diagnóstico para entender e responder às expectativas dos </w:t>
      </w:r>
      <w:r>
        <w:rPr>
          <w:rFonts w:eastAsia="Times New Roman" w:cs="Times New Roman"/>
          <w:i/>
          <w:iCs/>
          <w:color w:themeColor="text1" w:val="000000"/>
          <w:sz w:val="24"/>
          <w:szCs w:val="24"/>
        </w:rPr>
        <w:t>stakeholders</w:t>
      </w:r>
      <w:r>
        <w:rPr>
          <w:rFonts w:eastAsia="Times New Roman" w:cs="Times New Roman"/>
          <w:color w:themeColor="text1" w:val="000000"/>
          <w:sz w:val="24"/>
          <w:szCs w:val="24"/>
        </w:rPr>
        <w:t>, que, por serem construções sociais, mudam ao longo do tempo. Um exemplo histórico é a poluição industrial: antes aceita como mal necessário para o crescimento, hoje é inaceitável para a sociedade e investidores (Xu; Zhu, 2024).</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Sob a perspectiva do custo financeiro, a confiabilidade das estimativas é crítica para licitações públicas, quando necessárias, ao poder mitigar sobrepreço ou inexequibilidade em obras e serviços de engenharia. A </w:t>
      </w:r>
      <w:r>
        <w:rPr>
          <w:rFonts w:eastAsia="Times New Roman" w:cs="Times New Roman"/>
          <w:i/>
          <w:iCs/>
          <w:color w:themeColor="text1" w:val="000000"/>
          <w:sz w:val="24"/>
          <w:szCs w:val="24"/>
        </w:rPr>
        <w:t>Association for the Advancement of Cost Engineering</w:t>
      </w:r>
      <w:r>
        <w:rPr>
          <w:rFonts w:eastAsia="Times New Roman" w:cs="Times New Roman"/>
          <w:color w:themeColor="text1" w:val="000000"/>
          <w:sz w:val="24"/>
          <w:szCs w:val="24"/>
        </w:rPr>
        <w:t xml:space="preserve"> (AACE) classifica as estimativas da Classe 5 (fase conceitual) à Classe 1 (detalhamento total), e o Projeto Básico exigido pela Lei nº 14.133/2021 (Brasil, 2021) requer precisão compatível com as classes mais altas de maturidade (AACE International, 2020). Como a imprecisão de escopo e custos no planejamento é a principal causa de aditivos contratuais e paralisações futuras, um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computacional padronizado contribui para elevar a maturidade do planejamento à priori, quando estes precisarem ser realizados via licitação pelas corporações fomentadoras.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incorporação dos conceitos de </w:t>
      </w:r>
      <w:r>
        <w:rPr>
          <w:rFonts w:eastAsia="Times New Roman" w:cs="Times New Roman"/>
          <w:i/>
          <w:iCs/>
          <w:color w:themeColor="text1" w:val="000000"/>
          <w:sz w:val="24"/>
          <w:szCs w:val="24"/>
        </w:rPr>
        <w:t>Lean Green</w:t>
      </w:r>
      <w:r>
        <w:rPr>
          <w:rFonts w:eastAsia="Times New Roman" w:cs="Times New Roman"/>
          <w:b/>
          <w:bCs/>
          <w:color w:themeColor="text1" w:val="000000"/>
          <w:sz w:val="24"/>
          <w:szCs w:val="24"/>
        </w:rPr>
        <w:t xml:space="preserve"> </w:t>
      </w:r>
      <w:r>
        <w:rPr>
          <w:rFonts w:eastAsia="Times New Roman" w:cs="Times New Roman"/>
          <w:color w:themeColor="text1" w:val="000000"/>
          <w:sz w:val="24"/>
          <w:szCs w:val="24"/>
        </w:rPr>
        <w:t>e</w:t>
      </w:r>
      <w:r>
        <w:rPr>
          <w:rFonts w:eastAsia="Times New Roman" w:cs="Times New Roman"/>
          <w:b/>
          <w:bCs/>
          <w:color w:themeColor="text1" w:val="000000"/>
          <w:sz w:val="24"/>
          <w:szCs w:val="24"/>
        </w:rPr>
        <w:t xml:space="preserve"> </w:t>
      </w:r>
      <w:r>
        <w:rPr>
          <w:rFonts w:eastAsia="Times New Roman" w:cs="Times New Roman"/>
          <w:color w:themeColor="text1" w:val="000000"/>
          <w:sz w:val="24"/>
          <w:szCs w:val="24"/>
        </w:rPr>
        <w:t xml:space="preserve">ESG fortalece a relevância científica e a justificativa prática deste trabalho ao enfrentar a ineficiência metodológica observada em estudos tradicionais de viabilidade. Mesquita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(2022, p. 865) destacam que as abordagens Lean e Green são compatíveis na prática, pois ambas se concentram na redução de desperdícios e no aumento da eficiência dos processos, com efeitos positivos sobre os indicadores de desempenho ambiental e operacional.</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Sob a perspectiva do ESG, o</w:t>
      </w:r>
      <w:r>
        <w:rPr>
          <w:rFonts w:eastAsia="Times New Roman" w:cs="Times New Roman"/>
          <w:i/>
          <w:iCs/>
          <w:color w:themeColor="text1" w:val="000000"/>
          <w:sz w:val="24"/>
          <w:szCs w:val="24"/>
        </w:rPr>
        <w:t xml:space="preserve"> framework</w:t>
      </w:r>
      <w:r>
        <w:rPr>
          <w:rFonts w:eastAsia="Times New Roman" w:cs="Times New Roman"/>
          <w:color w:themeColor="text1" w:val="000000"/>
          <w:sz w:val="24"/>
          <w:szCs w:val="24"/>
        </w:rPr>
        <w:t xml:space="preserve"> proposto pode atuar de forma direta na base Governança (G), ao oferecer uma metodologia estruturada, auditável e baseada em dados quantitativos para embasar decisões de investimento nos âmbitos </w:t>
      </w:r>
      <w:r>
        <w:rPr>
          <w:rFonts w:eastAsia="Times New Roman" w:cs="Times New Roman"/>
          <w:i/>
          <w:iCs/>
          <w:color w:themeColor="text1" w:val="000000"/>
          <w:sz w:val="24"/>
          <w:szCs w:val="24"/>
        </w:rPr>
        <w:t>Enviromnent</w:t>
      </w:r>
      <w:r>
        <w:rPr>
          <w:rFonts w:eastAsia="Times New Roman" w:cs="Times New Roman"/>
          <w:color w:themeColor="text1" w:val="000000"/>
          <w:sz w:val="24"/>
          <w:szCs w:val="24"/>
        </w:rPr>
        <w:t xml:space="preserve"> (E) e, Social</w:t>
      </w:r>
      <w:r>
        <w:rPr>
          <w:rFonts w:eastAsia="Times New Roman" w:cs="Times New Roman"/>
          <w:b/>
          <w:bCs/>
          <w:color w:themeColor="text1" w:val="000000"/>
          <w:sz w:val="24"/>
          <w:szCs w:val="24"/>
        </w:rPr>
        <w:t xml:space="preserve"> </w:t>
      </w:r>
      <w:r>
        <w:rPr>
          <w:rFonts w:eastAsia="Times New Roman" w:cs="Times New Roman"/>
          <w:color w:themeColor="text1" w:val="000000"/>
          <w:sz w:val="24"/>
          <w:szCs w:val="24"/>
        </w:rPr>
        <w:t xml:space="preserve">(S). Como argumentam Xu e Zhu (2024, p. 1), a adoção de métricas ESG consistentes está positivamente associada a um desempenho financeiro corporativo sólido, além de atuar na mitigação de restrições financeiras e no impulsionamento da inovação nas organizações. Outrossim, o alinhamento às diretrizes da Global Reporting Initiative (GRI) amplia a transparência e a credibilidade do EVTEAS diante de investidores e demais usuários das informações de sustentabilidade (GRI, 2021, p. 6-7, 27). </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proposta alinha-se à convergência entre a gestão enxuta e a sustentabilidade discutida por Kosasih, Pujawan e Karningsih (2023, p. 2), segundo os quais a união dessas práticas contribui para ganhos operacionais e ambientais simultâneos, destacando-se como uma estratégia essencial para impulsionar a eficiência e a responsabilidade em cadeias de suprimentos, especialmente em pequenas e médias empresas (PMEs).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amalgamação entre essas abordagens é corroborada por estudos bibliométricos que identificam o </w:t>
      </w:r>
      <w:r>
        <w:rPr>
          <w:rFonts w:eastAsia="Times New Roman" w:cs="Times New Roman"/>
          <w:i/>
          <w:iCs/>
          <w:color w:themeColor="text1" w:val="000000"/>
          <w:sz w:val="24"/>
          <w:szCs w:val="24"/>
        </w:rPr>
        <w:t>Lean</w:t>
      </w:r>
      <w:r>
        <w:rPr>
          <w:rFonts w:eastAsia="Times New Roman" w:cs="Times New Roman"/>
          <w:color w:themeColor="text1" w:val="000000"/>
          <w:sz w:val="24"/>
          <w:szCs w:val="24"/>
        </w:rPr>
        <w:t xml:space="preserve"> como um elemento catalisador para as práticas </w:t>
      </w:r>
      <w:r>
        <w:rPr>
          <w:rFonts w:eastAsia="Times New Roman" w:cs="Times New Roman"/>
          <w:i/>
          <w:iCs/>
          <w:color w:themeColor="text1" w:val="000000"/>
          <w:sz w:val="24"/>
          <w:szCs w:val="24"/>
        </w:rPr>
        <w:t>Green</w:t>
      </w:r>
      <w:r>
        <w:rPr>
          <w:rFonts w:eastAsia="Times New Roman" w:cs="Times New Roman"/>
          <w:color w:themeColor="text1" w:val="000000"/>
          <w:sz w:val="24"/>
          <w:szCs w:val="24"/>
        </w:rPr>
        <w:t>. Yokoyama, Oliveira e Futami (2018) aborda que há uma sinergia na utilização integrada desses conceitos, a qual gera benefícios superiores aos que seriam obtidos se as práticas fossem aplicadas separadamente, ao estabelecer um alinhamento natural entre a liderança organizacional e os objetivos de sustentabilidade.</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Os estudos de Mesquita </w:t>
      </w:r>
      <w:r>
        <w:rPr>
          <w:rFonts w:eastAsia="Times New Roman" w:cs="Times New Roman"/>
          <w:i/>
          <w:iCs/>
          <w:color w:themeColor="text1" w:val="000000"/>
          <w:sz w:val="24"/>
          <w:szCs w:val="24"/>
        </w:rPr>
        <w:t xml:space="preserve">et al. </w:t>
      </w:r>
      <w:r>
        <w:rPr>
          <w:rFonts w:eastAsia="Times New Roman" w:cs="Times New Roman"/>
          <w:color w:themeColor="text1" w:val="000000"/>
          <w:sz w:val="24"/>
          <w:szCs w:val="24"/>
        </w:rPr>
        <w:t xml:space="preserve">(2022, p. 880-881) demonstram ainda que tecnologias da Indústria 4.0, como IoT, Big Data, informação em tempo real e realidade aumentada, associadas ao </w:t>
      </w:r>
      <w:r>
        <w:rPr>
          <w:rFonts w:eastAsia="Times New Roman" w:cs="Times New Roman"/>
          <w:i/>
          <w:iCs/>
          <w:color w:themeColor="text1" w:val="000000"/>
          <w:sz w:val="24"/>
          <w:szCs w:val="24"/>
        </w:rPr>
        <w:t>Lean</w:t>
      </w:r>
      <w:r>
        <w:rPr>
          <w:rFonts w:eastAsia="Times New Roman" w:cs="Times New Roman"/>
          <w:color w:themeColor="text1" w:val="000000"/>
          <w:sz w:val="24"/>
          <w:szCs w:val="24"/>
        </w:rPr>
        <w:t>, permitem identificar desperdícios ambientais e de produção e reduzir o consumo de água e energia e a poluição, embora poucas relações na literatura identificada pelo autor descrevam essas práticas no nível de componentes.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Ao automatizar o EVTEAS por meio de um </w:t>
      </w:r>
      <w:r>
        <w:rPr>
          <w:rFonts w:eastAsia="Times New Roman" w:cs="Times New Roman"/>
          <w:i/>
          <w:iCs/>
          <w:color w:themeColor="text1" w:val="000000"/>
          <w:sz w:val="24"/>
          <w:szCs w:val="24"/>
        </w:rPr>
        <w:t xml:space="preserve">framework </w:t>
      </w:r>
      <w:r>
        <w:rPr>
          <w:rFonts w:eastAsia="Times New Roman" w:cs="Times New Roman"/>
          <w:color w:themeColor="text1" w:val="000000"/>
          <w:sz w:val="24"/>
          <w:szCs w:val="24"/>
        </w:rPr>
        <w:t>computacional em Python, este estudo reduz o desperdício de tempo</w:t>
      </w:r>
      <w:r>
        <w:rPr>
          <w:rFonts w:eastAsia="Times New Roman" w:cs="Times New Roman"/>
          <w:b/>
          <w:bCs/>
          <w:color w:themeColor="text1" w:val="000000"/>
          <w:sz w:val="24"/>
          <w:szCs w:val="24"/>
        </w:rPr>
        <w:t xml:space="preserve">, </w:t>
      </w:r>
      <w:r>
        <w:rPr>
          <w:rFonts w:eastAsia="Times New Roman" w:cs="Times New Roman"/>
          <w:color w:themeColor="text1" w:val="000000"/>
          <w:sz w:val="24"/>
          <w:szCs w:val="24"/>
        </w:rPr>
        <w:t>o</w:t>
      </w:r>
      <w:r>
        <w:rPr>
          <w:rFonts w:eastAsia="Times New Roman" w:cs="Times New Roman"/>
          <w:b/>
          <w:bCs/>
          <w:color w:themeColor="text1" w:val="000000"/>
          <w:sz w:val="24"/>
          <w:szCs w:val="24"/>
        </w:rPr>
        <w:t xml:space="preserve"> </w:t>
      </w:r>
      <w:r>
        <w:rPr>
          <w:rFonts w:eastAsia="Times New Roman" w:cs="Times New Roman"/>
          <w:color w:themeColor="text1" w:val="000000"/>
          <w:sz w:val="24"/>
          <w:szCs w:val="24"/>
        </w:rPr>
        <w:t>desperdício de talento técnico e a fragmentação analítica do processo decisório, deslocando o foco do produtor da elaboração manual de estudos para a gestão efetiva da operação produtiva.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No contexto específico da aquicultura, a aplicação de princípios de gestão enxuta (</w:t>
      </w:r>
      <w:r>
        <w:rPr>
          <w:rFonts w:eastAsia="Times New Roman" w:cs="Times New Roman"/>
          <w:i/>
          <w:iCs/>
          <w:color w:themeColor="text1" w:val="000000"/>
          <w:sz w:val="24"/>
          <w:szCs w:val="24"/>
        </w:rPr>
        <w:t>Lean Management</w:t>
      </w:r>
      <w:r>
        <w:rPr>
          <w:rFonts w:eastAsia="Times New Roman" w:cs="Times New Roman"/>
          <w:color w:themeColor="text1" w:val="000000"/>
          <w:sz w:val="24"/>
          <w:szCs w:val="24"/>
        </w:rPr>
        <w:t xml:space="preserve">) tem se mostrado decisiva para a sobrevivência e crescimento de pequenos produtores (Lawrence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2023, p. 4–9). A identificação sistemática de desperdícios, como o uso excessivo de ração, falhas no manejo e perdas por mortalidade evitável, associada à padronização de processos, à gestão visual e à melhoria contínua, amplia a eficiência operacional, a taxa de sobrevivência dos peixes e o desempenho zootécnico sem a necessidade de grandes aportes de capital fixo (Lawrence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2023, p. 10-24).</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integração da dimensão social no EVTEAS-Py é ratificada pela necessidade de mitigar pressões operacionais sobre o capital humano. Conforme Wang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a busca por sistemas </w:t>
      </w:r>
      <w:r>
        <w:rPr>
          <w:rFonts w:eastAsia="Times New Roman" w:cs="Times New Roman"/>
          <w:i/>
          <w:iCs/>
          <w:color w:themeColor="text1" w:val="000000"/>
          <w:sz w:val="24"/>
          <w:szCs w:val="24"/>
        </w:rPr>
        <w:t>ultra-lean</w:t>
      </w:r>
      <w:r>
        <w:rPr>
          <w:rFonts w:eastAsia="Times New Roman" w:cs="Times New Roman"/>
          <w:color w:themeColor="text1" w:val="000000"/>
          <w:sz w:val="24"/>
          <w:szCs w:val="24"/>
        </w:rPr>
        <w:t xml:space="preserve"> pode tensionar as condições de trabalho e as relações comunitárias se não for balanceada com metas de sustentabilidade.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proposto atua como um “amortecedor de sustentabilidade” (</w:t>
      </w:r>
      <w:r>
        <w:rPr>
          <w:rFonts w:eastAsia="Times New Roman" w:cs="Times New Roman"/>
          <w:i/>
          <w:iCs/>
          <w:color w:themeColor="text1" w:val="000000"/>
          <w:sz w:val="24"/>
          <w:szCs w:val="24"/>
        </w:rPr>
        <w:t>sustainability buffer</w:t>
      </w:r>
      <w:r>
        <w:rPr>
          <w:rFonts w:eastAsia="Times New Roman" w:cs="Times New Roman"/>
          <w:color w:themeColor="text1" w:val="000000"/>
          <w:sz w:val="24"/>
          <w:szCs w:val="24"/>
        </w:rPr>
        <w:t>), ao harmonizar agilidade produtiva, bem-estar social e conformidade ética.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Wang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apontam que tecnologias digitais (como IA e </w:t>
      </w:r>
      <w:r>
        <w:rPr>
          <w:rFonts w:eastAsia="Times New Roman" w:cs="Times New Roman"/>
          <w:i/>
          <w:iCs/>
          <w:color w:themeColor="text1" w:val="000000"/>
          <w:sz w:val="24"/>
          <w:szCs w:val="24"/>
        </w:rPr>
        <w:t>IoT</w:t>
      </w:r>
      <w:r>
        <w:rPr>
          <w:rFonts w:eastAsia="Times New Roman" w:cs="Times New Roman"/>
          <w:color w:themeColor="text1" w:val="000000"/>
          <w:sz w:val="24"/>
          <w:szCs w:val="24"/>
        </w:rPr>
        <w:t xml:space="preserve">) funcionam como moderadores positivos que suavizam a curva de risco do </w:t>
      </w:r>
      <w:r>
        <w:rPr>
          <w:rFonts w:eastAsia="Times New Roman" w:cs="Times New Roman"/>
          <w:i/>
          <w:iCs/>
          <w:color w:themeColor="text1" w:val="000000"/>
          <w:sz w:val="24"/>
          <w:szCs w:val="24"/>
        </w:rPr>
        <w:t>Lean</w:t>
      </w:r>
      <w:r>
        <w:rPr>
          <w:rFonts w:eastAsia="Times New Roman" w:cs="Times New Roman"/>
          <w:color w:themeColor="text1" w:val="000000"/>
          <w:sz w:val="24"/>
          <w:szCs w:val="24"/>
        </w:rPr>
        <w:t>, ao permitir uma visibilidade que protege o desempenho ESG mesmo sob intensa competição de mercado.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Essa tensão entre eficiência e sustentabilidade remete a um debate histórico na literatura sobre se o “</w:t>
      </w:r>
      <w:r>
        <w:rPr>
          <w:rFonts w:eastAsia="Times New Roman" w:cs="Times New Roman"/>
          <w:i/>
          <w:iCs/>
          <w:color w:themeColor="text1" w:val="000000"/>
          <w:sz w:val="24"/>
          <w:szCs w:val="24"/>
        </w:rPr>
        <w:t>Lean</w:t>
      </w:r>
      <w:r>
        <w:rPr>
          <w:rFonts w:eastAsia="Times New Roman" w:cs="Times New Roman"/>
          <w:color w:themeColor="text1" w:val="000000"/>
          <w:sz w:val="24"/>
          <w:szCs w:val="24"/>
        </w:rPr>
        <w:t xml:space="preserve"> é necessariamente </w:t>
      </w:r>
      <w:r>
        <w:rPr>
          <w:rFonts w:eastAsia="Times New Roman" w:cs="Times New Roman"/>
          <w:i/>
          <w:iCs/>
          <w:color w:themeColor="text1" w:val="000000"/>
          <w:sz w:val="24"/>
          <w:szCs w:val="24"/>
        </w:rPr>
        <w:t>Green</w:t>
      </w:r>
      <w:r>
        <w:rPr>
          <w:rFonts w:eastAsia="Times New Roman" w:cs="Times New Roman"/>
          <w:color w:themeColor="text1" w:val="000000"/>
          <w:sz w:val="24"/>
          <w:szCs w:val="24"/>
        </w:rPr>
        <w:t xml:space="preserve">”. Conforme apontado na revisão de Yokoyama, Oliveira e Futami (2018), embora existam pontos de convergência, há cenários operacionais, como na logística </w:t>
      </w:r>
      <w:r>
        <w:rPr>
          <w:rFonts w:eastAsia="Times New Roman" w:cs="Times New Roman"/>
          <w:i/>
          <w:iCs/>
          <w:color w:themeColor="text1" w:val="000000"/>
          <w:sz w:val="24"/>
          <w:szCs w:val="24"/>
        </w:rPr>
        <w:t>Just-in-Time</w:t>
      </w:r>
      <w:r>
        <w:rPr>
          <w:rFonts w:eastAsia="Times New Roman" w:cs="Times New Roman"/>
          <w:color w:themeColor="text1" w:val="000000"/>
          <w:sz w:val="24"/>
          <w:szCs w:val="24"/>
        </w:rPr>
        <w:t xml:space="preserve"> com entregas fracionadas, em que a redução excessiva de estoques pode elevar as emissões de carbono, ao evidenciarque a integração exige ferramentas de balanceamento para não comprometer o desempenho ambiental.</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Mesquita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(2022, p. 886-890) ressaltam que a integração entre </w:t>
      </w:r>
      <w:r>
        <w:rPr>
          <w:rFonts w:eastAsia="Times New Roman" w:cs="Times New Roman"/>
          <w:i/>
          <w:iCs/>
          <w:color w:themeColor="text1" w:val="000000"/>
          <w:sz w:val="24"/>
          <w:szCs w:val="24"/>
        </w:rPr>
        <w:t>Lean</w:t>
      </w:r>
      <w:r>
        <w:rPr>
          <w:rFonts w:eastAsia="Times New Roman" w:cs="Times New Roman"/>
          <w:color w:themeColor="text1" w:val="000000"/>
          <w:sz w:val="24"/>
          <w:szCs w:val="24"/>
        </w:rPr>
        <w:t>, sustentabilidade ambiental e Indústria 4.0 exige coletar com precisão grande volume de dados operacionais e ambientais e conectar os sistemas de gestão existentes, sendo inicialmente mais viável para grandes empresas, mas tendendo a tornar-se acessível às pequenas e médias empresas no médio prazo, à medida que as soluções da Indústria 4.0 se difundem.</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Embora existam referenciais consolidados de relato de sustentabilidade, como as Normas GRI (GRI, 2021, p. 6-8), o</w:t>
      </w:r>
      <w:r>
        <w:rPr>
          <w:rFonts w:eastAsia="Times New Roman" w:cs="Times New Roman"/>
          <w:i/>
          <w:iCs/>
          <w:color w:themeColor="text1" w:val="000000"/>
          <w:sz w:val="24"/>
          <w:szCs w:val="24"/>
        </w:rPr>
        <w:t xml:space="preserve"> framework</w:t>
      </w:r>
      <w:r>
        <w:rPr>
          <w:rFonts w:eastAsia="Times New Roman" w:cs="Times New Roman"/>
          <w:color w:themeColor="text1" w:val="000000"/>
          <w:sz w:val="24"/>
          <w:szCs w:val="24"/>
        </w:rPr>
        <w:t xml:space="preserve"> em Python busca operacionalizar o engajamento exigido por esses padrões, transformando a percepção dos </w:t>
      </w:r>
      <w:r>
        <w:rPr>
          <w:rFonts w:eastAsia="Times New Roman" w:cs="Times New Roman"/>
          <w:i/>
          <w:iCs/>
          <w:color w:themeColor="text1" w:val="000000"/>
          <w:sz w:val="24"/>
          <w:szCs w:val="24"/>
        </w:rPr>
        <w:t>stakeholders</w:t>
      </w:r>
      <w:r>
        <w:rPr>
          <w:rFonts w:eastAsia="Times New Roman" w:cs="Times New Roman"/>
          <w:color w:themeColor="text1" w:val="000000"/>
          <w:sz w:val="24"/>
          <w:szCs w:val="24"/>
        </w:rPr>
        <w:t xml:space="preserve"> em dados acionáveis para a tomada de decisão.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2"/>
        <w:spacing w:lineRule="auto" w:line="360" w:before="0" w:after="0"/>
        <w:rPr>
          <w:rFonts w:ascii="Times New Roman" w:hAnsi="Times New Roman" w:eastAsia="Times New Roman" w:cs="Times New Roman"/>
          <w:b/>
          <w:bCs/>
          <w:color w:themeColor="text1" w:val="000000"/>
          <w:sz w:val="28"/>
          <w:szCs w:val="28"/>
        </w:rPr>
      </w:pPr>
      <w:bookmarkStart w:id="16" w:name="_Toc242269273"/>
      <w:bookmarkStart w:id="17" w:name="_Toc242269192"/>
      <w:bookmarkStart w:id="18" w:name="_Toc242269113"/>
      <w:r>
        <w:rPr>
          <w:rFonts w:eastAsia="Times New Roman" w:cs="Times New Roman" w:ascii="Times New Roman" w:hAnsi="Times New Roman"/>
          <w:b/>
          <w:bCs/>
          <w:color w:themeColor="text1" w:val="000000"/>
          <w:sz w:val="28"/>
          <w:szCs w:val="28"/>
        </w:rPr>
        <w:t>1.3 O Problema de pesquisa e a hipótese</w:t>
      </w:r>
      <w:bookmarkEnd w:id="16"/>
      <w:bookmarkEnd w:id="17"/>
      <w:bookmarkEnd w:id="18"/>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literatura</w:t>
      </w:r>
      <w:r>
        <w:rPr>
          <w:rFonts w:eastAsia="Times New Roman" w:cs="Times New Roman"/>
          <w:color w:val="EE0000"/>
          <w:sz w:val="24"/>
          <w:szCs w:val="24"/>
        </w:rPr>
        <w:t xml:space="preserve"> </w:t>
      </w:r>
      <w:r>
        <w:rPr>
          <w:rFonts w:eastAsia="Times New Roman" w:cs="Times New Roman"/>
          <w:color w:themeColor="text1" w:val="000000"/>
          <w:sz w:val="24"/>
          <w:szCs w:val="24"/>
        </w:rPr>
        <w:t xml:space="preserve">(Calabrese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2019; Mesquita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2022; Kosasih; Pujawan; Karningsih, 2023; Wang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tem reiterado que a sustentabilidade, embora amplamente reconhecida como diretriz estratégica, ainda carece de instrumentos operacionais que a integrem de forma consistente às decisões de investimento, especialmente em contextos produtivos complexos como a piscicultura. Nesse cenário, emerge o seguinte problema de pesquisa: </w:t>
      </w:r>
      <w:r>
        <w:rPr>
          <w:rFonts w:eastAsia="Times New Roman" w:cs="Times New Roman"/>
          <w:i/>
          <w:color w:themeColor="text1" w:val="000000"/>
          <w:sz w:val="24"/>
          <w:szCs w:val="24"/>
        </w:rPr>
        <w:t>como estruturar um EVTEAS capaz de incorporar, de modo integrado, as dimensões econômica, ambiental, social e de governança, alinhando princípios de Lean Green e métricas ESG, de forma a apoiar a tomada de decisão de pequenos e médios produtores aquícolas e reduzir os riscos de obsolescência produtiva e financeira?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proposição de um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de EVTEAS na piscicultura busca preencher essa lacuna instrumental, ao traduzir diretrizes teóricas em uma aplicação computacional direta acessível. </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Nesse sentido, a dimensão social do EVTEAS torna-se crítica, pois a Responsabilidade Social Corporativa (RSC) é uma construção social em constante mudança, baseada nas expectativas da sociedade (Hurst; Ihlen, 2018). Destarte,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deve propiciar que a organização mapeie essas expectativas para ratificar sua viabilidade a longo prazo, inclusive para concorrer a editais públicos de fomento a projetos de geração de renda.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aplicação prática do EVTEAS na piscicultura deve atuar como elo estruturante entre a intenção ambiental e a viabilidade operacional dos empreendimentos produtivos. Mesquita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(2022, p. 864) destacam que as empresas devem integrar os aspectos ambientais ao desempenho operacional para se manterem competitivas e que abordagens de melhoria contínua, como </w:t>
      </w:r>
      <w:r>
        <w:rPr>
          <w:rFonts w:eastAsia="Times New Roman" w:cs="Times New Roman"/>
          <w:i/>
          <w:iCs/>
          <w:color w:themeColor="text1" w:val="000000"/>
          <w:sz w:val="24"/>
          <w:szCs w:val="24"/>
        </w:rPr>
        <w:t>Lean</w:t>
      </w:r>
      <w:r>
        <w:rPr>
          <w:rFonts w:eastAsia="Times New Roman" w:cs="Times New Roman"/>
          <w:color w:themeColor="text1" w:val="000000"/>
          <w:sz w:val="24"/>
          <w:szCs w:val="24"/>
        </w:rPr>
        <w:t xml:space="preserve"> e </w:t>
      </w:r>
      <w:r>
        <w:rPr>
          <w:rFonts w:eastAsia="Times New Roman" w:cs="Times New Roman"/>
          <w:i/>
          <w:iCs/>
          <w:color w:themeColor="text1" w:val="000000"/>
          <w:sz w:val="24"/>
          <w:szCs w:val="24"/>
        </w:rPr>
        <w:t>Lean Six Sigma</w:t>
      </w:r>
      <w:r>
        <w:rPr>
          <w:rFonts w:eastAsia="Times New Roman" w:cs="Times New Roman"/>
          <w:color w:themeColor="text1" w:val="000000"/>
          <w:sz w:val="24"/>
          <w:szCs w:val="24"/>
        </w:rPr>
        <w:t xml:space="preserve"> (LSS), têm sido utilizadas para esse fim.</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conceituação de eficiência em sistemas produtivos não pode se limitar a uma relação técnica de </w:t>
      </w:r>
      <w:r>
        <w:rPr>
          <w:rFonts w:eastAsia="Times New Roman" w:cs="Times New Roman"/>
          <w:i/>
          <w:iCs/>
          <w:color w:themeColor="text1" w:val="000000"/>
          <w:sz w:val="24"/>
          <w:szCs w:val="24"/>
        </w:rPr>
        <w:t>input-output</w:t>
      </w:r>
      <w:r>
        <w:rPr>
          <w:rFonts w:eastAsia="Times New Roman" w:cs="Times New Roman"/>
          <w:color w:themeColor="text1" w:val="000000"/>
          <w:sz w:val="24"/>
          <w:szCs w:val="24"/>
        </w:rPr>
        <w:t>: Garnett, Röös e Little (2015) arguem que uma busca cega pela eficiência produtiva pode levar à “eficiência obscena”, em que ganhos são obtidos às custas do bem-estar animal e da integridade ecossistêmica, sendo necessário integrar métricas “subjetivas” e valores humanos nas ferramentas de avaliação de projetos. No contexto da aquicultura brasileira, o EVTEAS pode representar o principal suporte técnico para o planejamento de empreendimentos, especialmente para pequenos produtores e pescadores artesanais. Entretanto, a inexistência de ferramentas computacionais capazes de traduzir dados complexos em informações acionáveis mantém o produtor refém de dois cenários críticos recorrentes.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 primeiro é a obsolescência produtiva, devido à degradação ambiental, da poluição e da redução dos estoques pesqueiros em águas continentais, que comprometem métodos tradicionais de pesca e cultivo. O segundo cenário é o risco financeiro elevado, associado à adoção de sistemas aquícolas, os quais exigem alto nível de precisão técnica, controle rigoroso de variáveis produtivas e capacidade de resposta rápida a eventos críticos, conforme experiência do autor durante anos de atuação no Projeto Pescarte. </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Nesse contexto, a integração das teorias de </w:t>
      </w:r>
      <w:r>
        <w:rPr>
          <w:rFonts w:eastAsia="Times New Roman" w:cs="Times New Roman"/>
          <w:i/>
          <w:iCs/>
          <w:color w:themeColor="text1" w:val="000000"/>
          <w:sz w:val="24"/>
          <w:szCs w:val="24"/>
        </w:rPr>
        <w:t>Lean Green</w:t>
      </w:r>
      <w:r>
        <w:rPr>
          <w:rFonts w:eastAsia="Times New Roman" w:cs="Times New Roman"/>
          <w:color w:themeColor="text1" w:val="000000"/>
          <w:sz w:val="24"/>
          <w:szCs w:val="24"/>
        </w:rPr>
        <w:t xml:space="preserve"> e ESG (</w:t>
      </w:r>
      <w:r>
        <w:rPr>
          <w:rFonts w:eastAsia="Times New Roman" w:cs="Times New Roman"/>
          <w:i/>
          <w:iCs/>
          <w:color w:themeColor="text1" w:val="000000"/>
          <w:sz w:val="24"/>
          <w:szCs w:val="24"/>
        </w:rPr>
        <w:t>Environmental, Social and Governance</w:t>
      </w:r>
      <w:r>
        <w:rPr>
          <w:rFonts w:eastAsia="Times New Roman" w:cs="Times New Roman"/>
          <w:color w:themeColor="text1" w:val="000000"/>
          <w:sz w:val="24"/>
          <w:szCs w:val="24"/>
        </w:rPr>
        <w:t xml:space="preserve">) ao EVTEAS surge como uma alternativa propositiva robusta. A convergência entre as práticas </w:t>
      </w:r>
      <w:r>
        <w:rPr>
          <w:rFonts w:eastAsia="Times New Roman" w:cs="Times New Roman"/>
          <w:i/>
          <w:iCs/>
          <w:color w:themeColor="text1" w:val="000000"/>
          <w:sz w:val="24"/>
          <w:szCs w:val="24"/>
        </w:rPr>
        <w:t xml:space="preserve">Lean </w:t>
      </w:r>
      <w:r>
        <w:rPr>
          <w:rFonts w:eastAsia="Times New Roman" w:cs="Times New Roman"/>
          <w:color w:themeColor="text1" w:val="000000"/>
          <w:sz w:val="24"/>
          <w:szCs w:val="24"/>
        </w:rPr>
        <w:t>e</w:t>
      </w:r>
      <w:r>
        <w:rPr>
          <w:rFonts w:eastAsia="Times New Roman" w:cs="Times New Roman"/>
          <w:i/>
          <w:iCs/>
          <w:color w:themeColor="text1" w:val="000000"/>
          <w:sz w:val="24"/>
          <w:szCs w:val="24"/>
        </w:rPr>
        <w:t xml:space="preserve"> Green</w:t>
      </w:r>
      <w:r>
        <w:rPr>
          <w:rFonts w:eastAsia="Times New Roman" w:cs="Times New Roman"/>
          <w:color w:themeColor="text1" w:val="000000"/>
          <w:sz w:val="24"/>
          <w:szCs w:val="24"/>
        </w:rPr>
        <w:t xml:space="preserve"> propicia ganhos operacionais e ambientais simultâneos (Kosasih; Pujawan; Karningsih, 2023, p. 2), ao passo que as bases ESG propiciam uma estrutura para a avaliação dos impactos ambientais, sociais e de governança, fornecendo informações úteis aos investidores para a análise de riscos e oportunidades e favorecendo o alinhamento do relato de sustentabilidade às exigências legais, regulatórias e financeiras (GRI, 2024, p. 7, 27). Portanto, a incorporação conjunta de </w:t>
      </w:r>
      <w:r>
        <w:rPr>
          <w:rFonts w:eastAsia="Times New Roman" w:cs="Times New Roman"/>
          <w:i/>
          <w:iCs/>
          <w:color w:themeColor="text1" w:val="000000"/>
          <w:sz w:val="24"/>
          <w:szCs w:val="24"/>
        </w:rPr>
        <w:t>Lean Green</w:t>
      </w:r>
      <w:r>
        <w:rPr>
          <w:rFonts w:eastAsia="Times New Roman" w:cs="Times New Roman"/>
          <w:color w:themeColor="text1" w:val="000000"/>
          <w:sz w:val="24"/>
          <w:szCs w:val="24"/>
        </w:rPr>
        <w:t xml:space="preserve"> e ESG faz com que o EVTEAS deixe de ser um passo burocrático e passe a atuar como instrumento estratégico de governança, propiciando uma análise preliminar mais segura, eficiente e transparente.</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Apesar da busca pela eficiência operacional por meio do </w:t>
      </w:r>
      <w:r>
        <w:rPr>
          <w:rFonts w:eastAsia="Times New Roman" w:cs="Times New Roman"/>
          <w:i/>
          <w:iCs/>
          <w:color w:themeColor="text1" w:val="000000"/>
          <w:sz w:val="24"/>
          <w:szCs w:val="24"/>
        </w:rPr>
        <w:t>Lean</w:t>
      </w:r>
      <w:r>
        <w:rPr>
          <w:rFonts w:eastAsia="Times New Roman" w:cs="Times New Roman"/>
          <w:color w:themeColor="text1" w:val="000000"/>
          <w:sz w:val="24"/>
          <w:szCs w:val="24"/>
        </w:rPr>
        <w:t xml:space="preserve"> seja uma base da competitividade, estudos recentes apontam para o risco da “lealdade excessiva” ao método, como contraponto. Wang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por exemplo, levantaram uma relação em formato de “U-invertido” entre o gerenciamento enxuto e o desempenho ESG, arguindo que reduções agressivas de estoques e recursos, se ultrapassarem um ponto de equilíbrio, podem degradar a resiliência social e a estabilidade da governança. O problema de pesquisa amplia-se, assim, para a necessidade de ferramentas que identifiquem o limite onde a eficiência deixa de ser um ganho sustentável e torna-se um risco para o equilíbrio organizacional.</w:t>
      </w:r>
    </w:p>
    <w:p>
      <w:pPr>
        <w:pStyle w:val="Normal"/>
        <w:spacing w:lineRule="auto" w:line="360" w:before="0" w:after="0"/>
        <w:jc w:val="both"/>
        <w:rPr>
          <w:rFonts w:ascii="Times New Roman" w:hAnsi="Times New Roman" w:eastAsia="Times New Roman" w:cs="Times New Roman"/>
          <w:color w:val="EE0000"/>
          <w:sz w:val="24"/>
          <w:szCs w:val="24"/>
        </w:rPr>
      </w:pPr>
      <w:r>
        <w:rPr>
          <w:rFonts w:eastAsia="Times New Roman" w:cs="Times New Roman"/>
          <w:color w:themeColor="text1" w:val="000000"/>
          <w:sz w:val="24"/>
          <w:szCs w:val="24"/>
        </w:rPr>
        <w:tab/>
        <w:t xml:space="preserve">A hipótese do trabalho é que o desenvolvimento de um </w:t>
      </w:r>
      <w:r>
        <w:rPr>
          <w:rFonts w:eastAsia="Times New Roman" w:cs="Times New Roman"/>
          <w:i/>
          <w:color w:themeColor="text1" w:val="000000"/>
          <w:sz w:val="24"/>
          <w:szCs w:val="24"/>
        </w:rPr>
        <w:t>framework</w:t>
      </w:r>
      <w:r>
        <w:rPr>
          <w:rFonts w:eastAsia="Times New Roman" w:cs="Times New Roman"/>
          <w:color w:themeColor="text1" w:val="000000"/>
          <w:sz w:val="24"/>
          <w:szCs w:val="24"/>
        </w:rPr>
        <w:t xml:space="preserve"> para piscicultura pode tornar mais simples, ágil e eficiente a busca de dados e informações acerca de fomentos para projetos de piscicultura, ao otimizar o tempo de busca pelas informações via automação de processos.</w:t>
      </w:r>
      <w:r>
        <w:rPr>
          <w:rFonts w:eastAsia="Times New Roman" w:cs="Times New Roman"/>
          <w:color w:val="EE0000"/>
          <w:sz w:val="24"/>
          <w:szCs w:val="24"/>
        </w:rPr>
        <w:t xml:space="preserve"> </w:t>
      </w:r>
    </w:p>
    <w:p>
      <w:pPr>
        <w:pStyle w:val="Normal"/>
        <w:spacing w:lineRule="auto" w:line="360" w:before="0" w:after="0"/>
        <w:jc w:val="both"/>
        <w:rPr>
          <w:rFonts w:ascii="Times New Roman" w:hAnsi="Times New Roman" w:eastAsia="Times New Roman" w:cs="Times New Roman"/>
          <w:color w:val="EE0000"/>
          <w:sz w:val="24"/>
          <w:szCs w:val="24"/>
        </w:rPr>
      </w:pPr>
      <w:r>
        <w:rPr>
          <w:rFonts w:eastAsia="Times New Roman" w:cs="Times New Roman"/>
          <w:color w:val="EE0000"/>
          <w:sz w:val="24"/>
          <w:szCs w:val="24"/>
        </w:rPr>
      </w:r>
    </w:p>
    <w:p>
      <w:pPr>
        <w:pStyle w:val="Heading2"/>
        <w:spacing w:lineRule="auto" w:line="360" w:before="0" w:after="0"/>
        <w:rPr>
          <w:rFonts w:ascii="Times New Roman" w:hAnsi="Times New Roman" w:eastAsia="Times New Roman" w:cs="Times New Roman"/>
          <w:b/>
          <w:bCs/>
          <w:color w:themeColor="text1" w:val="000000"/>
          <w:sz w:val="28"/>
          <w:szCs w:val="28"/>
        </w:rPr>
      </w:pPr>
      <w:bookmarkStart w:id="19" w:name="_Toc242269274"/>
      <w:bookmarkStart w:id="20" w:name="_Toc242269193"/>
      <w:bookmarkStart w:id="21" w:name="_Toc242269114"/>
      <w:r>
        <w:rPr>
          <w:rFonts w:eastAsia="Times New Roman" w:cs="Times New Roman" w:ascii="Times New Roman" w:hAnsi="Times New Roman"/>
          <w:b/>
          <w:bCs/>
          <w:color w:themeColor="text1" w:val="000000"/>
          <w:sz w:val="28"/>
          <w:szCs w:val="28"/>
        </w:rPr>
        <w:t>1.4 Estrutura e delimitação da Dissertação</w:t>
      </w:r>
      <w:bookmarkEnd w:id="19"/>
      <w:bookmarkEnd w:id="20"/>
      <w:bookmarkEnd w:id="21"/>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O presente trabalho está organizado em cinco capítulos, estruturados de forma a conduzir o leitor da contextualização do problema até a proposição e validação do</w:t>
      </w:r>
      <w:r>
        <w:rPr>
          <w:rFonts w:eastAsia="Times New Roman" w:cs="Times New Roman"/>
          <w:i/>
          <w:iCs/>
          <w:color w:themeColor="text1" w:val="000000"/>
          <w:sz w:val="24"/>
          <w:szCs w:val="24"/>
        </w:rPr>
        <w:t> framework </w:t>
      </w:r>
      <w:r>
        <w:rPr>
          <w:rFonts w:eastAsia="Times New Roman" w:cs="Times New Roman"/>
          <w:color w:themeColor="text1" w:val="000000"/>
          <w:sz w:val="24"/>
          <w:szCs w:val="24"/>
        </w:rPr>
        <w:t>computacional EVTEAS-Py.</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O primeiro capítulo compreende a Introdução, na qual são apresentadas a motivação, a justificativa, o problema de pesquisa, a hipótese e os objetivos do trabalho.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 segundo capítulo trata do Referencial Teórico, abordando o EVTEAS, os princípios de </w:t>
      </w:r>
      <w:r>
        <w:rPr>
          <w:rFonts w:eastAsia="Times New Roman" w:cs="Times New Roman"/>
          <w:i/>
          <w:iCs/>
          <w:color w:themeColor="text1" w:val="000000"/>
          <w:sz w:val="24"/>
          <w:szCs w:val="24"/>
        </w:rPr>
        <w:t>Lean Green</w:t>
      </w:r>
      <w:r>
        <w:rPr>
          <w:rFonts w:eastAsia="Times New Roman" w:cs="Times New Roman"/>
          <w:color w:themeColor="text1" w:val="000000"/>
          <w:sz w:val="24"/>
          <w:szCs w:val="24"/>
        </w:rPr>
        <w:t>, os indicadores ESG e as diretrizes da GRI, a RSC e os KPIs aplicados à tomada de decisão em sistemas produtivos aquícolas.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O terceiro capítulo descreve a Metodologia, com a classificação da pesquisa como aplicada e qualiquantitativa, os procedimentos de modelagem do </w:t>
      </w:r>
      <w:r>
        <w:rPr>
          <w:rFonts w:eastAsia="Times New Roman" w:cs="Times New Roman"/>
          <w:i/>
          <w:iCs/>
          <w:color w:themeColor="text1" w:val="000000"/>
          <w:sz w:val="24"/>
          <w:szCs w:val="24"/>
        </w:rPr>
        <w:t>framework </w:t>
      </w:r>
      <w:r>
        <w:rPr>
          <w:rFonts w:eastAsia="Times New Roman" w:cs="Times New Roman"/>
          <w:color w:themeColor="text1" w:val="000000"/>
          <w:sz w:val="24"/>
          <w:szCs w:val="24"/>
        </w:rPr>
        <w:t>em Python, os critérios de seleção dos indicadores e a lógica de automação dos módulos do EVTEAS-Py.</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O quarto capítulo apresenta os Resultados e a Discussão, descrevendo a arquitetura 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EVTEAS-Py, seus módulos de entrada de dados e a geração automática de relatórios com KPIs, discutidos à luz da literatura revisada.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O quinto capítulo expõe as Considerações Finais as contribuições, as limitações e as propostas de pesquisas futuras, incluindo a expansão do EVTEAS-Py para outras cadeias produtivas.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b/>
        <w:t xml:space="preserve">Quanto a delimitação, a pesquisa focam no desenvolvimento e à avaliação de um artefato computacional de apoio à decisão para a análise </w:t>
      </w:r>
      <w:r>
        <w:rPr>
          <w:rFonts w:eastAsia="Times New Roman" w:cs="Times New Roman"/>
          <w:i/>
          <w:iCs/>
          <w:color w:themeColor="text1" w:val="000000"/>
          <w:sz w:val="24"/>
          <w:szCs w:val="24"/>
        </w:rPr>
        <w:t xml:space="preserve">ex ante </w:t>
      </w:r>
      <w:r>
        <w:rPr>
          <w:rFonts w:eastAsia="Times New Roman" w:cs="Times New Roman"/>
          <w:color w:themeColor="text1" w:val="000000"/>
          <w:sz w:val="24"/>
          <w:szCs w:val="24"/>
        </w:rPr>
        <w:t>de viabilidade conceitual (sem definição de terreno) de empreendimentos de piscicultura, de pequeno e médio porte no Brasil. Não se incluem no escopo, o acompanhamento de operações em funcionamento, a validação estatística dos indicadores de campo, a análise de cadeias produtivas aquícolas de grande escalas, ou outras espécies cultivadas, sendo selecionada uma espécie em específico para o estudo: a tilápia (</w:t>
      </w:r>
      <w:r>
        <w:rPr>
          <w:rFonts w:eastAsia="Times New Roman" w:cs="Times New Roman"/>
          <w:i/>
          <w:iCs/>
          <w:color w:themeColor="text1" w:val="000000"/>
          <w:sz w:val="24"/>
          <w:szCs w:val="24"/>
        </w:rPr>
        <w:t>Oreochromis niloticus</w:t>
      </w:r>
      <w:r>
        <w:rPr>
          <w:rFonts w:eastAsia="Times New Roman" w:cs="Times New Roman"/>
          <w:color w:themeColor="text1" w:val="000000"/>
          <w:sz w:val="24"/>
          <w:szCs w:val="24"/>
        </w:rPr>
        <w:t xml:space="preserve">). </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As fontes bibliográficas da Revisão Sistemática da Literatura restringem-se às bases </w:t>
      </w:r>
      <w:r>
        <w:rPr>
          <w:rFonts w:eastAsia="Times New Roman" w:cs="Times New Roman"/>
          <w:i/>
          <w:iCs/>
          <w:color w:themeColor="text1" w:val="000000"/>
          <w:sz w:val="24"/>
          <w:szCs w:val="24"/>
        </w:rPr>
        <w:t>Scopus</w:t>
      </w:r>
      <w:r>
        <w:rPr>
          <w:rFonts w:eastAsia="Times New Roman" w:cs="Times New Roman"/>
          <w:color w:themeColor="text1" w:val="000000"/>
          <w:sz w:val="24"/>
          <w:szCs w:val="24"/>
        </w:rPr>
        <w:t xml:space="preserve"> e </w:t>
      </w:r>
      <w:r>
        <w:rPr>
          <w:rFonts w:eastAsia="Times New Roman" w:cs="Times New Roman"/>
          <w:i/>
          <w:iCs/>
          <w:color w:themeColor="text1" w:val="000000"/>
          <w:sz w:val="24"/>
          <w:szCs w:val="24"/>
        </w:rPr>
        <w:t>Web of Science</w:t>
      </w:r>
      <w:r>
        <w:rPr>
          <w:rFonts w:eastAsia="Times New Roman" w:cs="Times New Roman"/>
          <w:color w:themeColor="text1" w:val="000000"/>
          <w:sz w:val="24"/>
          <w:szCs w:val="24"/>
        </w:rPr>
        <w:t xml:space="preserve">, no recorte temporal de 2021 a 2026. Também não integram o escopo, o desenvolvimento de uma interface gráfica para usuário final, seja por computador ou dispositivo móvel, nem a implantação do artefato em infraestrutura em nuvem: o EVTEAS-Py é entregue como </w:t>
      </w:r>
      <w:r>
        <w:rPr>
          <w:rFonts w:eastAsia="Times New Roman" w:cs="Times New Roman"/>
          <w:i/>
          <w:iCs/>
          <w:color w:themeColor="text1" w:val="000000"/>
          <w:sz w:val="24"/>
          <w:szCs w:val="24"/>
        </w:rPr>
        <w:t xml:space="preserve">framework </w:t>
      </w:r>
      <w:r>
        <w:rPr>
          <w:rFonts w:eastAsia="Times New Roman" w:cs="Times New Roman"/>
          <w:color w:themeColor="text1" w:val="000000"/>
          <w:sz w:val="24"/>
          <w:szCs w:val="24"/>
        </w:rPr>
        <w:t>em Python, executável em ambiente de análise de dados. A construção de uma camada de interação com o usuário final fica registrada como oportunidade de trabalhos futuros.</w:t>
      </w:r>
      <w:r>
        <w:br w:type="page"/>
      </w:r>
    </w:p>
    <w:p>
      <w:pPr>
        <w:pStyle w:val="Heading1"/>
        <w:spacing w:lineRule="auto" w:line="360" w:before="360" w:after="0"/>
        <w:rPr>
          <w:rFonts w:ascii="Times New Roman" w:hAnsi="Times New Roman" w:eastAsia="Times New Roman" w:cs="Times New Roman"/>
          <w:b/>
          <w:bCs/>
          <w:color w:themeColor="text1" w:val="000000"/>
          <w:sz w:val="32"/>
          <w:szCs w:val="32"/>
        </w:rPr>
      </w:pPr>
      <w:bookmarkStart w:id="22" w:name="_Toc242269275"/>
      <w:bookmarkStart w:id="23" w:name="_Toc242269194"/>
      <w:bookmarkStart w:id="24" w:name="_Toc242269115"/>
      <w:r>
        <w:rPr>
          <w:rFonts w:eastAsia="Times New Roman" w:cs="Times New Roman" w:ascii="Times New Roman" w:hAnsi="Times New Roman"/>
          <w:b/>
          <w:bCs/>
          <w:color w:themeColor="text1" w:val="000000"/>
          <w:sz w:val="32"/>
          <w:szCs w:val="32"/>
        </w:rPr>
        <w:t>2 REFERENCIAL TEÓRICO</w:t>
      </w:r>
      <w:bookmarkEnd w:id="22"/>
      <w:bookmarkEnd w:id="23"/>
      <w:bookmarkEnd w:id="24"/>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fundamentação teórica</w:t>
      </w:r>
      <w:r>
        <w:rPr>
          <w:rFonts w:eastAsia="Times New Roman" w:cs="Times New Roman"/>
          <w:color w:val="00B050"/>
          <w:sz w:val="24"/>
          <w:szCs w:val="24"/>
        </w:rPr>
        <w:t xml:space="preserve"> </w:t>
      </w:r>
      <w:r>
        <w:rPr>
          <w:rFonts w:eastAsia="Times New Roman" w:cs="Times New Roman"/>
          <w:color w:themeColor="text1" w:val="000000"/>
          <w:sz w:val="24"/>
          <w:szCs w:val="24"/>
        </w:rPr>
        <w:t>deste estudo busca estabelecer as conexões entre a avaliação de projetos a eficiência operacional sustentável (</w:t>
      </w:r>
      <w:r>
        <w:rPr>
          <w:rFonts w:eastAsia="Times New Roman" w:cs="Times New Roman"/>
          <w:i/>
          <w:iCs/>
          <w:color w:themeColor="text1" w:val="000000"/>
          <w:sz w:val="24"/>
          <w:szCs w:val="24"/>
        </w:rPr>
        <w:t>Lean &amp; Green</w:t>
      </w:r>
      <w:r>
        <w:rPr>
          <w:rFonts w:eastAsia="Times New Roman" w:cs="Times New Roman"/>
          <w:color w:themeColor="text1" w:val="000000"/>
          <w:sz w:val="24"/>
          <w:szCs w:val="24"/>
        </w:rPr>
        <w:t>) e a governança corporativa moderna (ESG). A literatura recente aponta que essa integração é crítica para a competitividade de empreendimentos aquícolas e industriais (</w:t>
      </w:r>
      <w:r>
        <w:rPr>
          <w:rFonts w:eastAsia="Times New Roman" w:cs="Times New Roman"/>
          <w:color w:val="000000"/>
          <w:sz w:val="24"/>
          <w:szCs w:val="24"/>
        </w:rPr>
        <w:t xml:space="preserve">Mesquita </w:t>
      </w:r>
      <w:r>
        <w:rPr>
          <w:rFonts w:eastAsia="Times New Roman" w:cs="Times New Roman"/>
          <w:i/>
          <w:iCs/>
          <w:color w:val="000000"/>
          <w:sz w:val="24"/>
          <w:szCs w:val="24"/>
        </w:rPr>
        <w:t>et al.</w:t>
      </w:r>
      <w:r>
        <w:rPr>
          <w:rFonts w:eastAsia="Times New Roman" w:cs="Times New Roman"/>
          <w:color w:val="000000"/>
          <w:sz w:val="24"/>
          <w:szCs w:val="24"/>
        </w:rPr>
        <w:t xml:space="preserve">, 2022; Queiroz; Alves Junior; Costa Melo, 2022; Kosasih; Pujawan; Karningsih, 2023; Wang </w:t>
      </w:r>
      <w:r>
        <w:rPr>
          <w:rFonts w:eastAsia="Times New Roman" w:cs="Times New Roman"/>
          <w:i/>
          <w:iCs/>
          <w:color w:val="000000"/>
          <w:sz w:val="24"/>
          <w:szCs w:val="24"/>
        </w:rPr>
        <w:t>et al.</w:t>
      </w:r>
      <w:r>
        <w:rPr>
          <w:rFonts w:eastAsia="Times New Roman" w:cs="Times New Roman"/>
          <w:color w:val="000000"/>
          <w:sz w:val="24"/>
          <w:szCs w:val="24"/>
        </w:rPr>
        <w:t xml:space="preserve">, 2025; Mahmood Abd Elkhalik </w:t>
      </w:r>
      <w:r>
        <w:rPr>
          <w:rFonts w:eastAsia="Times New Roman" w:cs="Times New Roman"/>
          <w:i/>
          <w:iCs/>
          <w:color w:val="000000"/>
          <w:sz w:val="24"/>
          <w:szCs w:val="24"/>
        </w:rPr>
        <w:t>et al.</w:t>
      </w:r>
      <w:r>
        <w:rPr>
          <w:rFonts w:eastAsia="Times New Roman" w:cs="Times New Roman"/>
          <w:color w:val="000000"/>
          <w:sz w:val="24"/>
          <w:szCs w:val="24"/>
        </w:rPr>
        <w:t>, 2026)</w:t>
      </w:r>
      <w:r>
        <w:rPr>
          <w:rFonts w:eastAsia="Times New Roman" w:cs="Times New Roman"/>
          <w:color w:themeColor="text1" w:val="000000"/>
          <w:sz w:val="24"/>
          <w:szCs w:val="24"/>
        </w:rPr>
        <w:t xml:space="preserve">. A complexidade da revisão teórica justifica-se pela multidisciplinariedade do artefato proposto. </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presente revisão da literatura tem por objetivo consolidar o referencial teórico que embasa a proposição 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EVTEAS-Py e estabeleceu duas etapas complementares. A primeira empregou a Revisão Sistemática da Literatura (RSL), conduzida sob o protocolo PRISMA, para mapear o estado da arte e verificar as evidências mais atuais acerca dos temas abordados. A segunda consistiu na revisão bibliográfica de obras consolidadas, livros, artigos clássicos, manuais, normas técnicas e documentos institucionais, responsável por assentar os construtos teóricos estruturantes da dissertação.</w:t>
      </w:r>
    </w:p>
    <w:p>
      <w:pPr>
        <w:pStyle w:val="Normal"/>
        <w:spacing w:lineRule="auto" w:line="360" w:before="0" w:after="0"/>
        <w:ind w:firstLine="708"/>
        <w:jc w:val="both"/>
        <w:rPr>
          <w:rFonts w:ascii="Times New Roman" w:hAnsi="Times New Roman" w:eastAsia="Times New Roman" w:cs="Times New Roman"/>
          <w:color w:val="EE0000"/>
          <w:sz w:val="24"/>
          <w:szCs w:val="24"/>
        </w:rPr>
      </w:pPr>
      <w:r>
        <w:rPr>
          <w:rFonts w:eastAsia="Times New Roman" w:cs="Times New Roman"/>
          <w:color w:themeColor="text1" w:val="000000"/>
          <w:sz w:val="24"/>
          <w:szCs w:val="24"/>
        </w:rPr>
        <w:t xml:space="preserve">Realizou-se à sistematização e organização temática dos conceitos-chave, sem a pretensão de exaurir a literatura existente, mas de sustentar teoricamente as decisões de modelagem adotadas no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O </w:t>
      </w:r>
      <w:r>
        <w:rPr>
          <w:rFonts w:eastAsia="Times New Roman" w:cs="Times New Roman"/>
          <w:i/>
          <w:iCs/>
          <w:color w:themeColor="text1" w:val="000000"/>
          <w:sz w:val="24"/>
          <w:szCs w:val="24"/>
        </w:rPr>
        <w:t xml:space="preserve">corpus </w:t>
      </w:r>
      <w:r>
        <w:rPr>
          <w:rFonts w:eastAsia="Times New Roman" w:cs="Times New Roman"/>
          <w:color w:themeColor="text1" w:val="000000"/>
          <w:sz w:val="24"/>
          <w:szCs w:val="24"/>
        </w:rPr>
        <w:t xml:space="preserve">da RSL foi constituído a partir das bases </w:t>
      </w:r>
      <w:r>
        <w:rPr>
          <w:rFonts w:eastAsia="Times New Roman" w:cs="Times New Roman"/>
          <w:i/>
          <w:iCs/>
          <w:color w:themeColor="text1" w:val="000000"/>
          <w:sz w:val="24"/>
          <w:szCs w:val="24"/>
        </w:rPr>
        <w:t xml:space="preserve">SCOPUS </w:t>
      </w:r>
      <w:r>
        <w:rPr>
          <w:rFonts w:eastAsia="Times New Roman" w:cs="Times New Roman"/>
          <w:color w:themeColor="text1" w:val="000000"/>
          <w:sz w:val="24"/>
          <w:szCs w:val="24"/>
        </w:rPr>
        <w:t xml:space="preserve">e </w:t>
      </w:r>
      <w:r>
        <w:rPr>
          <w:rFonts w:eastAsia="Times New Roman" w:cs="Times New Roman"/>
          <w:i/>
          <w:color w:themeColor="text1" w:val="000000"/>
          <w:sz w:val="24"/>
          <w:szCs w:val="24"/>
        </w:rPr>
        <w:t>Web of Science</w:t>
      </w:r>
      <w:r>
        <w:rPr>
          <w:rFonts w:eastAsia="Times New Roman" w:cs="Times New Roman"/>
          <w:color w:themeColor="text1" w:val="000000"/>
          <w:sz w:val="24"/>
          <w:szCs w:val="24"/>
        </w:rPr>
        <w:t>, e as obras de caráter mais geral foram mantidas como apoio teórico, apresentadas em seção específica de levantamento bibliográfico.</w:t>
      </w:r>
    </w:p>
    <w:p>
      <w:pPr>
        <w:pStyle w:val="Normal"/>
        <w:spacing w:lineRule="auto" w:line="360" w:before="0" w:after="0"/>
        <w:ind w:firstLine="708"/>
        <w:jc w:val="both"/>
        <w:rPr>
          <w:rFonts w:ascii="Times New Roman" w:hAnsi="Times New Roman" w:eastAsia="Times New Roman" w:cs="Times New Roman"/>
          <w:color w:val="EE0000"/>
          <w:sz w:val="24"/>
          <w:szCs w:val="24"/>
        </w:rPr>
      </w:pPr>
      <w:r>
        <w:rPr>
          <w:rFonts w:eastAsia="Times New Roman" w:cs="Times New Roman"/>
          <w:color w:val="EE0000"/>
          <w:sz w:val="24"/>
          <w:szCs w:val="24"/>
        </w:rPr>
      </w:r>
    </w:p>
    <w:p>
      <w:pPr>
        <w:pStyle w:val="Heading2"/>
        <w:numPr>
          <w:ilvl w:val="1"/>
          <w:numId w:val="10"/>
        </w:numPr>
        <w:spacing w:lineRule="auto" w:line="360" w:before="0" w:after="0"/>
        <w:rPr>
          <w:rFonts w:ascii="Times New Roman" w:hAnsi="Times New Roman" w:eastAsia="Times New Roman" w:cs="Times New Roman"/>
          <w:b/>
          <w:bCs/>
          <w:color w:themeColor="text1" w:val="000000"/>
          <w:sz w:val="28"/>
          <w:szCs w:val="28"/>
        </w:rPr>
      </w:pPr>
      <w:bookmarkStart w:id="25" w:name="_Toc242269276"/>
      <w:bookmarkStart w:id="26" w:name="_Toc242269195"/>
      <w:bookmarkStart w:id="27" w:name="_Toc242269116"/>
      <w:r>
        <w:rPr>
          <w:rFonts w:eastAsia="Times New Roman" w:cs="Times New Roman" w:ascii="Times New Roman" w:hAnsi="Times New Roman"/>
          <w:b/>
          <w:bCs/>
          <w:color w:themeColor="text1" w:val="000000"/>
          <w:sz w:val="28"/>
          <w:szCs w:val="28"/>
        </w:rPr>
        <w:t>Protocolo de busca para realização do PRISMA</w:t>
      </w:r>
      <w:bookmarkEnd w:id="25"/>
      <w:bookmarkEnd w:id="26"/>
      <w:bookmarkEnd w:id="27"/>
      <w:r>
        <w:rPr>
          <w:rFonts w:eastAsia="Times New Roman" w:cs="Times New Roman" w:ascii="Times New Roman" w:hAnsi="Times New Roman"/>
          <w:b/>
          <w:bCs/>
          <w:color w:themeColor="text1" w:val="000000"/>
          <w:sz w:val="28"/>
          <w:szCs w:val="28"/>
        </w:rPr>
        <w:t xml:space="preserve"> </w:t>
      </w:r>
    </w:p>
    <w:p>
      <w:pPr>
        <w:pStyle w:val="Heading3"/>
        <w:spacing w:lineRule="auto" w:line="360" w:before="160" w:after="0"/>
        <w:rPr>
          <w:rFonts w:ascii="Times New Roman" w:hAnsi="Times New Roman" w:eastAsia="Times New Roman" w:cs="Times New Roman"/>
          <w:b/>
          <w:bCs/>
          <w:color w:themeColor="text1" w:val="000000"/>
          <w:sz w:val="24"/>
          <w:szCs w:val="24"/>
        </w:rPr>
      </w:pPr>
      <w:bookmarkStart w:id="28" w:name="_Toc242269277"/>
      <w:bookmarkStart w:id="29" w:name="_Toc242269196"/>
      <w:bookmarkStart w:id="30" w:name="_Toc242269117"/>
      <w:r>
        <w:rPr>
          <w:rFonts w:eastAsia="Times New Roman" w:cs="Times New Roman"/>
          <w:b/>
          <w:bCs/>
          <w:color w:themeColor="text1" w:val="000000"/>
          <w:sz w:val="24"/>
          <w:szCs w:val="24"/>
        </w:rPr>
        <w:t>2.1.1 Bases de dados consultadas</w:t>
      </w:r>
      <w:bookmarkEnd w:id="28"/>
      <w:bookmarkEnd w:id="29"/>
      <w:bookmarkEnd w:id="30"/>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As buscas de artigos foram realizadas nas seguintes bases de dados acadêmicas: </w:t>
      </w:r>
      <w:r>
        <w:rPr>
          <w:rFonts w:eastAsia="Times New Roman" w:cs="Times New Roman"/>
          <w:i/>
          <w:iCs/>
          <w:color w:themeColor="text1" w:val="000000"/>
          <w:sz w:val="24"/>
          <w:szCs w:val="24"/>
        </w:rPr>
        <w:t>SCOPUS</w:t>
      </w:r>
      <w:r>
        <w:rPr>
          <w:rFonts w:eastAsia="Times New Roman" w:cs="Times New Roman"/>
          <w:color w:themeColor="text1" w:val="000000"/>
          <w:sz w:val="24"/>
          <w:szCs w:val="24"/>
        </w:rPr>
        <w:t xml:space="preserve">, e </w:t>
      </w:r>
      <w:r>
        <w:rPr>
          <w:rFonts w:eastAsia="Times New Roman" w:cs="Times New Roman"/>
          <w:i/>
          <w:color w:themeColor="text1" w:val="000000"/>
          <w:sz w:val="24"/>
          <w:szCs w:val="24"/>
        </w:rPr>
        <w:t>Web of Science</w:t>
      </w:r>
      <w:r>
        <w:rPr>
          <w:rFonts w:eastAsia="Times New Roman" w:cs="Times New Roman"/>
          <w:color w:themeColor="text1" w:val="000000"/>
          <w:sz w:val="24"/>
          <w:szCs w:val="24"/>
        </w:rPr>
        <w:t>, selecionadas por sua ampla cobertura multidisciplinar e em termos de indexação de periódicos relevantes.</w:t>
      </w:r>
    </w:p>
    <w:p>
      <w:pPr>
        <w:pStyle w:val="Heading3"/>
        <w:spacing w:lineRule="auto" w:line="360" w:before="160" w:after="0"/>
        <w:rPr>
          <w:rFonts w:ascii="Times New Roman" w:hAnsi="Times New Roman" w:eastAsia="Times New Roman" w:cs="Times New Roman"/>
          <w:b/>
          <w:bCs/>
          <w:color w:themeColor="text1" w:val="000000"/>
          <w:sz w:val="24"/>
          <w:szCs w:val="24"/>
        </w:rPr>
      </w:pPr>
      <w:bookmarkStart w:id="31" w:name="_Toc242269278"/>
      <w:bookmarkStart w:id="32" w:name="_Toc242269197"/>
      <w:bookmarkStart w:id="33" w:name="_Toc242269118"/>
      <w:r>
        <w:rPr>
          <w:rFonts w:eastAsia="Times New Roman" w:cs="Times New Roman"/>
          <w:b/>
          <w:bCs/>
          <w:color w:themeColor="text1" w:val="000000"/>
          <w:sz w:val="24"/>
          <w:szCs w:val="24"/>
        </w:rPr>
        <w:t xml:space="preserve">2.1.2 </w:t>
      </w:r>
      <w:r>
        <w:rPr>
          <w:rFonts w:eastAsia="Times New Roman" w:cs="Times New Roman"/>
          <w:b/>
          <w:bCs/>
          <w:i/>
          <w:iCs/>
          <w:color w:themeColor="text1" w:val="000000"/>
          <w:sz w:val="24"/>
          <w:szCs w:val="24"/>
        </w:rPr>
        <w:t xml:space="preserve">Strings </w:t>
      </w:r>
      <w:r>
        <w:rPr>
          <w:rFonts w:eastAsia="Times New Roman" w:cs="Times New Roman"/>
          <w:b/>
          <w:bCs/>
          <w:color w:themeColor="text1" w:val="000000"/>
          <w:sz w:val="24"/>
          <w:szCs w:val="24"/>
        </w:rPr>
        <w:t>de busca por eixo temático</w:t>
      </w:r>
      <w:bookmarkEnd w:id="31"/>
      <w:bookmarkEnd w:id="32"/>
      <w:bookmarkEnd w:id="33"/>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As </w:t>
      </w:r>
      <w:r>
        <w:rPr>
          <w:rFonts w:eastAsia="Times New Roman" w:cs="Times New Roman"/>
          <w:i/>
          <w:iCs/>
          <w:color w:themeColor="text1" w:val="000000"/>
          <w:sz w:val="24"/>
          <w:szCs w:val="24"/>
        </w:rPr>
        <w:t xml:space="preserve">strings </w:t>
      </w:r>
      <w:r>
        <w:rPr>
          <w:rFonts w:eastAsia="Times New Roman" w:cs="Times New Roman"/>
          <w:color w:themeColor="text1" w:val="000000"/>
          <w:sz w:val="24"/>
          <w:szCs w:val="24"/>
        </w:rPr>
        <w:t>de busca foram elaboradas em inglês, idioma predominante da literatura recente sobre os temas, com uma string específica para cada eixo temático: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Eixo 1 – Framework aplicado a estudo de viabilidades em aquicultura; </w:t>
      </w:r>
      <w:r>
        <w:rPr>
          <w:rFonts w:eastAsia="Times New Roman" w:cs="Times New Roman"/>
          <w:i/>
          <w:iCs/>
          <w:color w:themeColor="text1" w:val="000000"/>
          <w:sz w:val="24"/>
          <w:szCs w:val="24"/>
        </w:rPr>
        <w:t>“Aquaculture” AND “feasibility” AND “framework”, and “economic”.</w:t>
      </w:r>
    </w:p>
    <w:p>
      <w:pPr>
        <w:pStyle w:val="Normal"/>
        <w:spacing w:lineRule="auto" w:line="360" w:before="0" w:after="0"/>
        <w:ind w:firstLine="708"/>
        <w:jc w:val="both"/>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sz w:val="24"/>
          <w:szCs w:val="24"/>
          <w:lang w:val="en-US"/>
        </w:rPr>
        <w:t>Eixo 2 – Integração,</w:t>
      </w:r>
      <w:r>
        <w:rPr>
          <w:rFonts w:eastAsia="Times New Roman" w:cs="Times New Roman"/>
          <w:i/>
          <w:iCs/>
          <w:color w:themeColor="text1" w:val="000000"/>
          <w:sz w:val="24"/>
          <w:szCs w:val="24"/>
          <w:lang w:val="en-US"/>
        </w:rPr>
        <w:t xml:space="preserve"> Lean</w:t>
      </w:r>
      <w:r>
        <w:rPr>
          <w:rFonts w:eastAsia="Times New Roman" w:cs="Times New Roman"/>
          <w:color w:themeColor="text1" w:val="000000"/>
          <w:sz w:val="24"/>
          <w:szCs w:val="24"/>
          <w:lang w:val="en-US"/>
        </w:rPr>
        <w:t xml:space="preserve">, Sustentabilidade Ambiental e Cadeia de Suprimentos: </w:t>
      </w:r>
      <w:r>
        <w:rPr>
          <w:rFonts w:eastAsia="Times New Roman" w:cs="Times New Roman"/>
          <w:i/>
          <w:iCs/>
          <w:color w:themeColor="text1" w:val="000000"/>
          <w:sz w:val="24"/>
          <w:szCs w:val="24"/>
          <w:lang w:val="en-US"/>
        </w:rPr>
        <w:t>(integration AND ("lean" OR "lean green") AND ("environmental sustainability" OR sustainable) AND "supply chain" AND (industry OR aquaculture))</w:t>
      </w:r>
    </w:p>
    <w:p>
      <w:pPr>
        <w:pStyle w:val="Normal"/>
        <w:spacing w:lineRule="auto" w:line="360" w:before="0" w:after="0"/>
        <w:ind w:firstLine="708"/>
        <w:jc w:val="both"/>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sz w:val="24"/>
          <w:szCs w:val="24"/>
          <w:lang w:val="en-US"/>
        </w:rPr>
        <w:t xml:space="preserve"> </w:t>
      </w:r>
      <w:r>
        <w:rPr>
          <w:rFonts w:eastAsia="Times New Roman" w:cs="Times New Roman"/>
          <w:color w:themeColor="text1" w:val="000000"/>
          <w:sz w:val="24"/>
          <w:szCs w:val="24"/>
          <w:lang w:val="en-US"/>
        </w:rPr>
        <w:t>Eixo 3 – Desempenho ESG, RSC e Engajamento de Stakeholders: (</w:t>
      </w:r>
      <w:r>
        <w:rPr>
          <w:rFonts w:eastAsia="Times New Roman" w:cs="Times New Roman"/>
          <w:i/>
          <w:iCs/>
          <w:color w:themeColor="text1" w:val="000000"/>
          <w:sz w:val="24"/>
          <w:szCs w:val="24"/>
          <w:lang w:val="en-US"/>
        </w:rPr>
        <w:t>lean AND ("ESG performance" OR "environmental social governance" OR "corporate social responsibility") OR (management OR effectiveness))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O período de publicação abrangido pelas buscas foi de 2021 a 2026, de modo a incluir obras recentes publicadas em revistas de qualidade de cada eixo temático e ratificar o estado da arte.</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 processo de seleção dos estudos seguiu as diretrizes do PRISMA 2020 (Page </w:t>
      </w:r>
      <w:r>
        <w:rPr>
          <w:rFonts w:eastAsia="Times New Roman" w:cs="Times New Roman"/>
          <w:i/>
          <w:color w:themeColor="text1" w:val="000000"/>
          <w:sz w:val="24"/>
          <w:szCs w:val="24"/>
        </w:rPr>
        <w:t>et al.</w:t>
      </w:r>
      <w:r>
        <w:rPr>
          <w:rFonts w:eastAsia="Times New Roman" w:cs="Times New Roman"/>
          <w:color w:themeColor="text1" w:val="000000"/>
          <w:sz w:val="24"/>
          <w:szCs w:val="24"/>
        </w:rPr>
        <w:t xml:space="preserve">, 2021). Inicialmente, foram identificados 173 registros nas bases de dados </w:t>
      </w:r>
      <w:r>
        <w:rPr>
          <w:rFonts w:eastAsia="Times New Roman" w:cs="Times New Roman"/>
          <w:i/>
          <w:iCs/>
          <w:color w:themeColor="text1" w:val="000000"/>
          <w:sz w:val="24"/>
          <w:szCs w:val="24"/>
        </w:rPr>
        <w:t>Scopus</w:t>
      </w:r>
      <w:r>
        <w:rPr>
          <w:rFonts w:eastAsia="Times New Roman" w:cs="Times New Roman"/>
          <w:color w:themeColor="text1" w:val="000000"/>
          <w:sz w:val="24"/>
          <w:szCs w:val="24"/>
        </w:rPr>
        <w:t xml:space="preserve"> (89) e </w:t>
      </w:r>
      <w:r>
        <w:rPr>
          <w:rFonts w:eastAsia="Times New Roman" w:cs="Times New Roman"/>
          <w:i/>
          <w:iCs/>
          <w:color w:themeColor="text1" w:val="000000"/>
          <w:sz w:val="24"/>
          <w:szCs w:val="24"/>
        </w:rPr>
        <w:t>Web of Science</w:t>
      </w:r>
      <w:r>
        <w:rPr>
          <w:rFonts w:eastAsia="Times New Roman" w:cs="Times New Roman"/>
          <w:color w:themeColor="text1" w:val="000000"/>
          <w:sz w:val="24"/>
          <w:szCs w:val="24"/>
        </w:rPr>
        <w:t xml:space="preserve"> (84). Após a remoção de 45 duplicatas, restaram 128 registros únicos para a etapa de triagem por título. Nessa fase, 85 registros foram excluídos por apresentarem temática fora do escopo definido, restando 43 artigos para avaliação dos resumos.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Na etapa de leitura dos resumos, 43 artigos foram analisados quanto à aderência aos critérios de inclusão e exclusão previamente estabelecidos, resultando na exclusão de 20 registros por baixa aderência temática. Em seguida, 23 artigos foram submetidos à leitura do texto completo, dos quais 8 foram excluídos por não apresentarem contribuição ao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proposto. Ao final desse processo, 15 estudos atenderam integralmente aos critérios definidos e foram incluídos na revisão sistemática.</w:t>
      </w:r>
    </w:p>
    <w:p>
      <w:pPr>
        <w:pStyle w:val="Normal"/>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2"/>
        <w:spacing w:lineRule="auto" w:line="360" w:before="0" w:after="0"/>
        <w:rPr>
          <w:rFonts w:ascii="Times New Roman" w:hAnsi="Times New Roman" w:eastAsia="Times New Roman" w:cs="Times New Roman"/>
          <w:b/>
          <w:bCs/>
          <w:color w:themeColor="text1" w:val="000000"/>
          <w:sz w:val="28"/>
          <w:szCs w:val="28"/>
        </w:rPr>
      </w:pPr>
      <w:bookmarkStart w:id="34" w:name="_Toc242269279"/>
      <w:bookmarkStart w:id="35" w:name="_Toc242269198"/>
      <w:bookmarkStart w:id="36" w:name="_Toc242269119"/>
      <w:r>
        <w:rPr>
          <w:rFonts w:eastAsia="Times New Roman" w:cs="Times New Roman" w:ascii="Times New Roman" w:hAnsi="Times New Roman"/>
          <w:b/>
          <w:bCs/>
          <w:color w:themeColor="text1" w:val="000000"/>
          <w:sz w:val="28"/>
          <w:szCs w:val="28"/>
        </w:rPr>
        <w:t>2.2 Processo de seleção – Fluxo PRISMA</w:t>
      </w:r>
      <w:bookmarkEnd w:id="34"/>
      <w:bookmarkEnd w:id="35"/>
      <w:bookmarkEnd w:id="36"/>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Posteriormente, os estudos selecionados foram classificados em três eixos temáticos, considerando sua principal ênfase teórica e empírica. O fluxograma do processo de identificação, triagem, elegibilidade e inclusão dos estudos é apresentado na Figura 1, em conformidade com o protocolo PRISMA 2020.</w:t>
      </w:r>
    </w:p>
    <w:p>
      <w:pPr>
        <w:pStyle w:val="Caption"/>
        <w:keepNext w:val="true"/>
        <w:spacing w:lineRule="auto" w:line="360" w:before="0" w:after="0"/>
        <w:rPr>
          <w:rFonts w:ascii="Calibri" w:hAnsi="Calibri" w:cs="Calibri" w:asciiTheme="minorHAnsi" w:cstheme="minorHAnsi" w:hAnsiTheme="minorHAnsi"/>
          <w:color w:themeColor="text1" w:val="000000"/>
        </w:rPr>
      </w:pPr>
      <w:r>
        <w:rPr>
          <w:rFonts w:cs="Calibri" w:cstheme="minorHAnsi" w:ascii="Calibri" w:hAnsi="Calibri"/>
          <w:color w:themeColor="text1" w:val="000000"/>
        </w:rPr>
      </w:r>
    </w:p>
    <w:p>
      <w:pPr>
        <w:pStyle w:val="Caption"/>
        <w:keepNext w:val="true"/>
        <w:jc w:val="center"/>
        <w:rPr>
          <w:rFonts w:ascii="Calibri" w:hAnsi="Calibri" w:cs="Calibri" w:asciiTheme="minorHAnsi" w:cstheme="minorHAnsi" w:hAnsiTheme="minorHAnsi"/>
          <w:color w:val="auto"/>
          <w:sz w:val="20"/>
          <w:szCs w:val="20"/>
        </w:rPr>
      </w:pPr>
      <w:bookmarkStart w:id="37" w:name="_Toc242269266"/>
      <w:r>
        <w:rPr>
          <w:rFonts w:cs="Calibri" w:ascii="Calibri" w:hAnsi="Calibri" w:asciiTheme="minorHAnsi" w:cstheme="minorHAnsi" w:hAnsiTheme="minorHAnsi"/>
          <w:color w:val="auto"/>
          <w:sz w:val="20"/>
          <w:szCs w:val="20"/>
        </w:rPr>
        <w:t xml:space="preserve">Tabela </w:t>
      </w:r>
      <w:r>
        <w:rPr>
          <w:rFonts w:cs="Calibri" w:ascii="Calibri" w:hAnsi="Calibri" w:asciiTheme="minorHAnsi" w:cstheme="minorHAnsi" w:hAnsiTheme="minorHAnsi"/>
          <w:color w:val="auto"/>
          <w:sz w:val="20"/>
          <w:szCs w:val="20"/>
        </w:rPr>
        <w:fldChar w:fldCharType="begin"/>
      </w:r>
      <w:r>
        <w:rPr>
          <w:sz w:val="20"/>
          <w:szCs w:val="20"/>
          <w:rFonts w:cs="Calibri" w:ascii="Calibri" w:hAnsi="Calibri"/>
          <w:color w:val="auto"/>
        </w:rPr>
        <w:instrText xml:space="preserve"> SEQ Tabela \* ARABIC </w:instrText>
      </w:r>
      <w:r>
        <w:rPr>
          <w:sz w:val="20"/>
          <w:szCs w:val="20"/>
          <w:rFonts w:cs="Calibri" w:ascii="Calibri" w:hAnsi="Calibri"/>
          <w:color w:val="auto"/>
        </w:rPr>
        <w:fldChar w:fldCharType="separate"/>
      </w:r>
      <w:r>
        <w:rPr>
          <w:sz w:val="20"/>
          <w:szCs w:val="20"/>
          <w:rFonts w:cs="Calibri" w:ascii="Calibri" w:hAnsi="Calibri"/>
          <w:color w:val="auto"/>
        </w:rPr>
        <w:t>1</w:t>
      </w:r>
      <w:r>
        <w:rPr>
          <w:sz w:val="20"/>
          <w:szCs w:val="20"/>
          <w:rFonts w:cs="Calibri" w:ascii="Calibri" w:hAnsi="Calibri"/>
          <w:color w:val="auto"/>
        </w:rPr>
        <w:fldChar w:fldCharType="end"/>
      </w:r>
      <w:r>
        <w:rPr>
          <w:rFonts w:cs="Calibri" w:ascii="Calibri" w:hAnsi="Calibri" w:asciiTheme="minorHAnsi" w:cstheme="minorHAnsi" w:hAnsiTheme="minorHAnsi"/>
          <w:color w:val="auto"/>
          <w:sz w:val="20"/>
          <w:szCs w:val="20"/>
        </w:rPr>
        <w:t xml:space="preserve"> - Artigos encontrados por eixo temático</w:t>
      </w:r>
      <w:bookmarkEnd w:id="37"/>
    </w:p>
    <w:tbl>
      <w:tblPr>
        <w:tblStyle w:val="1"/>
        <w:tblW w:w="6802" w:type="dxa"/>
        <w:jc w:val="center"/>
        <w:tblInd w:w="0" w:type="dxa"/>
        <w:tblLayout w:type="fixed"/>
        <w:tblCellMar>
          <w:top w:w="0" w:type="dxa"/>
          <w:left w:w="108" w:type="dxa"/>
          <w:bottom w:w="0" w:type="dxa"/>
          <w:right w:w="108" w:type="dxa"/>
        </w:tblCellMar>
        <w:tblLook w:val="0400" w:noHBand="0" w:noVBand="1" w:firstColumn="0" w:lastRow="0" w:lastColumn="0" w:firstRow="0"/>
      </w:tblPr>
      <w:tblGrid>
        <w:gridCol w:w="2546"/>
        <w:gridCol w:w="1654"/>
        <w:gridCol w:w="1359"/>
        <w:gridCol w:w="1242"/>
      </w:tblGrid>
      <w:tr>
        <w:trPr>
          <w:cnfStyle w:val="000000100000" w:firstRow="0" w:lastRow="0" w:firstColumn="0" w:lastColumn="0" w:oddVBand="0" w:evenVBand="0" w:oddHBand="1" w:evenHBand="0" w:firstRowFirstColumn="0" w:firstRowLastColumn="0" w:lastRowFirstColumn="0" w:lastRowLastColumn="0"/>
        </w:trPr>
        <w:tc>
          <w:tcPr>
            <w:tcW w:w="2546" w:type="dxa"/>
            <w:tcBorders/>
            <w:shd w:color="auto" w:fill="CCCCCC" w:val="clear"/>
          </w:tcPr>
          <w:p>
            <w:pPr>
              <w:pStyle w:val="Normal"/>
              <w:widowControl/>
              <w:suppressAutoHyphens w:val="true"/>
              <w:spacing w:lineRule="auto" w:line="360" w:before="0" w:after="0"/>
              <w:jc w:val="center"/>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Eixo temático</w:t>
            </w:r>
          </w:p>
        </w:tc>
        <w:tc>
          <w:tcPr>
            <w:tcW w:w="1654" w:type="dxa"/>
            <w:tcBorders/>
            <w:shd w:color="auto" w:fill="CCCCCC" w:val="clear"/>
          </w:tcPr>
          <w:p>
            <w:pPr>
              <w:pStyle w:val="Normal"/>
              <w:widowControl/>
              <w:suppressAutoHyphens w:val="true"/>
              <w:spacing w:lineRule="auto" w:line="360" w:before="0" w:after="0"/>
              <w:jc w:val="center"/>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Scopus</w:t>
            </w:r>
          </w:p>
        </w:tc>
        <w:tc>
          <w:tcPr>
            <w:tcW w:w="1359" w:type="dxa"/>
            <w:tcBorders/>
            <w:shd w:color="auto" w:fill="CCCCCC" w:val="clear"/>
          </w:tcPr>
          <w:p>
            <w:pPr>
              <w:pStyle w:val="Normal"/>
              <w:widowControl/>
              <w:suppressAutoHyphens w:val="true"/>
              <w:spacing w:lineRule="auto" w:line="360" w:before="0" w:after="0"/>
              <w:jc w:val="center"/>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Web of Science</w:t>
            </w:r>
          </w:p>
        </w:tc>
        <w:tc>
          <w:tcPr>
            <w:tcW w:w="1242" w:type="dxa"/>
            <w:tcBorders/>
            <w:shd w:color="auto" w:fill="CCCCCC" w:val="clear"/>
          </w:tcPr>
          <w:p>
            <w:pPr>
              <w:pStyle w:val="Normal"/>
              <w:widowControl/>
              <w:suppressAutoHyphens w:val="true"/>
              <w:spacing w:lineRule="auto" w:line="360" w:before="0" w:after="0"/>
              <w:jc w:val="center"/>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Total por eixo</w:t>
            </w:r>
          </w:p>
        </w:tc>
      </w:tr>
      <w:tr>
        <w:trPr/>
        <w:tc>
          <w:tcPr>
            <w:tcW w:w="2546" w:type="dxa"/>
            <w:tcBorders/>
          </w:tcPr>
          <w:p>
            <w:pPr>
              <w:pStyle w:val="Normal"/>
              <w:widowControl/>
              <w:suppressAutoHyphens w:val="true"/>
              <w:spacing w:lineRule="auto" w:line="360" w:before="0" w:after="0"/>
              <w:jc w:val="center"/>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 xml:space="preserve">Eixo 1 - </w:t>
            </w:r>
            <w:r>
              <w:rPr>
                <w:rFonts w:eastAsia="Calibri" w:cs="Calibri" w:ascii="Calibri" w:hAnsi="Calibri"/>
                <w:i/>
                <w:iCs/>
                <w:color w:themeColor="text1" w:val="000000"/>
                <w:kern w:val="0"/>
                <w:sz w:val="16"/>
                <w:szCs w:val="16"/>
                <w:lang w:val="pt-BR" w:eastAsia="pt-BR" w:bidi="ar-SA"/>
              </w:rPr>
              <w:t xml:space="preserve">Framework </w:t>
            </w:r>
            <w:r>
              <w:rPr>
                <w:rFonts w:eastAsia="Calibri" w:cs="Calibri" w:ascii="Calibri" w:hAnsi="Calibri"/>
                <w:color w:themeColor="text1" w:val="000000"/>
                <w:kern w:val="0"/>
                <w:sz w:val="16"/>
                <w:szCs w:val="16"/>
                <w:lang w:val="pt-BR" w:eastAsia="pt-BR" w:bidi="ar-SA"/>
              </w:rPr>
              <w:t>aplicado a estudo de viabilidades em aquicultura</w:t>
            </w:r>
          </w:p>
        </w:tc>
        <w:tc>
          <w:tcPr>
            <w:tcW w:w="1654" w:type="dxa"/>
            <w:tcBorders/>
          </w:tcPr>
          <w:p>
            <w:pPr>
              <w:pStyle w:val="Normal"/>
              <w:widowControl/>
              <w:suppressAutoHyphens w:val="true"/>
              <w:spacing w:lineRule="auto" w:line="360" w:before="0" w:after="0"/>
              <w:jc w:val="center"/>
              <w:rPr>
                <w:rFonts w:ascii="Calibri" w:hAnsi="Calibri" w:eastAsia="Calibri" w:cs="Calibri" w:asciiTheme="minorHAnsi" w:cstheme="minorHAnsi" w:hAnsiTheme="minorHAnsi"/>
                <w:color w:themeColor="text1" w:val="000000"/>
                <w:sz w:val="20"/>
                <w:szCs w:val="20"/>
              </w:rPr>
            </w:pPr>
            <w:r>
              <w:rPr>
                <w:rFonts w:eastAsia="Calibri" w:cs="Calibri" w:ascii="Calibri" w:hAnsi="Calibri" w:asciiTheme="minorHAnsi" w:cstheme="minorHAnsi" w:hAnsiTheme="minorHAnsi"/>
                <w:color w:themeColor="text1" w:val="000000"/>
                <w:kern w:val="0"/>
                <w:sz w:val="20"/>
                <w:szCs w:val="20"/>
                <w:lang w:val="pt-BR" w:eastAsia="pt-BR" w:bidi="ar-SA"/>
              </w:rPr>
              <w:t>38</w:t>
            </w:r>
          </w:p>
        </w:tc>
        <w:tc>
          <w:tcPr>
            <w:tcW w:w="1359" w:type="dxa"/>
            <w:tcBorders/>
          </w:tcPr>
          <w:p>
            <w:pPr>
              <w:pStyle w:val="Normal"/>
              <w:widowControl/>
              <w:suppressAutoHyphens w:val="true"/>
              <w:spacing w:lineRule="auto" w:line="360" w:before="0" w:after="0"/>
              <w:jc w:val="center"/>
              <w:rPr>
                <w:rFonts w:ascii="Calibri" w:hAnsi="Calibri" w:eastAsia="Calibri" w:cs="Calibri" w:asciiTheme="minorHAnsi" w:cstheme="minorHAnsi" w:hAnsiTheme="minorHAnsi"/>
                <w:color w:themeColor="text1" w:val="000000"/>
                <w:sz w:val="20"/>
                <w:szCs w:val="20"/>
                <w:highlight w:val="yellow"/>
              </w:rPr>
            </w:pPr>
            <w:r>
              <w:rPr>
                <w:rFonts w:eastAsia="Calibri" w:cs="Calibri" w:ascii="Calibri" w:hAnsi="Calibri" w:asciiTheme="minorHAnsi" w:cstheme="minorHAnsi" w:hAnsiTheme="minorHAnsi"/>
                <w:color w:themeColor="text1" w:val="000000"/>
                <w:kern w:val="0"/>
                <w:sz w:val="20"/>
                <w:szCs w:val="20"/>
                <w:lang w:val="pt-BR" w:eastAsia="pt-BR" w:bidi="ar-SA"/>
              </w:rPr>
              <w:t>26</w:t>
            </w:r>
          </w:p>
        </w:tc>
        <w:tc>
          <w:tcPr>
            <w:tcW w:w="1242" w:type="dxa"/>
            <w:tcBorders/>
          </w:tcPr>
          <w:p>
            <w:pPr>
              <w:pStyle w:val="Normal"/>
              <w:widowControl/>
              <w:suppressAutoHyphens w:val="true"/>
              <w:spacing w:lineRule="auto" w:line="360" w:before="0" w:after="0"/>
              <w:jc w:val="center"/>
              <w:rPr>
                <w:rFonts w:ascii="Calibri" w:hAnsi="Calibri" w:eastAsia="Calibri" w:cs="Calibri" w:asciiTheme="minorHAnsi" w:cstheme="minorHAnsi" w:hAnsiTheme="minorHAnsi"/>
                <w:color w:themeColor="text1" w:val="000000"/>
                <w:sz w:val="20"/>
                <w:szCs w:val="20"/>
              </w:rPr>
            </w:pPr>
            <w:r>
              <w:rPr>
                <w:rFonts w:eastAsia="Aptos" w:cs="Aptos"/>
                <w:kern w:val="0"/>
                <w:szCs w:val="22"/>
                <w:lang w:val="pt-BR" w:eastAsia="pt-BR" w:bidi="ar-SA"/>
              </w:rPr>
              <w:fldChar w:fldCharType="begin"/>
            </w:r>
            <w:r>
              <w:rPr>
                <w:kern w:val="0"/>
                <w:szCs w:val="22"/>
                <w:rFonts w:eastAsia="Aptos" w:cs="Aptos"/>
                <w:lang w:val="pt-BR" w:eastAsia="pt-BR" w:bidi="ar-SA"/>
              </w:rPr>
              <w:instrText xml:space="preserve"> =SUM(LEFT)</w:instrText>
            </w:r>
            <w:r>
              <w:rPr>
                <w:kern w:val="0"/>
                <w:szCs w:val="22"/>
                <w:rFonts w:eastAsia="Aptos" w:cs="Aptos"/>
                <w:lang w:val="pt-BR" w:eastAsia="pt-BR" w:bidi="ar-SA"/>
              </w:rPr>
              <w:fldChar w:fldCharType="separate"/>
            </w:r>
            <w:r>
              <w:rPr>
                <w:kern w:val="0"/>
                <w:szCs w:val="22"/>
                <w:rFonts w:eastAsia="Aptos" w:cs="Aptos"/>
                <w:lang w:val="pt-BR" w:eastAsia="pt-BR" w:bidi="ar-SA"/>
              </w:rPr>
              <w:t>64</w:t>
            </w:r>
            <w:r>
              <w:rPr>
                <w:kern w:val="0"/>
                <w:szCs w:val="22"/>
                <w:rFonts w:eastAsia="Aptos" w:cs="Aptos"/>
                <w:lang w:val="pt-BR" w:eastAsia="pt-BR" w:bidi="ar-SA"/>
              </w:rPr>
              <w:fldChar w:fldCharType="end"/>
            </w:r>
          </w:p>
        </w:tc>
      </w:tr>
      <w:tr>
        <w:trPr>
          <w:cnfStyle w:val="000000100000" w:firstRow="0" w:lastRow="0" w:firstColumn="0" w:lastColumn="0" w:oddVBand="0" w:evenVBand="0" w:oddHBand="1" w:evenHBand="0" w:firstRowFirstColumn="0" w:firstRowLastColumn="0" w:lastRowFirstColumn="0" w:lastRowLastColumn="0"/>
        </w:trPr>
        <w:tc>
          <w:tcPr>
            <w:tcW w:w="2546" w:type="dxa"/>
            <w:tcBorders/>
            <w:shd w:color="auto" w:fill="CCCCCC" w:val="clear"/>
          </w:tcPr>
          <w:p>
            <w:pPr>
              <w:pStyle w:val="Normal"/>
              <w:widowControl/>
              <w:suppressAutoHyphens w:val="true"/>
              <w:spacing w:lineRule="auto" w:line="360" w:before="0" w:after="0"/>
              <w:jc w:val="center"/>
              <w:rPr>
                <w:rFonts w:ascii="Calibri" w:hAnsi="Calibri" w:eastAsia="Calibri" w:cs="Calibri"/>
                <w:color w:themeColor="text1" w:val="000000"/>
                <w:sz w:val="16"/>
                <w:szCs w:val="16"/>
                <w:highlight w:val="yellow"/>
              </w:rPr>
            </w:pPr>
            <w:r>
              <w:rPr>
                <w:rFonts w:eastAsia="Calibri" w:cs="Calibri" w:ascii="Calibri" w:hAnsi="Calibri"/>
                <w:color w:themeColor="text1" w:val="000000"/>
                <w:kern w:val="0"/>
                <w:sz w:val="16"/>
                <w:szCs w:val="16"/>
                <w:lang w:val="pt-BR" w:eastAsia="pt-BR" w:bidi="ar-SA"/>
              </w:rPr>
              <w:t xml:space="preserve">Eixo 2 - Integração, </w:t>
            </w:r>
            <w:r>
              <w:rPr>
                <w:rFonts w:eastAsia="Calibri" w:cs="Calibri" w:ascii="Calibri" w:hAnsi="Calibri"/>
                <w:i/>
                <w:iCs/>
                <w:color w:themeColor="text1" w:val="000000"/>
                <w:kern w:val="0"/>
                <w:sz w:val="16"/>
                <w:szCs w:val="16"/>
                <w:lang w:val="pt-BR" w:eastAsia="pt-BR" w:bidi="ar-SA"/>
              </w:rPr>
              <w:t>Lean Green</w:t>
            </w:r>
            <w:r>
              <w:rPr>
                <w:rFonts w:eastAsia="Calibri" w:cs="Calibri" w:ascii="Calibri" w:hAnsi="Calibri"/>
                <w:color w:themeColor="text1" w:val="000000"/>
                <w:kern w:val="0"/>
                <w:sz w:val="16"/>
                <w:szCs w:val="16"/>
                <w:lang w:val="pt-BR" w:eastAsia="pt-BR" w:bidi="ar-SA"/>
              </w:rPr>
              <w:t>,  Sustentabilidade Ambiental e cadeias de suprimentos</w:t>
            </w:r>
          </w:p>
        </w:tc>
        <w:tc>
          <w:tcPr>
            <w:tcW w:w="1654" w:type="dxa"/>
            <w:tcBorders/>
            <w:shd w:color="auto" w:fill="CCCCCC" w:val="clear"/>
          </w:tcPr>
          <w:p>
            <w:pPr>
              <w:pStyle w:val="Normal"/>
              <w:widowControl/>
              <w:suppressAutoHyphens w:val="true"/>
              <w:spacing w:lineRule="auto" w:line="360" w:before="0" w:after="0"/>
              <w:jc w:val="center"/>
              <w:rPr>
                <w:rFonts w:ascii="Calibri" w:hAnsi="Calibri" w:eastAsia="Calibri" w:cs="Calibri" w:asciiTheme="minorHAnsi" w:cstheme="minorHAnsi" w:hAnsiTheme="minorHAnsi"/>
                <w:color w:themeColor="text1" w:val="000000"/>
                <w:sz w:val="20"/>
                <w:szCs w:val="20"/>
              </w:rPr>
            </w:pPr>
            <w:r>
              <w:rPr>
                <w:rFonts w:eastAsia="Calibri" w:cs="Calibri" w:cstheme="minorHAnsi" w:ascii="Calibri" w:hAnsi="Calibri"/>
                <w:color w:themeColor="text1" w:val="000000"/>
                <w:kern w:val="0"/>
                <w:sz w:val="20"/>
                <w:szCs w:val="20"/>
                <w:lang w:val="pt-BR" w:eastAsia="pt-BR" w:bidi="ar-SA"/>
              </w:rPr>
            </w:r>
          </w:p>
          <w:p>
            <w:pPr>
              <w:pStyle w:val="Normal"/>
              <w:widowControl/>
              <w:suppressAutoHyphens w:val="true"/>
              <w:spacing w:lineRule="auto" w:line="360" w:before="0" w:after="0"/>
              <w:jc w:val="center"/>
              <w:rPr>
                <w:rFonts w:ascii="Calibri" w:hAnsi="Calibri" w:eastAsia="Calibri" w:cs="Calibri" w:asciiTheme="minorHAnsi" w:cstheme="minorHAnsi" w:hAnsiTheme="minorHAnsi"/>
                <w:color w:themeColor="text1" w:val="000000"/>
                <w:sz w:val="20"/>
                <w:szCs w:val="20"/>
                <w:highlight w:val="yellow"/>
              </w:rPr>
            </w:pPr>
            <w:r>
              <w:rPr>
                <w:rFonts w:eastAsia="Calibri" w:cs="Calibri" w:ascii="Calibri" w:hAnsi="Calibri" w:asciiTheme="minorHAnsi" w:cstheme="minorHAnsi" w:hAnsiTheme="minorHAnsi"/>
                <w:color w:themeColor="text1" w:val="000000"/>
                <w:kern w:val="0"/>
                <w:sz w:val="20"/>
                <w:szCs w:val="20"/>
                <w:lang w:val="pt-BR" w:eastAsia="pt-BR" w:bidi="ar-SA"/>
              </w:rPr>
              <w:t>47</w:t>
            </w:r>
          </w:p>
        </w:tc>
        <w:tc>
          <w:tcPr>
            <w:tcW w:w="1359" w:type="dxa"/>
            <w:tcBorders/>
            <w:shd w:color="auto" w:fill="CCCCCC" w:val="clear"/>
          </w:tcPr>
          <w:p>
            <w:pPr>
              <w:pStyle w:val="Normal"/>
              <w:widowControl/>
              <w:suppressAutoHyphens w:val="true"/>
              <w:spacing w:lineRule="auto" w:line="360" w:before="0" w:after="0"/>
              <w:jc w:val="center"/>
              <w:rPr>
                <w:rFonts w:ascii="Calibri" w:hAnsi="Calibri" w:eastAsia="Calibri" w:cs="Calibri" w:asciiTheme="minorHAnsi" w:cstheme="minorHAnsi" w:hAnsiTheme="minorHAnsi"/>
                <w:color w:themeColor="text1" w:val="000000"/>
                <w:sz w:val="20"/>
                <w:szCs w:val="20"/>
              </w:rPr>
            </w:pPr>
            <w:r>
              <w:rPr>
                <w:rFonts w:eastAsia="Calibri" w:cs="Calibri" w:cstheme="minorHAnsi" w:ascii="Calibri" w:hAnsi="Calibri"/>
                <w:color w:themeColor="text1" w:val="000000"/>
                <w:kern w:val="0"/>
                <w:sz w:val="20"/>
                <w:szCs w:val="20"/>
                <w:lang w:val="pt-BR" w:eastAsia="pt-BR" w:bidi="ar-SA"/>
              </w:rPr>
            </w:r>
          </w:p>
          <w:p>
            <w:pPr>
              <w:pStyle w:val="Normal"/>
              <w:widowControl/>
              <w:suppressAutoHyphens w:val="true"/>
              <w:spacing w:lineRule="auto" w:line="360" w:before="0" w:after="0"/>
              <w:jc w:val="center"/>
              <w:rPr>
                <w:rFonts w:ascii="Calibri" w:hAnsi="Calibri" w:eastAsia="Calibri" w:cs="Calibri" w:asciiTheme="minorHAnsi" w:cstheme="minorHAnsi" w:hAnsiTheme="minorHAnsi"/>
                <w:color w:themeColor="text1" w:val="000000"/>
                <w:sz w:val="20"/>
                <w:szCs w:val="20"/>
                <w:highlight w:val="yellow"/>
              </w:rPr>
            </w:pPr>
            <w:r>
              <w:rPr>
                <w:rFonts w:eastAsia="Calibri" w:cs="Calibri" w:ascii="Calibri" w:hAnsi="Calibri" w:asciiTheme="minorHAnsi" w:cstheme="minorHAnsi" w:hAnsiTheme="minorHAnsi"/>
                <w:color w:themeColor="text1" w:val="000000"/>
                <w:kern w:val="0"/>
                <w:sz w:val="20"/>
                <w:szCs w:val="20"/>
                <w:lang w:val="pt-BR" w:eastAsia="pt-BR" w:bidi="ar-SA"/>
              </w:rPr>
              <w:t>54</w:t>
            </w:r>
          </w:p>
        </w:tc>
        <w:tc>
          <w:tcPr>
            <w:tcW w:w="1242" w:type="dxa"/>
            <w:tcBorders/>
            <w:shd w:color="auto" w:fill="CCCCCC" w:val="clear"/>
          </w:tcPr>
          <w:p>
            <w:pPr>
              <w:pStyle w:val="Normal"/>
              <w:widowControl/>
              <w:suppressAutoHyphens w:val="true"/>
              <w:spacing w:lineRule="auto" w:line="360" w:before="0" w:after="0"/>
              <w:jc w:val="center"/>
              <w:rPr>
                <w:rFonts w:ascii="Calibri" w:hAnsi="Calibri" w:eastAsia="Calibri" w:cs="Calibri" w:asciiTheme="minorHAnsi" w:cstheme="minorHAnsi" w:hAnsiTheme="minorHAnsi"/>
                <w:color w:themeColor="text1" w:val="000000"/>
                <w:sz w:val="20"/>
                <w:szCs w:val="20"/>
              </w:rPr>
            </w:pPr>
            <w:r>
              <w:rPr>
                <w:rFonts w:eastAsia="Calibri" w:cs="Calibri" w:cstheme="minorHAnsi" w:ascii="Calibri" w:hAnsi="Calibri"/>
                <w:color w:themeColor="text1" w:val="000000"/>
                <w:kern w:val="0"/>
                <w:sz w:val="20"/>
                <w:szCs w:val="20"/>
                <w:lang w:val="pt-BR" w:eastAsia="pt-BR" w:bidi="ar-SA"/>
              </w:rPr>
            </w:r>
          </w:p>
          <w:p>
            <w:pPr>
              <w:pStyle w:val="Normal"/>
              <w:widowControl/>
              <w:suppressAutoHyphens w:val="true"/>
              <w:spacing w:lineRule="auto" w:line="360" w:before="0" w:after="0"/>
              <w:jc w:val="center"/>
              <w:rPr>
                <w:rFonts w:ascii="Calibri" w:hAnsi="Calibri" w:eastAsia="Calibri" w:cs="Calibri" w:asciiTheme="minorHAnsi" w:cstheme="minorHAnsi" w:hAnsiTheme="minorHAnsi"/>
                <w:color w:themeColor="text1" w:val="000000"/>
                <w:sz w:val="20"/>
                <w:szCs w:val="20"/>
              </w:rPr>
            </w:pPr>
            <w:r>
              <w:rPr>
                <w:rFonts w:eastAsia="Aptos" w:cs="Aptos"/>
                <w:kern w:val="0"/>
                <w:szCs w:val="22"/>
                <w:lang w:val="pt-BR" w:eastAsia="pt-BR" w:bidi="ar-SA"/>
              </w:rPr>
              <w:fldChar w:fldCharType="begin"/>
            </w:r>
            <w:r>
              <w:rPr>
                <w:kern w:val="0"/>
                <w:szCs w:val="22"/>
                <w:rFonts w:eastAsia="Aptos" w:cs="Aptos"/>
                <w:lang w:val="pt-BR" w:eastAsia="pt-BR" w:bidi="ar-SA"/>
              </w:rPr>
              <w:instrText xml:space="preserve"> =SUM(left)</w:instrText>
            </w:r>
            <w:r>
              <w:rPr>
                <w:kern w:val="0"/>
                <w:szCs w:val="22"/>
                <w:rFonts w:eastAsia="Aptos" w:cs="Aptos"/>
                <w:lang w:val="pt-BR" w:eastAsia="pt-BR" w:bidi="ar-SA"/>
              </w:rPr>
              <w:fldChar w:fldCharType="separate"/>
            </w:r>
            <w:r>
              <w:rPr>
                <w:kern w:val="0"/>
                <w:szCs w:val="22"/>
                <w:rFonts w:eastAsia="Aptos" w:cs="Aptos"/>
                <w:lang w:val="pt-BR" w:eastAsia="pt-BR" w:bidi="ar-SA"/>
              </w:rPr>
              <w:t>101</w:t>
            </w:r>
            <w:r>
              <w:rPr>
                <w:kern w:val="0"/>
                <w:szCs w:val="22"/>
                <w:rFonts w:eastAsia="Aptos" w:cs="Aptos"/>
                <w:lang w:val="pt-BR" w:eastAsia="pt-BR" w:bidi="ar-SA"/>
              </w:rPr>
              <w:fldChar w:fldCharType="end"/>
            </w:r>
          </w:p>
        </w:tc>
      </w:tr>
      <w:tr>
        <w:trPr/>
        <w:tc>
          <w:tcPr>
            <w:tcW w:w="2546" w:type="dxa"/>
            <w:tcBorders/>
          </w:tcPr>
          <w:p>
            <w:pPr>
              <w:pStyle w:val="Normal"/>
              <w:widowControl/>
              <w:suppressAutoHyphens w:val="true"/>
              <w:spacing w:lineRule="auto" w:line="360" w:before="0" w:after="0"/>
              <w:jc w:val="center"/>
              <w:rPr>
                <w:rFonts w:ascii="Calibri" w:hAnsi="Calibri" w:eastAsia="Calibri" w:cs="Calibri"/>
                <w:b/>
                <w:bCs/>
                <w:color w:themeColor="text1" w:val="000000"/>
                <w:sz w:val="16"/>
                <w:szCs w:val="16"/>
              </w:rPr>
            </w:pPr>
            <w:r>
              <w:rPr>
                <w:rFonts w:eastAsia="Calibri" w:cs="Calibri" w:ascii="Calibri" w:hAnsi="Calibri"/>
                <w:color w:themeColor="text1" w:val="000000"/>
                <w:kern w:val="0"/>
                <w:sz w:val="16"/>
                <w:szCs w:val="16"/>
                <w:lang w:val="pt-BR" w:eastAsia="pt-BR" w:bidi="ar-SA"/>
              </w:rPr>
              <w:t>Eixo 3 – Desempenho ESG, RSC e engajamento com Stakeholders</w:t>
            </w:r>
          </w:p>
        </w:tc>
        <w:tc>
          <w:tcPr>
            <w:tcW w:w="1654" w:type="dxa"/>
            <w:tcBorders/>
          </w:tcPr>
          <w:p>
            <w:pPr>
              <w:pStyle w:val="Normal"/>
              <w:widowControl/>
              <w:suppressAutoHyphens w:val="true"/>
              <w:spacing w:lineRule="auto" w:line="360" w:before="0" w:after="0"/>
              <w:jc w:val="center"/>
              <w:rPr>
                <w:rFonts w:ascii="Calibri" w:hAnsi="Calibri" w:eastAsia="Calibri" w:cs="Calibri" w:asciiTheme="minorHAnsi" w:cstheme="minorHAnsi" w:hAnsiTheme="minorHAnsi"/>
                <w:color w:themeColor="text1" w:val="000000"/>
                <w:sz w:val="20"/>
                <w:szCs w:val="20"/>
              </w:rPr>
            </w:pPr>
            <w:r>
              <w:rPr>
                <w:rFonts w:eastAsia="Calibri" w:cs="Calibri" w:cstheme="minorHAnsi" w:ascii="Calibri" w:hAnsi="Calibri"/>
                <w:color w:themeColor="text1" w:val="000000"/>
                <w:kern w:val="0"/>
                <w:sz w:val="20"/>
                <w:szCs w:val="20"/>
                <w:lang w:val="pt-BR" w:eastAsia="pt-BR" w:bidi="ar-SA"/>
              </w:rPr>
            </w:r>
          </w:p>
          <w:p>
            <w:pPr>
              <w:pStyle w:val="Normal"/>
              <w:widowControl/>
              <w:suppressAutoHyphens w:val="true"/>
              <w:spacing w:lineRule="auto" w:line="360" w:before="0" w:after="0"/>
              <w:jc w:val="center"/>
              <w:rPr>
                <w:rFonts w:ascii="Calibri" w:hAnsi="Calibri" w:eastAsia="Calibri" w:cs="Calibri" w:asciiTheme="minorHAnsi" w:cstheme="minorHAnsi" w:hAnsiTheme="minorHAnsi"/>
                <w:color w:themeColor="text1" w:val="000000"/>
                <w:sz w:val="20"/>
                <w:szCs w:val="20"/>
              </w:rPr>
            </w:pPr>
            <w:r>
              <w:rPr>
                <w:rFonts w:eastAsia="Calibri" w:cs="Calibri" w:ascii="Calibri" w:hAnsi="Calibri" w:asciiTheme="minorHAnsi" w:cstheme="minorHAnsi" w:hAnsiTheme="minorHAnsi"/>
                <w:color w:themeColor="text1" w:val="000000"/>
                <w:kern w:val="0"/>
                <w:sz w:val="20"/>
                <w:szCs w:val="20"/>
                <w:lang w:val="pt-BR" w:eastAsia="pt-BR" w:bidi="ar-SA"/>
              </w:rPr>
              <w:t>4</w:t>
            </w:r>
          </w:p>
        </w:tc>
        <w:tc>
          <w:tcPr>
            <w:tcW w:w="1359" w:type="dxa"/>
            <w:tcBorders/>
          </w:tcPr>
          <w:p>
            <w:pPr>
              <w:pStyle w:val="Normal"/>
              <w:widowControl/>
              <w:suppressAutoHyphens w:val="true"/>
              <w:spacing w:lineRule="auto" w:line="360" w:before="0" w:after="0"/>
              <w:jc w:val="center"/>
              <w:rPr>
                <w:rFonts w:ascii="Calibri" w:hAnsi="Calibri" w:eastAsia="Calibri" w:cs="Calibri" w:asciiTheme="minorHAnsi" w:cstheme="minorHAnsi" w:hAnsiTheme="minorHAnsi"/>
                <w:color w:themeColor="text1" w:val="000000"/>
                <w:sz w:val="20"/>
                <w:szCs w:val="20"/>
              </w:rPr>
            </w:pPr>
            <w:r>
              <w:rPr>
                <w:rFonts w:eastAsia="Calibri" w:cs="Calibri" w:cstheme="minorHAnsi" w:ascii="Calibri" w:hAnsi="Calibri"/>
                <w:color w:themeColor="text1" w:val="000000"/>
                <w:kern w:val="0"/>
                <w:sz w:val="20"/>
                <w:szCs w:val="20"/>
                <w:lang w:val="pt-BR" w:eastAsia="pt-BR" w:bidi="ar-SA"/>
              </w:rPr>
            </w:r>
          </w:p>
          <w:p>
            <w:pPr>
              <w:pStyle w:val="Normal"/>
              <w:widowControl/>
              <w:suppressAutoHyphens w:val="true"/>
              <w:spacing w:lineRule="auto" w:line="360" w:before="0" w:after="0"/>
              <w:jc w:val="center"/>
              <w:rPr>
                <w:rFonts w:ascii="Calibri" w:hAnsi="Calibri" w:eastAsia="Calibri" w:cs="Calibri" w:asciiTheme="minorHAnsi" w:cstheme="minorHAnsi" w:hAnsiTheme="minorHAnsi"/>
                <w:color w:themeColor="text1" w:val="000000"/>
                <w:sz w:val="20"/>
                <w:szCs w:val="20"/>
                <w:highlight w:val="yellow"/>
              </w:rPr>
            </w:pPr>
            <w:r>
              <w:rPr>
                <w:rFonts w:eastAsia="Calibri" w:cs="Calibri" w:ascii="Calibri" w:hAnsi="Calibri" w:asciiTheme="minorHAnsi" w:cstheme="minorHAnsi" w:hAnsiTheme="minorHAnsi"/>
                <w:color w:themeColor="text1" w:val="000000"/>
                <w:kern w:val="0"/>
                <w:sz w:val="20"/>
                <w:szCs w:val="20"/>
                <w:lang w:val="pt-BR" w:eastAsia="pt-BR" w:bidi="ar-SA"/>
              </w:rPr>
              <w:t>4</w:t>
            </w:r>
          </w:p>
        </w:tc>
        <w:tc>
          <w:tcPr>
            <w:tcW w:w="1242" w:type="dxa"/>
            <w:tcBorders/>
          </w:tcPr>
          <w:p>
            <w:pPr>
              <w:pStyle w:val="Normal"/>
              <w:widowControl/>
              <w:suppressAutoHyphens w:val="true"/>
              <w:spacing w:lineRule="auto" w:line="360" w:before="0" w:after="0"/>
              <w:jc w:val="center"/>
              <w:rPr>
                <w:rFonts w:ascii="Calibri" w:hAnsi="Calibri" w:eastAsia="Calibri" w:cs="Calibri" w:asciiTheme="minorHAnsi" w:cstheme="minorHAnsi" w:hAnsiTheme="minorHAnsi"/>
                <w:color w:themeColor="text1" w:val="000000"/>
                <w:sz w:val="20"/>
                <w:szCs w:val="20"/>
              </w:rPr>
            </w:pPr>
            <w:r>
              <w:rPr>
                <w:rFonts w:eastAsia="Calibri" w:cs="Calibri" w:cstheme="minorHAnsi" w:ascii="Calibri" w:hAnsi="Calibri"/>
                <w:color w:themeColor="text1" w:val="000000"/>
                <w:kern w:val="0"/>
                <w:sz w:val="20"/>
                <w:szCs w:val="20"/>
                <w:lang w:val="pt-BR" w:eastAsia="pt-BR" w:bidi="ar-SA"/>
              </w:rPr>
            </w:r>
          </w:p>
          <w:p>
            <w:pPr>
              <w:pStyle w:val="Normal"/>
              <w:widowControl/>
              <w:suppressAutoHyphens w:val="true"/>
              <w:spacing w:lineRule="auto" w:line="360" w:before="0" w:after="0"/>
              <w:jc w:val="center"/>
              <w:rPr>
                <w:rFonts w:ascii="Calibri" w:hAnsi="Calibri" w:eastAsia="Calibri" w:cs="Calibri" w:asciiTheme="minorHAnsi" w:cstheme="minorHAnsi" w:hAnsiTheme="minorHAnsi"/>
                <w:color w:themeColor="text1" w:val="000000"/>
                <w:sz w:val="20"/>
                <w:szCs w:val="20"/>
              </w:rPr>
            </w:pPr>
            <w:r>
              <w:rPr>
                <w:rFonts w:eastAsia="Calibri" w:cs="Calibri" w:ascii="Calibri" w:hAnsi="Calibri" w:asciiTheme="minorHAnsi" w:cstheme="minorHAnsi" w:hAnsiTheme="minorHAnsi"/>
                <w:color w:themeColor="text1" w:val="000000"/>
                <w:kern w:val="0"/>
                <w:sz w:val="20"/>
                <w:szCs w:val="20"/>
                <w:lang w:val="pt-BR" w:eastAsia="pt-BR" w:bidi="ar-SA"/>
              </w:rPr>
              <w:t>8</w:t>
            </w:r>
          </w:p>
        </w:tc>
      </w:tr>
      <w:tr>
        <w:trPr>
          <w:cnfStyle w:val="000000100000" w:firstRow="0" w:lastRow="0" w:firstColumn="0" w:lastColumn="0" w:oddVBand="0" w:evenVBand="0" w:oddHBand="1" w:evenHBand="0" w:firstRowFirstColumn="0" w:firstRowLastColumn="0" w:lastRowFirstColumn="0" w:lastRowLastColumn="0"/>
        </w:trPr>
        <w:tc>
          <w:tcPr>
            <w:tcW w:w="2546" w:type="dxa"/>
            <w:tcBorders/>
            <w:shd w:color="auto" w:fill="CCCCCC" w:val="clear"/>
          </w:tcPr>
          <w:p>
            <w:pPr>
              <w:pStyle w:val="Normal"/>
              <w:widowControl/>
              <w:suppressAutoHyphens w:val="true"/>
              <w:spacing w:lineRule="auto" w:line="360" w:before="0" w:after="0"/>
              <w:jc w:val="center"/>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TOTAL POR BASE</w:t>
            </w:r>
          </w:p>
        </w:tc>
        <w:tc>
          <w:tcPr>
            <w:tcW w:w="1654" w:type="dxa"/>
            <w:tcBorders/>
            <w:shd w:color="auto" w:fill="CCCCCC" w:val="clear"/>
          </w:tcPr>
          <w:p>
            <w:pPr>
              <w:pStyle w:val="Normal"/>
              <w:widowControl/>
              <w:suppressAutoHyphens w:val="true"/>
              <w:spacing w:lineRule="auto" w:line="360" w:before="0" w:after="0"/>
              <w:jc w:val="center"/>
              <w:rPr>
                <w:rFonts w:ascii="Calibri" w:hAnsi="Calibri" w:eastAsia="Calibri" w:cs="Calibri" w:asciiTheme="minorHAnsi" w:cstheme="minorHAnsi" w:hAnsiTheme="minorHAnsi"/>
                <w:color w:themeColor="text1" w:val="000000"/>
                <w:sz w:val="20"/>
                <w:szCs w:val="20"/>
              </w:rPr>
            </w:pPr>
            <w:r>
              <w:rPr>
                <w:rFonts w:eastAsia="Aptos" w:cs="Aptos"/>
                <w:kern w:val="0"/>
                <w:szCs w:val="22"/>
                <w:lang w:val="pt-BR" w:eastAsia="pt-BR" w:bidi="ar-SA"/>
              </w:rPr>
              <w:fldChar w:fldCharType="begin"/>
            </w:r>
            <w:r>
              <w:rPr>
                <w:kern w:val="0"/>
                <w:szCs w:val="22"/>
                <w:rFonts w:eastAsia="Aptos" w:cs="Aptos"/>
                <w:lang w:val="pt-BR" w:eastAsia="pt-BR" w:bidi="ar-SA"/>
              </w:rPr>
              <w:instrText xml:space="preserve"> =SUM(ABOVE)</w:instrText>
            </w:r>
            <w:r>
              <w:rPr>
                <w:kern w:val="0"/>
                <w:szCs w:val="22"/>
                <w:rFonts w:eastAsia="Aptos" w:cs="Aptos"/>
                <w:lang w:val="pt-BR" w:eastAsia="pt-BR" w:bidi="ar-SA"/>
              </w:rPr>
              <w:fldChar w:fldCharType="separate"/>
            </w:r>
            <w:r>
              <w:rPr>
                <w:kern w:val="0"/>
                <w:szCs w:val="22"/>
                <w:rFonts w:eastAsia="Aptos" w:cs="Aptos"/>
                <w:lang w:val="pt-BR" w:eastAsia="pt-BR" w:bidi="ar-SA"/>
              </w:rPr>
              <w:t>89</w:t>
            </w:r>
            <w:r>
              <w:rPr>
                <w:kern w:val="0"/>
                <w:szCs w:val="22"/>
                <w:rFonts w:eastAsia="Aptos" w:cs="Aptos"/>
                <w:lang w:val="pt-BR" w:eastAsia="pt-BR" w:bidi="ar-SA"/>
              </w:rPr>
              <w:fldChar w:fldCharType="end"/>
            </w:r>
          </w:p>
        </w:tc>
        <w:tc>
          <w:tcPr>
            <w:tcW w:w="1359" w:type="dxa"/>
            <w:tcBorders/>
            <w:shd w:color="auto" w:fill="CCCCCC" w:val="clear"/>
          </w:tcPr>
          <w:p>
            <w:pPr>
              <w:pStyle w:val="Normal"/>
              <w:widowControl/>
              <w:suppressAutoHyphens w:val="true"/>
              <w:spacing w:lineRule="auto" w:line="360" w:before="0" w:after="0"/>
              <w:jc w:val="center"/>
              <w:rPr>
                <w:rFonts w:ascii="Calibri" w:hAnsi="Calibri" w:eastAsia="Calibri" w:cs="Calibri" w:asciiTheme="minorHAnsi" w:cstheme="minorHAnsi" w:hAnsiTheme="minorHAnsi"/>
                <w:color w:themeColor="text1" w:val="000000"/>
                <w:sz w:val="20"/>
                <w:szCs w:val="20"/>
              </w:rPr>
            </w:pPr>
            <w:r>
              <w:rPr>
                <w:rFonts w:eastAsia="Aptos" w:cs="Aptos"/>
                <w:kern w:val="0"/>
                <w:szCs w:val="22"/>
                <w:lang w:val="pt-BR" w:eastAsia="pt-BR" w:bidi="ar-SA"/>
              </w:rPr>
              <w:fldChar w:fldCharType="begin"/>
            </w:r>
            <w:r>
              <w:rPr>
                <w:kern w:val="0"/>
                <w:szCs w:val="22"/>
                <w:rFonts w:eastAsia="Aptos" w:cs="Aptos"/>
                <w:lang w:val="pt-BR" w:eastAsia="pt-BR" w:bidi="ar-SA"/>
              </w:rPr>
              <w:instrText xml:space="preserve"> =SUM(ABOVE)</w:instrText>
            </w:r>
            <w:r>
              <w:rPr>
                <w:kern w:val="0"/>
                <w:szCs w:val="22"/>
                <w:rFonts w:eastAsia="Aptos" w:cs="Aptos"/>
                <w:lang w:val="pt-BR" w:eastAsia="pt-BR" w:bidi="ar-SA"/>
              </w:rPr>
              <w:fldChar w:fldCharType="separate"/>
            </w:r>
            <w:r>
              <w:rPr>
                <w:kern w:val="0"/>
                <w:szCs w:val="22"/>
                <w:rFonts w:eastAsia="Aptos" w:cs="Aptos"/>
                <w:lang w:val="pt-BR" w:eastAsia="pt-BR" w:bidi="ar-SA"/>
              </w:rPr>
              <w:t>84</w:t>
            </w:r>
            <w:r>
              <w:rPr>
                <w:kern w:val="0"/>
                <w:szCs w:val="22"/>
                <w:rFonts w:eastAsia="Aptos" w:cs="Aptos"/>
                <w:lang w:val="pt-BR" w:eastAsia="pt-BR" w:bidi="ar-SA"/>
              </w:rPr>
              <w:fldChar w:fldCharType="end"/>
            </w:r>
          </w:p>
        </w:tc>
        <w:tc>
          <w:tcPr>
            <w:tcW w:w="1242" w:type="dxa"/>
            <w:tcBorders/>
            <w:shd w:color="auto" w:fill="CCCCCC" w:val="clear"/>
          </w:tcPr>
          <w:p>
            <w:pPr>
              <w:pStyle w:val="Normal"/>
              <w:keepNext w:val="true"/>
              <w:widowControl/>
              <w:suppressAutoHyphens w:val="true"/>
              <w:spacing w:lineRule="auto" w:line="360" w:before="0" w:after="0"/>
              <w:jc w:val="center"/>
              <w:rPr>
                <w:rFonts w:ascii="Calibri" w:hAnsi="Calibri" w:eastAsia="Calibri" w:cs="Calibri" w:asciiTheme="minorHAnsi" w:cstheme="minorHAnsi" w:hAnsiTheme="minorHAnsi"/>
                <w:color w:themeColor="text1" w:val="000000"/>
                <w:sz w:val="20"/>
                <w:szCs w:val="20"/>
              </w:rPr>
            </w:pPr>
            <w:r>
              <w:rPr>
                <w:rFonts w:eastAsia="Aptos" w:cs="Aptos"/>
                <w:kern w:val="0"/>
                <w:szCs w:val="22"/>
                <w:lang w:val="pt-BR" w:eastAsia="pt-BR" w:bidi="ar-SA"/>
              </w:rPr>
              <w:fldChar w:fldCharType="begin"/>
            </w:r>
            <w:r>
              <w:rPr>
                <w:kern w:val="0"/>
                <w:szCs w:val="22"/>
                <w:rFonts w:eastAsia="Aptos" w:cs="Aptos"/>
                <w:lang w:val="pt-BR" w:eastAsia="pt-BR" w:bidi="ar-SA"/>
              </w:rPr>
              <w:instrText xml:space="preserve"> =SUM(ABOVE)</w:instrText>
            </w:r>
            <w:r>
              <w:rPr>
                <w:kern w:val="0"/>
                <w:szCs w:val="22"/>
                <w:rFonts w:eastAsia="Aptos" w:cs="Aptos"/>
                <w:lang w:val="pt-BR" w:eastAsia="pt-BR" w:bidi="ar-SA"/>
              </w:rPr>
              <w:fldChar w:fldCharType="separate"/>
            </w:r>
            <w:r>
              <w:rPr>
                <w:kern w:val="0"/>
                <w:szCs w:val="22"/>
                <w:rFonts w:eastAsia="Aptos" w:cs="Aptos"/>
                <w:lang w:val="pt-BR" w:eastAsia="pt-BR" w:bidi="ar-SA"/>
              </w:rPr>
              <w:t>173</w:t>
            </w:r>
            <w:r>
              <w:rPr>
                <w:kern w:val="0"/>
                <w:szCs w:val="22"/>
                <w:rFonts w:eastAsia="Aptos" w:cs="Aptos"/>
                <w:lang w:val="pt-BR" w:eastAsia="pt-BR" w:bidi="ar-SA"/>
              </w:rPr>
              <w:fldChar w:fldCharType="end"/>
            </w:r>
          </w:p>
        </w:tc>
      </w:tr>
    </w:tbl>
    <w:p>
      <w:pPr>
        <w:pStyle w:val="Normal"/>
        <w:spacing w:lineRule="auto" w:line="360" w:before="0" w:after="0"/>
        <w:jc w:val="center"/>
        <w:rPr>
          <w:rFonts w:ascii="Calibri Light" w:hAnsi="Calibri Light" w:eastAsia="Times New Roman" w:cs="Calibri Light" w:asciiTheme="majorHAnsi" w:cstheme="majorHAnsi" w:hAnsiTheme="majorHAnsi"/>
          <w:color w:themeColor="text1" w:val="000000"/>
          <w:sz w:val="16"/>
          <w:szCs w:val="16"/>
        </w:rPr>
      </w:pPr>
      <w:r>
        <w:rPr>
          <w:rFonts w:eastAsia="Times New Roman" w:cs="Calibri Light" w:ascii="Calibri Light" w:hAnsi="Calibri Light" w:asciiTheme="majorHAnsi" w:cstheme="majorHAnsi" w:hAnsiTheme="majorHAnsi"/>
          <w:color w:themeColor="text1" w:val="000000"/>
          <w:sz w:val="16"/>
          <w:szCs w:val="16"/>
        </w:rPr>
        <w:t>Fonte: Elaborado pelo autor (2026)</w:t>
      </w:r>
    </w:p>
    <w:p>
      <w:pPr>
        <w:pStyle w:val="Normal"/>
        <w:spacing w:lineRule="auto" w:line="360" w:before="0" w:after="0"/>
        <w:jc w:val="both"/>
        <w:rPr>
          <w:rFonts w:ascii="Times New Roman" w:hAnsi="Times New Roman" w:eastAsia="Times New Roman" w:cs="Times New Roman"/>
          <w:color w:themeColor="text1" w:val="000000"/>
          <w:sz w:val="16"/>
          <w:szCs w:val="16"/>
        </w:rPr>
      </w:pPr>
      <w:r>
        <w:rPr>
          <w:rFonts w:eastAsia="Times New Roman" w:cs="Times New Roman"/>
          <w:color w:themeColor="text1" w:val="000000"/>
          <w:sz w:val="16"/>
          <w:szCs w:val="16"/>
        </w:rPr>
      </w:r>
    </w:p>
    <w:p>
      <w:pPr>
        <w:pStyle w:val="Caption"/>
        <w:keepNext w:val="true"/>
        <w:jc w:val="center"/>
        <w:rPr>
          <w:rFonts w:ascii="Calibri" w:hAnsi="Calibri" w:cs="Calibri" w:asciiTheme="minorHAnsi" w:cstheme="minorHAnsi" w:hAnsiTheme="minorHAnsi"/>
          <w:color w:val="auto"/>
          <w:sz w:val="20"/>
          <w:szCs w:val="20"/>
        </w:rPr>
      </w:pPr>
      <w:bookmarkStart w:id="38" w:name="_Toc240362122"/>
      <w:r>
        <w:rPr>
          <w:rFonts w:cs="Calibri" w:ascii="Calibri" w:hAnsi="Calibri" w:asciiTheme="minorHAnsi" w:cstheme="minorHAnsi" w:hAnsiTheme="minorHAnsi"/>
          <w:color w:val="auto"/>
          <w:sz w:val="20"/>
          <w:szCs w:val="20"/>
        </w:rPr>
        <w:t xml:space="preserve">Figura </w:t>
      </w:r>
      <w:r>
        <w:rPr>
          <w:rFonts w:cs="Calibri" w:ascii="Calibri" w:hAnsi="Calibri" w:asciiTheme="minorHAnsi" w:cstheme="minorHAnsi" w:hAnsiTheme="minorHAnsi"/>
          <w:color w:val="auto"/>
          <w:sz w:val="20"/>
          <w:szCs w:val="20"/>
        </w:rPr>
        <w:fldChar w:fldCharType="begin"/>
      </w:r>
      <w:r>
        <w:rPr>
          <w:sz w:val="20"/>
          <w:szCs w:val="20"/>
          <w:rFonts w:cs="Calibri" w:ascii="Calibri" w:hAnsi="Calibri"/>
          <w:color w:val="auto"/>
        </w:rPr>
        <w:instrText xml:space="preserve"> SEQ Figura \* ARABIC </w:instrText>
      </w:r>
      <w:r>
        <w:rPr>
          <w:sz w:val="20"/>
          <w:szCs w:val="20"/>
          <w:rFonts w:cs="Calibri" w:ascii="Calibri" w:hAnsi="Calibri"/>
          <w:color w:val="auto"/>
        </w:rPr>
        <w:fldChar w:fldCharType="separate"/>
      </w:r>
      <w:r>
        <w:rPr>
          <w:sz w:val="20"/>
          <w:szCs w:val="20"/>
          <w:rFonts w:cs="Calibri" w:ascii="Calibri" w:hAnsi="Calibri"/>
          <w:color w:val="auto"/>
        </w:rPr>
        <w:t>1</w:t>
      </w:r>
      <w:r>
        <w:rPr>
          <w:sz w:val="20"/>
          <w:szCs w:val="20"/>
          <w:rFonts w:cs="Calibri" w:ascii="Calibri" w:hAnsi="Calibri"/>
          <w:color w:val="auto"/>
        </w:rPr>
        <w:fldChar w:fldCharType="end"/>
      </w:r>
      <w:r>
        <w:rPr>
          <w:rFonts w:cs="Calibri" w:ascii="Calibri" w:hAnsi="Calibri" w:asciiTheme="minorHAnsi" w:cstheme="minorHAnsi" w:hAnsiTheme="minorHAnsi"/>
          <w:color w:val="auto"/>
          <w:sz w:val="20"/>
          <w:szCs w:val="20"/>
        </w:rPr>
        <w:t xml:space="preserve"> - Fluxograma PRISMA</w:t>
      </w:r>
      <w:bookmarkEnd w:id="38"/>
    </w:p>
    <w:p>
      <w:pPr>
        <w:sectPr>
          <w:headerReference w:type="default" r:id="rId11"/>
          <w:headerReference w:type="first" r:id="rId12"/>
          <w:footerReference w:type="default" r:id="rId13"/>
          <w:footerReference w:type="first" r:id="rId14"/>
          <w:footnotePr>
            <w:numFmt w:val="decimal"/>
          </w:footnotePr>
          <w:type w:val="nextPage"/>
          <w:pgSz w:w="11906" w:h="16838"/>
          <w:pgMar w:left="1701" w:right="1701" w:gutter="0" w:header="709" w:top="1134" w:footer="0" w:bottom="1418"/>
          <w:pgNumType w:fmt="decimal"/>
          <w:formProt w:val="false"/>
          <w:textDirection w:val="lrTb"/>
          <w:docGrid w:type="default" w:linePitch="299" w:charSpace="4096"/>
        </w:sectPr>
        <w:pStyle w:val="Normal"/>
        <w:spacing w:lineRule="auto" w:line="360" w:before="0" w:after="0"/>
        <w:ind w:hanging="993"/>
        <w:rPr>
          <w:rFonts w:ascii="Times New Roman" w:hAnsi="Times New Roman" w:eastAsia="Times New Roman" w:cs="Times New Roman"/>
          <w:color w:themeColor="text1" w:val="000000"/>
          <w:sz w:val="16"/>
          <w:szCs w:val="16"/>
        </w:rPr>
      </w:pPr>
      <w:r>
        <w:rPr/>
        <w:drawing>
          <wp:inline distT="0" distB="0" distL="0" distR="0">
            <wp:extent cx="6598285" cy="6800850"/>
            <wp:effectExtent l="0" t="0" r="0" b="0"/>
            <wp:docPr id="3" name="Imagem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descr=""/>
                    <pic:cNvPicPr>
                      <a:picLocks noChangeAspect="1" noChangeArrowheads="1"/>
                    </pic:cNvPicPr>
                  </pic:nvPicPr>
                  <pic:blipFill>
                    <a:blip r:embed="rId10"/>
                    <a:stretch>
                      <a:fillRect/>
                    </a:stretch>
                  </pic:blipFill>
                  <pic:spPr bwMode="auto">
                    <a:xfrm>
                      <a:off x="0" y="0"/>
                      <a:ext cx="6598285" cy="6800850"/>
                    </a:xfrm>
                    <a:prstGeom prst="rect">
                      <a:avLst/>
                    </a:prstGeom>
                  </pic:spPr>
                </pic:pic>
              </a:graphicData>
            </a:graphic>
          </wp:inline>
        </w:drawing>
      </w:r>
    </w:p>
    <w:p>
      <w:pPr>
        <w:pStyle w:val="Heading2"/>
        <w:spacing w:lineRule="auto" w:line="360" w:before="0" w:after="0"/>
        <w:rPr>
          <w:rFonts w:ascii="Times New Roman" w:hAnsi="Times New Roman" w:eastAsia="Times New Roman" w:cs="Times New Roman"/>
          <w:b/>
          <w:bCs/>
          <w:color w:themeColor="text1" w:val="000000"/>
          <w:sz w:val="28"/>
          <w:szCs w:val="28"/>
        </w:rPr>
      </w:pPr>
      <w:bookmarkStart w:id="39" w:name="_Toc242269280"/>
      <w:bookmarkStart w:id="40" w:name="_Toc242269199"/>
      <w:bookmarkStart w:id="41" w:name="_Toc242269120"/>
      <w:r>
        <w:rPr>
          <w:rFonts w:eastAsia="Times New Roman" w:cs="Times New Roman" w:ascii="Times New Roman" w:hAnsi="Times New Roman"/>
          <w:b/>
          <w:bCs/>
          <w:color w:themeColor="text1" w:val="000000"/>
          <w:sz w:val="28"/>
          <w:szCs w:val="28"/>
        </w:rPr>
        <w:t>2.3 Critérios de inclusão e exclusão</w:t>
      </w:r>
      <w:bookmarkEnd w:id="39"/>
      <w:bookmarkEnd w:id="40"/>
      <w:bookmarkEnd w:id="41"/>
    </w:p>
    <w:p>
      <w:pPr>
        <w:pStyle w:val="Heading3"/>
        <w:spacing w:lineRule="auto" w:line="360" w:before="0" w:after="0"/>
        <w:rPr>
          <w:rFonts w:ascii="Times New Roman" w:hAnsi="Times New Roman" w:eastAsia="Times New Roman" w:cs="Times New Roman"/>
          <w:color w:themeColor="text1" w:val="000000"/>
        </w:rPr>
      </w:pPr>
      <w:bookmarkStart w:id="42" w:name="_Toc242269281"/>
      <w:bookmarkStart w:id="43" w:name="_Toc242269200"/>
      <w:bookmarkStart w:id="44" w:name="_Toc242269121"/>
      <w:r>
        <w:rPr>
          <w:rFonts w:eastAsia="Times New Roman" w:cs="Times New Roman"/>
          <w:color w:themeColor="text1" w:val="000000"/>
        </w:rPr>
        <w:t>2.3.1 Critérios de inclusão</w:t>
      </w:r>
      <w:bookmarkEnd w:id="42"/>
      <w:bookmarkEnd w:id="43"/>
      <w:bookmarkEnd w:id="44"/>
    </w:p>
    <w:p>
      <w:pPr>
        <w:pStyle w:val="ListParagraph"/>
        <w:numPr>
          <w:ilvl w:val="0"/>
          <w:numId w:val="3"/>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Artigos publicados em periódicos revisados por pares nas bases </w:t>
      </w:r>
      <w:r>
        <w:rPr>
          <w:rFonts w:eastAsia="Times New Roman" w:cs="Times New Roman"/>
          <w:i/>
          <w:color w:themeColor="text1" w:val="000000"/>
          <w:sz w:val="24"/>
          <w:szCs w:val="24"/>
        </w:rPr>
        <w:t>Scopus</w:t>
      </w:r>
      <w:r>
        <w:rPr>
          <w:rFonts w:eastAsia="Times New Roman" w:cs="Times New Roman"/>
          <w:color w:themeColor="text1" w:val="000000"/>
          <w:sz w:val="24"/>
          <w:szCs w:val="24"/>
        </w:rPr>
        <w:t xml:space="preserve"> ou </w:t>
      </w:r>
      <w:r>
        <w:rPr>
          <w:rFonts w:eastAsia="Times New Roman" w:cs="Times New Roman"/>
          <w:i/>
          <w:color w:themeColor="text1" w:val="000000"/>
          <w:sz w:val="24"/>
          <w:szCs w:val="24"/>
        </w:rPr>
        <w:t>Web of Science</w:t>
      </w:r>
      <w:r>
        <w:rPr>
          <w:rFonts w:eastAsia="Times New Roman" w:cs="Times New Roman"/>
          <w:color w:themeColor="text1" w:val="000000"/>
          <w:sz w:val="24"/>
          <w:szCs w:val="24"/>
        </w:rPr>
        <w:t>.</w:t>
      </w:r>
    </w:p>
    <w:p>
      <w:pPr>
        <w:pStyle w:val="ListParagraph"/>
        <w:numPr>
          <w:ilvl w:val="0"/>
          <w:numId w:val="3"/>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Publicações entre 2021 e 2026, admitindo obras seminais anteriores apenas quando estritamente necessárias à fundamentação teórica.</w:t>
      </w:r>
    </w:p>
    <w:p>
      <w:pPr>
        <w:pStyle w:val="ListParagraph"/>
        <w:numPr>
          <w:ilvl w:val="0"/>
          <w:numId w:val="3"/>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Texto em inglês, com resumo disponível na base consultada.</w:t>
      </w:r>
    </w:p>
    <w:p>
      <w:pPr>
        <w:pStyle w:val="ListParagraph"/>
        <w:numPr>
          <w:ilvl w:val="0"/>
          <w:numId w:val="3"/>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Relação direta com pelo menos um dos cinco eixos temáticos: (i)</w:t>
      </w:r>
      <w:r>
        <w:rPr>
          <w:rFonts w:eastAsia="Times New Roman" w:cs="Times New Roman"/>
          <w:i/>
          <w:color w:themeColor="text1" w:val="000000"/>
          <w:sz w:val="24"/>
          <w:szCs w:val="24"/>
        </w:rPr>
        <w:t xml:space="preserve"> frameworks</w:t>
      </w:r>
      <w:r>
        <w:rPr>
          <w:rFonts w:eastAsia="Times New Roman" w:cs="Times New Roman"/>
          <w:color w:themeColor="text1" w:val="000000"/>
          <w:sz w:val="24"/>
          <w:szCs w:val="24"/>
        </w:rPr>
        <w:t xml:space="preserve"> de viabilidade em aquicultura e </w:t>
      </w:r>
      <w:r>
        <w:rPr>
          <w:rFonts w:eastAsia="Times New Roman" w:cs="Times New Roman"/>
          <w:i/>
          <w:iCs/>
          <w:color w:themeColor="text1" w:val="000000"/>
          <w:sz w:val="24"/>
          <w:szCs w:val="24"/>
        </w:rPr>
        <w:t>Lean Green</w:t>
      </w:r>
      <w:r>
        <w:rPr>
          <w:rFonts w:eastAsia="Times New Roman" w:cs="Times New Roman"/>
          <w:color w:themeColor="text1" w:val="000000"/>
          <w:sz w:val="24"/>
          <w:szCs w:val="24"/>
        </w:rPr>
        <w:t xml:space="preserve">, (ii) Integração, Lean e Sustentabilidade Ambiental e Cadeias de Suprimentos, (iii) desempenho ESG, RSC e engajamento de </w:t>
      </w:r>
      <w:r>
        <w:rPr>
          <w:rFonts w:eastAsia="Times New Roman" w:cs="Times New Roman"/>
          <w:i/>
          <w:color w:themeColor="text1" w:val="000000"/>
          <w:sz w:val="24"/>
          <w:szCs w:val="24"/>
        </w:rPr>
        <w:t>stakeholders</w:t>
      </w:r>
      <w:r>
        <w:rPr>
          <w:rFonts w:eastAsia="Times New Roman" w:cs="Times New Roman"/>
          <w:color w:themeColor="text1" w:val="000000"/>
          <w:sz w:val="24"/>
          <w:szCs w:val="24"/>
        </w:rPr>
        <w:t>.</w:t>
      </w:r>
    </w:p>
    <w:p>
      <w:pPr>
        <w:pStyle w:val="ListParagraph"/>
        <w:numPr>
          <w:ilvl w:val="0"/>
          <w:numId w:val="3"/>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Contribuição explícita para a compreensão de práticas </w:t>
      </w:r>
      <w:r>
        <w:rPr>
          <w:rFonts w:eastAsia="Times New Roman" w:cs="Times New Roman"/>
          <w:i/>
          <w:color w:themeColor="text1" w:val="000000"/>
          <w:sz w:val="24"/>
          <w:szCs w:val="24"/>
        </w:rPr>
        <w:t>Lean-Green</w:t>
      </w:r>
      <w:r>
        <w:rPr>
          <w:rFonts w:eastAsia="Times New Roman" w:cs="Times New Roman"/>
          <w:color w:themeColor="text1" w:val="000000"/>
          <w:sz w:val="24"/>
          <w:szCs w:val="24"/>
        </w:rPr>
        <w:t xml:space="preserve">, ESG ou avaliação de viabilidade aplicadas a cadeias produtivas, sustentabilidade ou aquicultura, em nível conceitual, empírico ou de proposta de </w:t>
      </w:r>
      <w:r>
        <w:rPr>
          <w:rFonts w:eastAsia="Times New Roman" w:cs="Times New Roman"/>
          <w:i/>
          <w:iCs/>
          <w:color w:themeColor="text1" w:val="000000"/>
          <w:sz w:val="24"/>
          <w:szCs w:val="24"/>
        </w:rPr>
        <w:t>framework.</w:t>
      </w:r>
    </w:p>
    <w:p>
      <w:pPr>
        <w:pStyle w:val="Heading3"/>
        <w:spacing w:lineRule="auto" w:line="360" w:before="0" w:after="0"/>
        <w:rPr>
          <w:rFonts w:ascii="Times New Roman" w:hAnsi="Times New Roman" w:eastAsia="Times New Roman" w:cs="Times New Roman"/>
          <w:color w:themeColor="text1" w:val="000000"/>
        </w:rPr>
      </w:pPr>
      <w:bookmarkStart w:id="45" w:name="_Toc242269282"/>
      <w:bookmarkStart w:id="46" w:name="_Toc242269201"/>
      <w:bookmarkStart w:id="47" w:name="_Toc242269122"/>
      <w:r>
        <w:rPr>
          <w:rFonts w:eastAsia="Times New Roman" w:cs="Times New Roman"/>
          <w:color w:themeColor="text1" w:val="000000"/>
        </w:rPr>
        <w:t>2.3.2 Critérios de exclusão</w:t>
      </w:r>
      <w:bookmarkEnd w:id="45"/>
      <w:bookmarkEnd w:id="46"/>
      <w:bookmarkEnd w:id="47"/>
    </w:p>
    <w:p>
      <w:pPr>
        <w:pStyle w:val="ListParagraph"/>
        <w:numPr>
          <w:ilvl w:val="0"/>
          <w:numId w:val="4"/>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Artigos duplicados entre bases, mantendo</w:t>
        <w:noBreakHyphen/>
        <w:t>se apenas um registro por estudo.</w:t>
      </w:r>
    </w:p>
    <w:p>
      <w:pPr>
        <w:pStyle w:val="ListParagraph"/>
        <w:numPr>
          <w:ilvl w:val="0"/>
          <w:numId w:val="4"/>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Trabalhos sem texto completo acessível ou pagos.</w:t>
      </w:r>
    </w:p>
    <w:p>
      <w:pPr>
        <w:pStyle w:val="ListParagraph"/>
        <w:numPr>
          <w:ilvl w:val="0"/>
          <w:numId w:val="4"/>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Estudos cujo foco principal esteja fora dos três eixos temáticos definidos</w:t>
      </w:r>
    </w:p>
    <w:p>
      <w:pPr>
        <w:pStyle w:val="ListParagraph"/>
        <w:numPr>
          <w:ilvl w:val="0"/>
          <w:numId w:val="4"/>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Livros, capítulos, normas técnicas, legislação e relatórios institucionais, que são tratados em seção específica da revisão bibliográfica complementar, e não no corpus da RSL.</w:t>
      </w:r>
    </w:p>
    <w:p>
      <w:pPr>
        <w:pStyle w:val="ListParagraph"/>
        <w:numPr>
          <w:ilvl w:val="0"/>
          <w:numId w:val="4"/>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Publicações em idiomas diferentes do inglês ou fora do recorte temporal.</w:t>
      </w:r>
    </w:p>
    <w:p>
      <w:pPr>
        <w:pStyle w:val="Normal"/>
        <w:spacing w:lineRule="auto" w:line="360" w:before="0" w:after="0"/>
        <w:rPr>
          <w:color w:themeColor="text1" w:val="000000"/>
        </w:rPr>
      </w:pPr>
      <w:r>
        <w:rPr>
          <w:color w:themeColor="text1" w:val="000000"/>
        </w:rPr>
      </w:r>
    </w:p>
    <w:p>
      <w:pPr>
        <w:pStyle w:val="Caption"/>
        <w:keepNext w:val="true"/>
        <w:spacing w:lineRule="auto" w:line="360" w:before="0" w:after="0"/>
        <w:jc w:val="center"/>
        <w:rPr>
          <w:rFonts w:ascii="Calibri" w:hAnsi="Calibri" w:cs="Calibri"/>
          <w:color w:themeColor="text1" w:val="000000"/>
          <w:sz w:val="20"/>
          <w:szCs w:val="20"/>
        </w:rPr>
      </w:pPr>
      <w:bookmarkStart w:id="48" w:name="_Toc227172623"/>
      <w:r>
        <w:rPr>
          <w:rFonts w:cs="Calibri" w:ascii="Calibri" w:hAnsi="Calibri"/>
          <w:color w:themeColor="text1" w:val="000000"/>
          <w:sz w:val="20"/>
          <w:szCs w:val="20"/>
        </w:rPr>
        <w:t xml:space="preserve">Quadro </w:t>
      </w:r>
      <w:r>
        <w:rPr>
          <w:rFonts w:cs="Calibri" w:ascii="Calibri" w:hAnsi="Calibri"/>
          <w:color w:themeColor="text1" w:val="000000"/>
          <w:sz w:val="20"/>
          <w:szCs w:val="20"/>
        </w:rPr>
        <w:fldChar w:fldCharType="begin"/>
      </w:r>
      <w:r>
        <w:rPr>
          <w:sz w:val="20"/>
          <w:szCs w:val="20"/>
          <w:rFonts w:cs="Calibri" w:ascii="Calibri" w:hAnsi="Calibri"/>
          <w:color w:themeColor="text1" w:val="000000"/>
        </w:rPr>
        <w:instrText xml:space="preserve"> SEQ Quadro \* ARABIC </w:instrText>
      </w:r>
      <w:r>
        <w:rPr>
          <w:sz w:val="20"/>
          <w:szCs w:val="20"/>
          <w:rFonts w:cs="Calibri" w:ascii="Calibri" w:hAnsi="Calibri"/>
          <w:color w:themeColor="text1" w:val="000000"/>
        </w:rPr>
        <w:fldChar w:fldCharType="separate"/>
      </w:r>
      <w:r>
        <w:rPr>
          <w:sz w:val="20"/>
          <w:szCs w:val="20"/>
          <w:rFonts w:cs="Calibri" w:ascii="Calibri" w:hAnsi="Calibri"/>
          <w:color w:themeColor="text1" w:val="000000"/>
        </w:rPr>
        <w:t>1</w:t>
      </w:r>
      <w:r>
        <w:rPr>
          <w:sz w:val="20"/>
          <w:szCs w:val="20"/>
          <w:rFonts w:cs="Calibri" w:ascii="Calibri" w:hAnsi="Calibri"/>
          <w:color w:themeColor="text1" w:val="000000"/>
        </w:rPr>
        <w:fldChar w:fldCharType="end"/>
      </w:r>
      <w:r>
        <w:rPr>
          <w:rFonts w:cs="Calibri" w:ascii="Calibri" w:hAnsi="Calibri"/>
          <w:color w:themeColor="text1" w:val="000000"/>
          <w:sz w:val="20"/>
          <w:szCs w:val="20"/>
        </w:rPr>
        <w:t xml:space="preserve"> - Fluxo de seleção PRISMA</w:t>
      </w:r>
      <w:bookmarkEnd w:id="48"/>
    </w:p>
    <w:tbl>
      <w:tblPr>
        <w:tblStyle w:val="9"/>
        <w:tblW w:w="6802" w:type="dxa"/>
        <w:jc w:val="center"/>
        <w:tblInd w:w="0" w:type="dxa"/>
        <w:tblLayout w:type="fixed"/>
        <w:tblCellMar>
          <w:top w:w="40" w:type="dxa"/>
          <w:left w:w="80" w:type="dxa"/>
          <w:bottom w:w="40" w:type="dxa"/>
          <w:right w:w="80" w:type="dxa"/>
        </w:tblCellMar>
        <w:tblLook w:val="0400" w:noHBand="0" w:noVBand="1" w:firstColumn="0" w:lastRow="0" w:lastColumn="0" w:firstRow="0"/>
      </w:tblPr>
      <w:tblGrid>
        <w:gridCol w:w="2999"/>
        <w:gridCol w:w="3802"/>
      </w:tblGrid>
      <w:tr>
        <w:trPr>
          <w:trHeight w:val="719" w:hRule="atLeast"/>
        </w:trPr>
        <w:tc>
          <w:tcPr>
            <w:tcW w:w="2999" w:type="dxa"/>
            <w:tcBorders>
              <w:top w:val="single" w:sz="4" w:space="0" w:color="999999"/>
              <w:left w:val="single" w:sz="4" w:space="0" w:color="999999"/>
              <w:bottom w:val="single" w:sz="4" w:space="0" w:color="999999"/>
              <w:right w:val="single" w:sz="4" w:space="0" w:color="999999"/>
            </w:tcBorders>
            <w:shd w:color="auto" w:fill="E8E8E8" w:val="clear"/>
            <w:vAlign w:val="center"/>
          </w:tcPr>
          <w:p>
            <w:pPr>
              <w:pStyle w:val="Normal"/>
              <w:widowControl/>
              <w:suppressAutoHyphens w:val="true"/>
              <w:spacing w:lineRule="auto" w:line="360" w:before="0" w:after="0"/>
              <w:jc w:val="both"/>
              <w:rPr>
                <w:rFonts w:ascii="Calibri" w:hAnsi="Calibri" w:eastAsia="Calibri" w:cs="Calibri"/>
                <w:b/>
                <w:color w:themeColor="text1" w:val="000000"/>
                <w:sz w:val="16"/>
                <w:szCs w:val="16"/>
              </w:rPr>
            </w:pPr>
            <w:r>
              <w:rPr>
                <w:rFonts w:eastAsia="Calibri" w:cs="Calibri" w:ascii="Calibri" w:hAnsi="Calibri"/>
                <w:b/>
                <w:color w:themeColor="text1" w:val="000000"/>
                <w:kern w:val="0"/>
                <w:sz w:val="16"/>
                <w:szCs w:val="16"/>
                <w:lang w:val="pt-BR" w:eastAsia="pt-BR" w:bidi="ar-SA"/>
              </w:rPr>
              <w:t>IDENTIFICAÇÃO</w:t>
            </w:r>
          </w:p>
        </w:tc>
        <w:tc>
          <w:tcPr>
            <w:tcW w:w="3802"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Registros identificados nas buscas: (</w:t>
            </w:r>
            <w:r>
              <w:rPr>
                <w:rFonts w:eastAsia="Calibri" w:cs="Calibri" w:ascii="Calibri" w:hAnsi="Calibri"/>
                <w:i/>
                <w:iCs/>
                <w:color w:themeColor="text1" w:val="000000"/>
                <w:kern w:val="0"/>
                <w:sz w:val="16"/>
                <w:szCs w:val="16"/>
                <w:lang w:val="pt-BR" w:eastAsia="pt-BR" w:bidi="ar-SA"/>
              </w:rPr>
              <w:t>Scopus + Web of Science</w:t>
            </w:r>
            <w:r>
              <w:rPr>
                <w:rFonts w:eastAsia="Calibri" w:cs="Calibri" w:ascii="Calibri" w:hAnsi="Calibri"/>
                <w:color w:themeColor="text1" w:val="000000"/>
                <w:kern w:val="0"/>
                <w:sz w:val="16"/>
                <w:szCs w:val="16"/>
                <w:lang w:val="pt-BR" w:eastAsia="pt-BR" w:bidi="ar-SA"/>
              </w:rPr>
              <w:t>) 173</w:t>
            </w:r>
          </w:p>
        </w:tc>
      </w:tr>
      <w:tr>
        <w:trPr>
          <w:trHeight w:val="775" w:hRule="atLeast"/>
        </w:trPr>
        <w:tc>
          <w:tcPr>
            <w:tcW w:w="2999" w:type="dxa"/>
            <w:tcBorders>
              <w:top w:val="single" w:sz="4" w:space="0" w:color="999999"/>
              <w:left w:val="single" w:sz="4" w:space="0" w:color="999999"/>
              <w:bottom w:val="single" w:sz="4" w:space="0" w:color="999999"/>
              <w:right w:val="single" w:sz="4" w:space="0" w:color="999999"/>
            </w:tcBorders>
            <w:shd w:color="auto" w:fill="E8E8E8" w:val="clear"/>
            <w:vAlign w:val="center"/>
          </w:tcPr>
          <w:p>
            <w:pPr>
              <w:pStyle w:val="Normal"/>
              <w:widowControl/>
              <w:suppressAutoHyphens w:val="true"/>
              <w:spacing w:lineRule="auto" w:line="360" w:before="0" w:after="0"/>
              <w:jc w:val="both"/>
              <w:rPr>
                <w:rFonts w:ascii="Calibri" w:hAnsi="Calibri" w:eastAsia="Calibri" w:cs="Calibri"/>
                <w:b/>
                <w:color w:themeColor="text1" w:val="000000"/>
                <w:sz w:val="16"/>
                <w:szCs w:val="16"/>
              </w:rPr>
            </w:pPr>
            <w:r>
              <w:rPr>
                <w:rFonts w:eastAsia="Calibri" w:cs="Calibri" w:ascii="Calibri" w:hAnsi="Calibri"/>
                <w:b/>
                <w:color w:themeColor="text1" w:val="000000"/>
                <w:kern w:val="0"/>
                <w:sz w:val="16"/>
                <w:szCs w:val="16"/>
                <w:lang w:val="pt-BR" w:eastAsia="pt-BR" w:bidi="ar-SA"/>
              </w:rPr>
              <w:t>REMOÇÃO DE DUPLICATAS</w:t>
            </w:r>
          </w:p>
        </w:tc>
        <w:tc>
          <w:tcPr>
            <w:tcW w:w="3802"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Artigos únicos após remoção de duplicatas:  128</w:t>
            </w:r>
          </w:p>
          <w:p>
            <w:pPr>
              <w:pStyle w:val="Normal"/>
              <w:widowControl/>
              <w:suppressAutoHyphens w:val="true"/>
              <w:spacing w:lineRule="auto" w:line="360" w:before="0" w:after="0"/>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Duplicatas removidas: 45</w:t>
            </w:r>
          </w:p>
        </w:tc>
      </w:tr>
      <w:tr>
        <w:trPr/>
        <w:tc>
          <w:tcPr>
            <w:tcW w:w="2999" w:type="dxa"/>
            <w:tcBorders>
              <w:top w:val="single" w:sz="4" w:space="0" w:color="999999"/>
              <w:left w:val="single" w:sz="4" w:space="0" w:color="999999"/>
              <w:bottom w:val="single" w:sz="4" w:space="0" w:color="999999"/>
              <w:right w:val="single" w:sz="4" w:space="0" w:color="999999"/>
            </w:tcBorders>
            <w:shd w:color="auto" w:fill="E8E8E8" w:val="clear"/>
            <w:vAlign w:val="center"/>
          </w:tcPr>
          <w:p>
            <w:pPr>
              <w:pStyle w:val="Normal"/>
              <w:widowControl/>
              <w:suppressAutoHyphens w:val="true"/>
              <w:spacing w:lineRule="auto" w:line="360" w:before="0" w:after="0"/>
              <w:jc w:val="both"/>
              <w:rPr>
                <w:rFonts w:ascii="Calibri" w:hAnsi="Calibri" w:eastAsia="Calibri" w:cs="Calibri"/>
                <w:b/>
                <w:color w:themeColor="text1" w:val="000000"/>
                <w:sz w:val="16"/>
                <w:szCs w:val="16"/>
              </w:rPr>
            </w:pPr>
            <w:r>
              <w:rPr>
                <w:rFonts w:eastAsia="Calibri" w:cs="Calibri" w:ascii="Calibri" w:hAnsi="Calibri"/>
                <w:b/>
                <w:color w:themeColor="text1" w:val="000000"/>
                <w:kern w:val="0"/>
                <w:sz w:val="16"/>
                <w:szCs w:val="16"/>
                <w:lang w:val="pt-BR" w:eastAsia="pt-BR" w:bidi="ar-SA"/>
              </w:rPr>
              <w:t>TRIAGEM POR TÍTULO</w:t>
            </w:r>
          </w:p>
        </w:tc>
        <w:tc>
          <w:tcPr>
            <w:tcW w:w="3802"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 xml:space="preserve"> </w:t>
            </w:r>
            <w:r>
              <w:rPr>
                <w:rFonts w:eastAsia="Calibri" w:cs="Calibri" w:ascii="Calibri" w:hAnsi="Calibri"/>
                <w:color w:themeColor="text1" w:val="000000"/>
                <w:kern w:val="0"/>
                <w:sz w:val="16"/>
                <w:szCs w:val="16"/>
                <w:lang w:val="pt-BR" w:eastAsia="pt-BR" w:bidi="ar-SA"/>
              </w:rPr>
              <w:t>Artigos avaliados por título: 128</w:t>
            </w:r>
          </w:p>
          <w:p>
            <w:pPr>
              <w:pStyle w:val="Normal"/>
              <w:widowControl/>
              <w:suppressAutoHyphens w:val="true"/>
              <w:spacing w:lineRule="auto" w:line="360" w:before="0" w:after="0"/>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Excluídos por título fora de escopo:  85</w:t>
            </w:r>
          </w:p>
          <w:p>
            <w:pPr>
              <w:pStyle w:val="Normal"/>
              <w:widowControl/>
              <w:suppressAutoHyphens w:val="true"/>
              <w:spacing w:lineRule="auto" w:line="360" w:before="0" w:after="0"/>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Artigos para leitura de resumo: 43</w:t>
            </w:r>
          </w:p>
        </w:tc>
      </w:tr>
      <w:tr>
        <w:trPr/>
        <w:tc>
          <w:tcPr>
            <w:tcW w:w="2999" w:type="dxa"/>
            <w:tcBorders>
              <w:top w:val="single" w:sz="4" w:space="0" w:color="999999"/>
              <w:left w:val="single" w:sz="4" w:space="0" w:color="999999"/>
              <w:bottom w:val="single" w:sz="4" w:space="0" w:color="999999"/>
              <w:right w:val="single" w:sz="4" w:space="0" w:color="999999"/>
            </w:tcBorders>
            <w:shd w:color="auto" w:fill="E8E8E8" w:val="clear"/>
            <w:vAlign w:val="center"/>
          </w:tcPr>
          <w:p>
            <w:pPr>
              <w:pStyle w:val="Normal"/>
              <w:widowControl/>
              <w:suppressAutoHyphens w:val="true"/>
              <w:spacing w:lineRule="auto" w:line="360" w:before="0" w:after="0"/>
              <w:jc w:val="both"/>
              <w:rPr>
                <w:rFonts w:ascii="Calibri" w:hAnsi="Calibri" w:eastAsia="Calibri" w:cs="Calibri"/>
                <w:b/>
                <w:color w:themeColor="text1" w:val="000000"/>
                <w:sz w:val="16"/>
                <w:szCs w:val="16"/>
                <w:highlight w:val="yellow"/>
              </w:rPr>
            </w:pPr>
            <w:r>
              <w:rPr>
                <w:rFonts w:eastAsia="Calibri" w:cs="Calibri" w:ascii="Calibri" w:hAnsi="Calibri"/>
                <w:b/>
                <w:color w:themeColor="text1" w:val="000000"/>
                <w:kern w:val="0"/>
                <w:sz w:val="16"/>
                <w:szCs w:val="16"/>
                <w:lang w:val="pt-BR" w:eastAsia="pt-BR" w:bidi="ar-SA"/>
              </w:rPr>
              <w:t>AVALIAÇÃO POR RESUMO</w:t>
            </w:r>
          </w:p>
        </w:tc>
        <w:tc>
          <w:tcPr>
            <w:tcW w:w="3802"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Artigos com resumo avaliado:  43</w:t>
            </w:r>
          </w:p>
          <w:p>
            <w:pPr>
              <w:pStyle w:val="Normal"/>
              <w:widowControl/>
              <w:suppressAutoHyphens w:val="true"/>
              <w:spacing w:lineRule="auto" w:line="360" w:before="0" w:after="0"/>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Excluídos por baixa aderência temática: 20</w:t>
            </w:r>
          </w:p>
          <w:p>
            <w:pPr>
              <w:pStyle w:val="Normal"/>
              <w:widowControl/>
              <w:suppressAutoHyphens w:val="true"/>
              <w:spacing w:lineRule="auto" w:line="360" w:before="0" w:after="0"/>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Artigos encaminhados para leitura do texto completo: 23</w:t>
            </w:r>
          </w:p>
        </w:tc>
      </w:tr>
      <w:tr>
        <w:trPr>
          <w:trHeight w:val="30" w:hRule="atLeast"/>
        </w:trPr>
        <w:tc>
          <w:tcPr>
            <w:tcW w:w="2999" w:type="dxa"/>
            <w:tcBorders>
              <w:top w:val="single" w:sz="4" w:space="0" w:color="999999"/>
              <w:left w:val="single" w:sz="4" w:space="0" w:color="999999"/>
              <w:bottom w:val="single" w:sz="4" w:space="0" w:color="999999"/>
              <w:right w:val="single" w:sz="4" w:space="0" w:color="999999"/>
            </w:tcBorders>
            <w:shd w:color="auto" w:fill="E8E8E8" w:val="clear"/>
            <w:vAlign w:val="center"/>
          </w:tcPr>
          <w:p>
            <w:pPr>
              <w:pStyle w:val="Normal"/>
              <w:widowControl/>
              <w:suppressAutoHyphens w:val="true"/>
              <w:spacing w:lineRule="auto" w:line="360" w:before="0" w:after="0"/>
              <w:jc w:val="both"/>
              <w:rPr>
                <w:rFonts w:ascii="Calibri" w:hAnsi="Calibri" w:eastAsia="Calibri" w:cs="Calibri"/>
                <w:b/>
                <w:color w:themeColor="text1" w:val="000000"/>
                <w:sz w:val="16"/>
                <w:szCs w:val="16"/>
                <w:highlight w:val="yellow"/>
              </w:rPr>
            </w:pPr>
            <w:r>
              <w:rPr>
                <w:rFonts w:eastAsia="Calibri" w:cs="Calibri" w:ascii="Calibri" w:hAnsi="Calibri"/>
                <w:b/>
                <w:color w:themeColor="text1" w:val="000000"/>
                <w:kern w:val="0"/>
                <w:sz w:val="16"/>
                <w:szCs w:val="16"/>
                <w:lang w:val="pt-BR" w:eastAsia="pt-BR" w:bidi="ar-SA"/>
              </w:rPr>
              <w:t>INCLUSÃO FINAL</w:t>
            </w:r>
          </w:p>
        </w:tc>
        <w:tc>
          <w:tcPr>
            <w:tcW w:w="3802"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r>
          </w:p>
          <w:p>
            <w:pPr>
              <w:pStyle w:val="Normal"/>
              <w:widowControl/>
              <w:suppressAutoHyphens w:val="true"/>
              <w:spacing w:lineRule="auto" w:line="360" w:before="0" w:after="0"/>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Artigos incluídos na revisão: 15</w:t>
            </w:r>
          </w:p>
          <w:p>
            <w:pPr>
              <w:pStyle w:val="Normal"/>
              <w:widowControl/>
              <w:suppressAutoHyphens w:val="true"/>
              <w:spacing w:lineRule="auto" w:line="360" w:before="0" w:after="0"/>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r>
          </w:p>
        </w:tc>
      </w:tr>
    </w:tbl>
    <w:p>
      <w:pPr>
        <w:pStyle w:val="Normal"/>
        <w:spacing w:lineRule="auto" w:line="360" w:before="0" w:after="0"/>
        <w:jc w:val="center"/>
        <w:rPr>
          <w:rFonts w:ascii="Calibri Light" w:hAnsi="Calibri Light" w:eastAsia="Times New Roman" w:cs="Calibri Light" w:asciiTheme="majorHAnsi" w:cstheme="majorHAnsi" w:hAnsiTheme="majorHAnsi"/>
          <w:color w:themeColor="text1" w:val="000000"/>
          <w:sz w:val="16"/>
          <w:szCs w:val="16"/>
        </w:rPr>
      </w:pPr>
      <w:r>
        <w:rPr>
          <w:rFonts w:eastAsia="Times New Roman" w:cs="Calibri Light" w:ascii="Calibri Light" w:hAnsi="Calibri Light" w:asciiTheme="majorHAnsi" w:cstheme="majorHAnsi" w:hAnsiTheme="majorHAnsi"/>
          <w:color w:themeColor="text1" w:val="000000"/>
          <w:sz w:val="16"/>
          <w:szCs w:val="16"/>
        </w:rPr>
        <w:t>Fonte: Elaborado pelo autor (2026)</w:t>
      </w:r>
    </w:p>
    <w:p>
      <w:pPr>
        <w:pStyle w:val="Normal"/>
        <w:spacing w:lineRule="auto" w:line="360" w:before="0" w:after="0"/>
        <w:rPr>
          <w:rFonts w:ascii="Calibri Light" w:hAnsi="Calibri Light" w:eastAsia="Times New Roman" w:cs="Calibri Light" w:asciiTheme="majorHAnsi" w:cstheme="majorHAnsi" w:hAnsiTheme="majorHAnsi"/>
          <w:color w:themeColor="text1" w:val="000000"/>
          <w:sz w:val="16"/>
          <w:szCs w:val="16"/>
        </w:rPr>
      </w:pPr>
      <w:r>
        <w:rPr>
          <w:rFonts w:eastAsia="Times New Roman" w:cs="Calibri Light" w:cstheme="majorHAnsi" w:ascii="Calibri Light" w:hAnsi="Calibri Light"/>
          <w:color w:themeColor="text1" w:val="000000"/>
          <w:sz w:val="16"/>
          <w:szCs w:val="16"/>
        </w:rPr>
      </w:r>
    </w:p>
    <w:p>
      <w:pPr>
        <w:pStyle w:val="Caption"/>
        <w:keepNext w:val="true"/>
        <w:spacing w:lineRule="auto" w:line="360" w:before="0" w:after="0"/>
        <w:jc w:val="center"/>
        <w:rPr>
          <w:rFonts w:ascii="Calibri" w:hAnsi="Calibri" w:cs="Calibri" w:asciiTheme="minorHAnsi" w:cstheme="minorHAnsi" w:hAnsiTheme="minorHAnsi"/>
          <w:color w:themeColor="text1" w:val="000000"/>
          <w:sz w:val="20"/>
          <w:szCs w:val="20"/>
        </w:rPr>
      </w:pPr>
      <w:bookmarkStart w:id="49" w:name="_Toc242269267"/>
      <w:r>
        <w:rPr>
          <w:rFonts w:cs="Calibri" w:ascii="Calibri" w:hAnsi="Calibri" w:asciiTheme="minorHAnsi" w:cstheme="minorHAnsi" w:hAnsiTheme="minorHAnsi"/>
          <w:color w:themeColor="text1" w:val="000000"/>
          <w:sz w:val="20"/>
          <w:szCs w:val="20"/>
        </w:rPr>
        <w:t xml:space="preserve">Tabela </w:t>
      </w:r>
      <w:r>
        <w:rPr>
          <w:rFonts w:cs="Calibri" w:ascii="Calibri" w:hAnsi="Calibri"/>
          <w:color w:themeColor="text1" w:val="000000"/>
          <w:sz w:val="20"/>
          <w:szCs w:val="20"/>
        </w:rPr>
        <w:fldChar w:fldCharType="begin"/>
      </w:r>
      <w:r>
        <w:rPr>
          <w:sz w:val="20"/>
          <w:szCs w:val="20"/>
          <w:rFonts w:cs="Calibri" w:ascii="Calibri" w:hAnsi="Calibri"/>
          <w:color w:themeColor="text1" w:val="000000"/>
        </w:rPr>
        <w:instrText xml:space="preserve"> SEQ Tabela \* ARABIC </w:instrText>
      </w:r>
      <w:r>
        <w:rPr>
          <w:sz w:val="20"/>
          <w:szCs w:val="20"/>
          <w:rFonts w:cs="Calibri" w:ascii="Calibri" w:hAnsi="Calibri"/>
          <w:color w:themeColor="text1" w:val="000000"/>
        </w:rPr>
        <w:fldChar w:fldCharType="separate"/>
      </w:r>
      <w:r>
        <w:rPr>
          <w:sz w:val="20"/>
          <w:szCs w:val="20"/>
          <w:rFonts w:cs="Calibri" w:ascii="Calibri" w:hAnsi="Calibri"/>
          <w:color w:themeColor="text1" w:val="000000"/>
        </w:rPr>
        <w:t>2</w:t>
      </w:r>
      <w:r>
        <w:rPr>
          <w:sz w:val="20"/>
          <w:szCs w:val="20"/>
          <w:rFonts w:cs="Calibri" w:ascii="Calibri" w:hAnsi="Calibri"/>
          <w:color w:themeColor="text1" w:val="000000"/>
        </w:rPr>
        <w:fldChar w:fldCharType="end"/>
      </w:r>
      <w:r>
        <w:rPr>
          <w:rFonts w:cs="Calibri" w:ascii="Calibri" w:hAnsi="Calibri" w:asciiTheme="minorHAnsi" w:cstheme="minorHAnsi" w:hAnsiTheme="minorHAnsi"/>
          <w:color w:themeColor="text1" w:val="000000"/>
          <w:sz w:val="20"/>
          <w:szCs w:val="20"/>
        </w:rPr>
        <w:t xml:space="preserve"> - Artigos selecionados após o PRISMA</w:t>
      </w:r>
      <w:bookmarkEnd w:id="49"/>
    </w:p>
    <w:tbl>
      <w:tblPr>
        <w:tblStyle w:val="1"/>
        <w:tblW w:w="9360" w:type="dxa"/>
        <w:jc w:val="center"/>
        <w:tblInd w:w="0" w:type="dxa"/>
        <w:tblLayout w:type="fixed"/>
        <w:tblCellMar>
          <w:top w:w="0" w:type="dxa"/>
          <w:left w:w="108" w:type="dxa"/>
          <w:bottom w:w="0" w:type="dxa"/>
          <w:right w:w="108" w:type="dxa"/>
        </w:tblCellMar>
        <w:tblLook w:val="0400" w:noHBand="0" w:noVBand="1" w:firstColumn="0" w:lastRow="0" w:lastColumn="0" w:firstRow="0"/>
      </w:tblPr>
      <w:tblGrid>
        <w:gridCol w:w="7359"/>
        <w:gridCol w:w="2000"/>
      </w:tblGrid>
      <w:tr>
        <w:trPr>
          <w:cnfStyle w:val="000000100000" w:firstRow="0" w:lastRow="0" w:firstColumn="0" w:lastColumn="0" w:oddVBand="0" w:evenVBand="0" w:oddHBand="1" w:evenHBand="0" w:firstRowFirstColumn="0" w:firstRowLastColumn="0" w:lastRowFirstColumn="0" w:lastRowLastColumn="0"/>
        </w:trPr>
        <w:tc>
          <w:tcPr>
            <w:tcW w:w="7359" w:type="dxa"/>
            <w:tcBorders/>
            <w:shd w:color="auto" w:fill="CCCCCC" w:val="clear"/>
          </w:tcPr>
          <w:p>
            <w:pPr>
              <w:pStyle w:val="Normal"/>
              <w:widowControl/>
              <w:suppressAutoHyphens w:val="true"/>
              <w:spacing w:lineRule="auto" w:line="360" w:before="0" w:after="0"/>
              <w:ind w:firstLine="708"/>
              <w:jc w:val="both"/>
              <w:rPr>
                <w:rFonts w:ascii="Calibri" w:hAnsi="Calibri" w:eastAsia="Calibri" w:cs="Calibri"/>
                <w:b/>
                <w:bCs/>
                <w:color w:themeColor="text1" w:val="000000"/>
                <w:sz w:val="16"/>
                <w:szCs w:val="16"/>
              </w:rPr>
            </w:pPr>
            <w:r>
              <w:rPr>
                <w:rFonts w:eastAsia="Calibri" w:cs="Calibri" w:ascii="Calibri" w:hAnsi="Calibri"/>
                <w:b/>
                <w:bCs/>
                <w:color w:themeColor="text1" w:val="000000"/>
                <w:kern w:val="0"/>
                <w:sz w:val="16"/>
                <w:szCs w:val="16"/>
                <w:lang w:val="pt-BR" w:eastAsia="pt-BR" w:bidi="ar-SA"/>
              </w:rPr>
              <w:t>Eixo temático</w:t>
            </w:r>
          </w:p>
        </w:tc>
        <w:tc>
          <w:tcPr>
            <w:tcW w:w="2000" w:type="dxa"/>
            <w:tcBorders/>
            <w:shd w:color="auto" w:fill="CCCCCC" w:val="clear"/>
          </w:tcPr>
          <w:p>
            <w:pPr>
              <w:pStyle w:val="Normal"/>
              <w:widowControl/>
              <w:suppressAutoHyphens w:val="true"/>
              <w:spacing w:lineRule="auto" w:line="360" w:before="0" w:after="0"/>
              <w:jc w:val="both"/>
              <w:rPr>
                <w:rFonts w:ascii="Calibri" w:hAnsi="Calibri" w:eastAsia="Calibri" w:cs="Calibri"/>
                <w:b/>
                <w:bCs/>
                <w:color w:themeColor="text1" w:val="000000"/>
                <w:sz w:val="16"/>
                <w:szCs w:val="16"/>
              </w:rPr>
            </w:pPr>
            <w:r>
              <w:rPr>
                <w:rFonts w:eastAsia="Calibri" w:cs="Calibri" w:ascii="Calibri" w:hAnsi="Calibri"/>
                <w:b/>
                <w:bCs/>
                <w:color w:themeColor="text1" w:val="000000"/>
                <w:kern w:val="0"/>
                <w:sz w:val="16"/>
                <w:szCs w:val="16"/>
                <w:lang w:val="pt-BR" w:eastAsia="pt-BR" w:bidi="ar-SA"/>
              </w:rPr>
              <w:t>Artigos selecionados</w:t>
            </w:r>
          </w:p>
        </w:tc>
      </w:tr>
      <w:tr>
        <w:trPr/>
        <w:tc>
          <w:tcPr>
            <w:tcW w:w="7359" w:type="dxa"/>
            <w:tcBorders/>
          </w:tcPr>
          <w:p>
            <w:pPr>
              <w:pStyle w:val="Normal"/>
              <w:widowControl/>
              <w:suppressAutoHyphens w:val="true"/>
              <w:spacing w:lineRule="auto" w:line="360" w:before="0" w:after="0"/>
              <w:ind w:firstLine="708"/>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Eixo 1 – Frameworks aplicado a estudo de viabilidades em aquicultura</w:t>
            </w:r>
          </w:p>
        </w:tc>
        <w:tc>
          <w:tcPr>
            <w:tcW w:w="2000" w:type="dxa"/>
            <w:tcBorders/>
          </w:tcPr>
          <w:p>
            <w:pPr>
              <w:pStyle w:val="Normal"/>
              <w:widowControl/>
              <w:suppressAutoHyphens w:val="true"/>
              <w:spacing w:lineRule="auto" w:line="360" w:before="0" w:after="0"/>
              <w:ind w:firstLine="708"/>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4</w:t>
            </w:r>
          </w:p>
        </w:tc>
      </w:tr>
      <w:tr>
        <w:trPr>
          <w:trHeight w:val="986" w:hRule="atLeast"/>
          <w:cnfStyle w:val="000000100000" w:firstRow="0" w:lastRow="0" w:firstColumn="0" w:lastColumn="0" w:oddVBand="0" w:evenVBand="0" w:oddHBand="1" w:evenHBand="0" w:firstRowFirstColumn="0" w:firstRowLastColumn="0" w:lastRowFirstColumn="0" w:lastRowLastColumn="0"/>
        </w:trPr>
        <w:tc>
          <w:tcPr>
            <w:tcW w:w="7359" w:type="dxa"/>
            <w:tcBorders/>
            <w:shd w:color="auto" w:fill="CCCCCC" w:val="clear"/>
          </w:tcPr>
          <w:p>
            <w:pPr>
              <w:pStyle w:val="Normal"/>
              <w:widowControl/>
              <w:suppressAutoHyphens w:val="true"/>
              <w:spacing w:lineRule="auto" w:line="360" w:before="0" w:after="0"/>
              <w:ind w:firstLine="708"/>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Eixo 2 – Integração, Lean, Sustentabilidade Ambiental e cadeias de suprimento</w:t>
            </w:r>
          </w:p>
        </w:tc>
        <w:tc>
          <w:tcPr>
            <w:tcW w:w="2000" w:type="dxa"/>
            <w:tcBorders/>
            <w:shd w:color="auto" w:fill="CCCCCC" w:val="clear"/>
          </w:tcPr>
          <w:p>
            <w:pPr>
              <w:pStyle w:val="Normal"/>
              <w:widowControl/>
              <w:suppressAutoHyphens w:val="true"/>
              <w:spacing w:lineRule="auto" w:line="360" w:before="0" w:after="0"/>
              <w:ind w:firstLine="708"/>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9</w:t>
            </w:r>
          </w:p>
        </w:tc>
      </w:tr>
      <w:tr>
        <w:trPr/>
        <w:tc>
          <w:tcPr>
            <w:tcW w:w="7359" w:type="dxa"/>
            <w:tcBorders/>
          </w:tcPr>
          <w:p>
            <w:pPr>
              <w:pStyle w:val="Normal"/>
              <w:widowControl/>
              <w:suppressAutoHyphens w:val="true"/>
              <w:spacing w:lineRule="auto" w:line="360" w:before="0" w:after="0"/>
              <w:ind w:firstLine="708"/>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 xml:space="preserve">Eixo 3 –Desempenho ESG, RSC e engajamento com </w:t>
            </w:r>
            <w:r>
              <w:rPr>
                <w:rFonts w:eastAsia="Calibri" w:cs="Calibri" w:ascii="Calibri" w:hAnsi="Calibri"/>
                <w:i/>
                <w:iCs/>
                <w:color w:themeColor="text1" w:val="000000"/>
                <w:kern w:val="0"/>
                <w:sz w:val="16"/>
                <w:szCs w:val="16"/>
                <w:lang w:val="pt-BR" w:eastAsia="pt-BR" w:bidi="ar-SA"/>
              </w:rPr>
              <w:t>Steakholders.</w:t>
            </w:r>
          </w:p>
        </w:tc>
        <w:tc>
          <w:tcPr>
            <w:tcW w:w="2000" w:type="dxa"/>
            <w:tcBorders/>
          </w:tcPr>
          <w:p>
            <w:pPr>
              <w:pStyle w:val="Normal"/>
              <w:widowControl/>
              <w:suppressAutoHyphens w:val="true"/>
              <w:spacing w:lineRule="auto" w:line="360" w:before="0" w:after="0"/>
              <w:ind w:firstLine="708"/>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2</w:t>
            </w:r>
          </w:p>
        </w:tc>
      </w:tr>
      <w:tr>
        <w:trPr>
          <w:cnfStyle w:val="000000100000" w:firstRow="0" w:lastRow="0" w:firstColumn="0" w:lastColumn="0" w:oddVBand="0" w:evenVBand="0" w:oddHBand="1" w:evenHBand="0" w:firstRowFirstColumn="0" w:firstRowLastColumn="0" w:lastRowFirstColumn="0" w:lastRowLastColumn="0"/>
        </w:trPr>
        <w:tc>
          <w:tcPr>
            <w:tcW w:w="7359" w:type="dxa"/>
            <w:tcBorders/>
            <w:shd w:color="auto" w:fill="CCCCCC" w:val="clear"/>
          </w:tcPr>
          <w:p>
            <w:pPr>
              <w:pStyle w:val="Normal"/>
              <w:widowControl/>
              <w:suppressAutoHyphens w:val="true"/>
              <w:spacing w:lineRule="auto" w:line="360" w:before="0" w:after="0"/>
              <w:ind w:firstLine="708"/>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TOTAL</w:t>
            </w:r>
          </w:p>
        </w:tc>
        <w:tc>
          <w:tcPr>
            <w:tcW w:w="2000" w:type="dxa"/>
            <w:tcBorders/>
            <w:shd w:color="auto" w:fill="CCCCCC" w:val="clear"/>
          </w:tcPr>
          <w:p>
            <w:pPr>
              <w:pStyle w:val="Normal"/>
              <w:widowControl/>
              <w:suppressAutoHyphens w:val="true"/>
              <w:spacing w:lineRule="auto" w:line="360" w:before="0" w:after="0"/>
              <w:ind w:firstLine="708"/>
              <w:jc w:val="both"/>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15</w:t>
            </w:r>
          </w:p>
        </w:tc>
      </w:tr>
    </w:tbl>
    <w:p>
      <w:pPr>
        <w:pStyle w:val="Normal"/>
        <w:spacing w:lineRule="auto" w:line="360" w:before="0" w:after="0"/>
        <w:jc w:val="center"/>
        <w:rPr>
          <w:rFonts w:ascii="Times New Roman" w:hAnsi="Times New Roman" w:eastAsia="Times New Roman" w:cs="Times New Roman"/>
          <w:color w:themeColor="text1" w:val="000000"/>
          <w:sz w:val="16"/>
          <w:szCs w:val="16"/>
        </w:rPr>
      </w:pPr>
      <w:r>
        <w:rPr>
          <w:rFonts w:eastAsia="Times New Roman" w:cs="Times New Roman"/>
          <w:color w:themeColor="text1" w:val="000000"/>
          <w:sz w:val="16"/>
          <w:szCs w:val="16"/>
        </w:rPr>
        <w:t>Fonte: Elaborado pelo autor (2026)</w:t>
      </w:r>
    </w:p>
    <w:p>
      <w:pPr>
        <w:pStyle w:val="Normal"/>
        <w:spacing w:lineRule="auto" w:line="360" w:before="0" w:after="0"/>
        <w:jc w:val="center"/>
        <w:rPr>
          <w:rFonts w:ascii="Times New Roman" w:hAnsi="Times New Roman" w:eastAsia="Times New Roman" w:cs="Times New Roman"/>
          <w:color w:themeColor="text1" w:val="000000"/>
          <w:sz w:val="16"/>
          <w:szCs w:val="16"/>
        </w:rPr>
      </w:pPr>
      <w:r>
        <w:rPr>
          <w:rFonts w:eastAsia="Times New Roman" w:cs="Times New Roman"/>
          <w:color w:themeColor="text1" w:val="000000"/>
          <w:sz w:val="16"/>
          <w:szCs w:val="16"/>
        </w:rPr>
      </w:r>
    </w:p>
    <w:p>
      <w:pPr>
        <w:pStyle w:val="Heading2"/>
        <w:spacing w:lineRule="auto" w:line="360" w:before="0" w:after="0"/>
        <w:rPr>
          <w:rFonts w:ascii="Times New Roman" w:hAnsi="Times New Roman" w:eastAsia="Times New Roman" w:cs="Times New Roman"/>
          <w:b/>
          <w:bCs/>
          <w:color w:themeColor="text1" w:val="000000"/>
          <w:sz w:val="28"/>
          <w:szCs w:val="28"/>
        </w:rPr>
      </w:pPr>
      <w:bookmarkStart w:id="50" w:name="_Toc242269283"/>
      <w:bookmarkStart w:id="51" w:name="_Toc242269202"/>
      <w:bookmarkStart w:id="52" w:name="_Toc242269123"/>
      <w:r>
        <w:rPr>
          <w:rFonts w:eastAsia="Times New Roman" w:cs="Times New Roman" w:ascii="Times New Roman" w:hAnsi="Times New Roman"/>
          <w:b/>
          <w:bCs/>
          <w:color w:themeColor="text1" w:val="000000"/>
          <w:sz w:val="28"/>
          <w:szCs w:val="28"/>
        </w:rPr>
        <w:t>2.4 Resultados e discussão por eixo temático de artigos relevantes nas bases de pesquisa</w:t>
      </w:r>
      <w:bookmarkEnd w:id="50"/>
      <w:bookmarkEnd w:id="51"/>
      <w:bookmarkEnd w:id="52"/>
    </w:p>
    <w:p>
      <w:pPr>
        <w:pStyle w:val="Normal"/>
        <w:spacing w:lineRule="auto" w:line="360" w:before="0" w:after="0"/>
        <w:ind w:firstLine="720"/>
        <w:jc w:val="both"/>
        <w:rPr>
          <w:rFonts w:ascii="Times New Roman" w:hAnsi="Times New Roman" w:cs="Times New Roman"/>
          <w:color w:themeColor="text1" w:val="000000"/>
          <w:sz w:val="24"/>
          <w:szCs w:val="24"/>
        </w:rPr>
      </w:pPr>
      <w:r>
        <w:rPr>
          <w:rFonts w:cs="Times New Roman"/>
          <w:color w:themeColor="text1" w:val="000000"/>
          <w:sz w:val="24"/>
          <w:szCs w:val="24"/>
        </w:rPr>
      </w:r>
    </w:p>
    <w:p>
      <w:pPr>
        <w:pStyle w:val="Heading3"/>
        <w:spacing w:lineRule="auto" w:line="360" w:before="0" w:after="0"/>
        <w:rPr>
          <w:rFonts w:ascii="Times New Roman" w:hAnsi="Times New Roman" w:eastAsia="Times New Roman" w:cs="Times New Roman"/>
          <w:color w:themeColor="text1" w:val="000000"/>
        </w:rPr>
      </w:pPr>
      <w:bookmarkStart w:id="53" w:name="_Toc242269284"/>
      <w:bookmarkStart w:id="54" w:name="_Toc242269203"/>
      <w:bookmarkStart w:id="55" w:name="_Toc242269124"/>
      <w:r>
        <w:rPr>
          <w:rFonts w:eastAsia="Times New Roman" w:cs="Times New Roman"/>
          <w:color w:themeColor="text1" w:val="000000"/>
        </w:rPr>
        <w:t xml:space="preserve">2.4.1 Eixo 1 - </w:t>
      </w:r>
      <w:r>
        <w:rPr>
          <w:rFonts w:eastAsia="Times New Roman" w:cs="Times New Roman"/>
          <w:i/>
          <w:iCs/>
          <w:color w:themeColor="text1" w:val="000000"/>
        </w:rPr>
        <w:t xml:space="preserve">Frameworks </w:t>
      </w:r>
      <w:r>
        <w:rPr>
          <w:rFonts w:eastAsia="Times New Roman" w:cs="Times New Roman"/>
          <w:color w:themeColor="text1" w:val="000000"/>
        </w:rPr>
        <w:t>aplicado a estudo de viabilidades em aquicultura</w:t>
      </w:r>
      <w:bookmarkEnd w:id="53"/>
      <w:bookmarkEnd w:id="54"/>
      <w:bookmarkEnd w:id="55"/>
      <w:r>
        <w:rPr>
          <w:rFonts w:eastAsia="Times New Roman" w:cs="Times New Roman"/>
          <w:color w:themeColor="text1" w:val="000000"/>
        </w:rPr>
        <w:t xml:space="preserve"> </w:t>
      </w:r>
    </w:p>
    <w:p>
      <w:pPr>
        <w:pStyle w:val="Normal"/>
        <w:spacing w:lineRule="auto" w:line="360" w:before="0" w:after="0"/>
        <w:ind w:firstLine="720"/>
        <w:jc w:val="both"/>
        <w:rPr>
          <w:rFonts w:ascii="Times New Roman" w:hAnsi="Times New Roman" w:cs="Times New Roman"/>
          <w:color w:themeColor="text1" w:val="000000"/>
          <w:sz w:val="24"/>
          <w:szCs w:val="24"/>
        </w:rPr>
      </w:pPr>
      <w:r>
        <w:rPr>
          <w:rFonts w:cs="Times New Roman"/>
          <w:color w:themeColor="text1" w:val="000000"/>
          <w:sz w:val="24"/>
          <w:szCs w:val="24"/>
        </w:rPr>
        <w:t>O primeiro eixo trata dos </w:t>
      </w:r>
      <w:r>
        <w:rPr>
          <w:rFonts w:cs="Times New Roman"/>
          <w:i/>
          <w:iCs/>
          <w:color w:themeColor="text1" w:val="000000"/>
          <w:sz w:val="24"/>
          <w:szCs w:val="24"/>
        </w:rPr>
        <w:t>frameworks </w:t>
      </w:r>
      <w:r>
        <w:rPr>
          <w:rFonts w:cs="Times New Roman"/>
          <w:color w:themeColor="text1" w:val="000000"/>
          <w:sz w:val="24"/>
          <w:szCs w:val="24"/>
        </w:rPr>
        <w:t xml:space="preserve">aplicados a estudos de viabilidade em aquicultura, que estruturam de forma integrada a análise econômica, técnica, ambiental e social dos empreendimentos aquícolas. No contexto do EVTEAS-Py, esse eixo consolida a base conceitual e metodológica para adaptar e integrar diferentes abordagens de avaliação, permitindo que o </w:t>
      </w:r>
      <w:r>
        <w:rPr>
          <w:rFonts w:cs="Times New Roman"/>
          <w:i/>
          <w:iCs/>
          <w:color w:themeColor="text1" w:val="000000"/>
          <w:sz w:val="24"/>
          <w:szCs w:val="24"/>
        </w:rPr>
        <w:t xml:space="preserve">framework </w:t>
      </w:r>
      <w:r>
        <w:rPr>
          <w:rFonts w:cs="Times New Roman"/>
          <w:color w:themeColor="text1" w:val="000000"/>
          <w:sz w:val="24"/>
          <w:szCs w:val="24"/>
        </w:rPr>
        <w:t>proposto seja replicável, comparável entre casos e sensível às especificidades territoriais e produtivas da aquicultura</w:t>
      </w:r>
    </w:p>
    <w:p>
      <w:pPr>
        <w:pStyle w:val="Normal"/>
        <w:spacing w:lineRule="auto" w:line="360" w:before="0" w:after="0"/>
        <w:jc w:val="both"/>
        <w:rPr>
          <w:rFonts w:ascii="Times New Roman" w:hAnsi="Times New Roman" w:cs="Times New Roman"/>
          <w:color w:themeColor="text1" w:val="000000"/>
          <w:sz w:val="24"/>
          <w:szCs w:val="24"/>
        </w:rPr>
      </w:pPr>
      <w:r>
        <w:rPr>
          <w:rFonts w:cs="Times New Roman"/>
          <w:color w:themeColor="text1" w:val="000000"/>
          <w:sz w:val="24"/>
          <w:szCs w:val="24"/>
        </w:rPr>
      </w:r>
    </w:p>
    <w:p>
      <w:pPr>
        <w:pStyle w:val="Normal"/>
        <w:spacing w:lineRule="auto" w:line="360" w:before="0" w:after="0"/>
        <w:ind w:firstLine="720"/>
        <w:jc w:val="both"/>
        <w:rPr>
          <w:rFonts w:ascii="Times New Roman" w:hAnsi="Times New Roman" w:cs="Times New Roman"/>
          <w:color w:themeColor="text1" w:val="000000"/>
          <w:sz w:val="24"/>
          <w:szCs w:val="24"/>
        </w:rPr>
      </w:pPr>
      <w:r>
        <w:rPr>
          <w:rFonts w:cs="Times New Roman"/>
          <w:color w:themeColor="text1" w:val="000000"/>
          <w:sz w:val="24"/>
          <w:szCs w:val="24"/>
        </w:rPr>
      </w:r>
    </w:p>
    <w:p>
      <w:pPr>
        <w:pStyle w:val="Normal"/>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Artigos selecionados: 4 </w:t>
      </w:r>
    </w:p>
    <w:p>
      <w:pPr>
        <w:pStyle w:val="Caption"/>
        <w:keepNext w:val="true"/>
        <w:spacing w:lineRule="auto" w:line="360" w:before="0" w:after="0"/>
        <w:jc w:val="center"/>
        <w:rPr>
          <w:rFonts w:ascii="Calibri" w:hAnsi="Calibri" w:cs="Calibri" w:asciiTheme="minorHAnsi" w:cstheme="minorHAnsi" w:hAnsiTheme="minorHAnsi"/>
          <w:color w:val="auto"/>
          <w:sz w:val="20"/>
          <w:szCs w:val="20"/>
        </w:rPr>
      </w:pPr>
      <w:bookmarkStart w:id="56" w:name="_Toc235197273"/>
      <w:r>
        <w:rPr>
          <w:rFonts w:cs="Calibri" w:ascii="Calibri" w:hAnsi="Calibri" w:asciiTheme="minorHAnsi" w:cstheme="minorHAnsi" w:hAnsiTheme="minorHAnsi"/>
          <w:color w:val="auto"/>
          <w:sz w:val="20"/>
          <w:szCs w:val="20"/>
        </w:rPr>
        <w:t xml:space="preserve">Quadro </w:t>
      </w:r>
      <w:r>
        <w:rPr>
          <w:rFonts w:cs="Calibri" w:ascii="Calibri" w:hAnsi="Calibri"/>
          <w:color w:val="auto"/>
          <w:sz w:val="20"/>
          <w:szCs w:val="20"/>
        </w:rPr>
        <w:fldChar w:fldCharType="begin"/>
      </w:r>
      <w:r>
        <w:rPr>
          <w:sz w:val="20"/>
          <w:szCs w:val="20"/>
          <w:rFonts w:cs="Calibri" w:ascii="Calibri" w:hAnsi="Calibri"/>
          <w:color w:val="auto"/>
        </w:rPr>
        <w:instrText xml:space="preserve"> SEQ Quadro \* ARABIC </w:instrText>
      </w:r>
      <w:r>
        <w:rPr>
          <w:sz w:val="20"/>
          <w:szCs w:val="20"/>
          <w:rFonts w:cs="Calibri" w:ascii="Calibri" w:hAnsi="Calibri"/>
          <w:color w:val="auto"/>
        </w:rPr>
        <w:fldChar w:fldCharType="separate"/>
      </w:r>
      <w:r>
        <w:rPr>
          <w:sz w:val="20"/>
          <w:szCs w:val="20"/>
          <w:rFonts w:cs="Calibri" w:ascii="Calibri" w:hAnsi="Calibri"/>
          <w:color w:val="auto"/>
        </w:rPr>
        <w:t>2</w:t>
      </w:r>
      <w:r>
        <w:rPr>
          <w:sz w:val="20"/>
          <w:szCs w:val="20"/>
          <w:rFonts w:cs="Calibri" w:ascii="Calibri" w:hAnsi="Calibri"/>
          <w:color w:val="auto"/>
        </w:rPr>
        <w:fldChar w:fldCharType="end"/>
      </w:r>
      <w:r>
        <w:rPr>
          <w:rFonts w:cs="Calibri" w:ascii="Calibri" w:hAnsi="Calibri" w:asciiTheme="minorHAnsi" w:cstheme="minorHAnsi" w:hAnsiTheme="minorHAnsi"/>
          <w:color w:val="auto"/>
          <w:sz w:val="20"/>
          <w:szCs w:val="20"/>
        </w:rPr>
        <w:t xml:space="preserve"> - Frameworks aplicado a estudo de viabilidades em aquicultura e Lean Green</w:t>
      </w:r>
      <w:bookmarkEnd w:id="56"/>
    </w:p>
    <w:tbl>
      <w:tblPr>
        <w:tblStyle w:val="5"/>
        <w:tblW w:w="6386" w:type="dxa"/>
        <w:jc w:val="center"/>
        <w:tblInd w:w="0" w:type="dxa"/>
        <w:tblLayout w:type="fixed"/>
        <w:tblCellMar>
          <w:top w:w="40" w:type="dxa"/>
          <w:left w:w="80" w:type="dxa"/>
          <w:bottom w:w="40" w:type="dxa"/>
          <w:right w:w="80" w:type="dxa"/>
        </w:tblCellMar>
        <w:tblLook w:val="0400" w:noHBand="0" w:noVBand="1" w:firstColumn="0" w:lastRow="0" w:lastColumn="0" w:firstRow="0"/>
      </w:tblPr>
      <w:tblGrid>
        <w:gridCol w:w="984"/>
        <w:gridCol w:w="5401"/>
      </w:tblGrid>
      <w:tr>
        <w:trPr/>
        <w:tc>
          <w:tcPr>
            <w:tcW w:w="984" w:type="dxa"/>
            <w:tcBorders>
              <w:top w:val="single" w:sz="4" w:space="0" w:color="999999"/>
              <w:left w:val="single" w:sz="4" w:space="0" w:color="999999"/>
              <w:bottom w:val="single" w:sz="4" w:space="0" w:color="999999"/>
              <w:right w:val="single" w:sz="4" w:space="0" w:color="999999"/>
            </w:tcBorders>
            <w:shd w:color="auto" w:fill="E8E8E8" w:val="clear"/>
            <w:vAlign w:val="center"/>
          </w:tcPr>
          <w:p>
            <w:pPr>
              <w:pStyle w:val="Normal"/>
              <w:widowControl/>
              <w:suppressAutoHyphens w:val="true"/>
              <w:spacing w:lineRule="auto" w:line="360" w:before="0" w:after="0"/>
              <w:jc w:val="both"/>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r>
          </w:p>
          <w:p>
            <w:pPr>
              <w:pStyle w:val="Normal"/>
              <w:widowControl/>
              <w:suppressAutoHyphens w:val="true"/>
              <w:spacing w:lineRule="auto" w:line="360" w:before="0" w:after="0"/>
              <w:jc w:val="both"/>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r>
          </w:p>
        </w:tc>
        <w:tc>
          <w:tcPr>
            <w:tcW w:w="5401" w:type="dxa"/>
            <w:tcBorders>
              <w:top w:val="single" w:sz="4" w:space="0" w:color="999999"/>
              <w:left w:val="single" w:sz="4" w:space="0" w:color="999999"/>
              <w:bottom w:val="single" w:sz="4" w:space="0" w:color="999999"/>
              <w:right w:val="single" w:sz="4" w:space="0" w:color="999999"/>
            </w:tcBorders>
            <w:shd w:color="auto" w:fill="E8E8E8" w:val="clear"/>
            <w:vAlign w:val="center"/>
          </w:tcPr>
          <w:p>
            <w:pPr>
              <w:pStyle w:val="Normal"/>
              <w:widowControl/>
              <w:suppressAutoHyphens w:val="true"/>
              <w:spacing w:lineRule="auto" w:line="360" w:before="0" w:after="0"/>
              <w:jc w:val="both"/>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t>Referência</w:t>
            </w:r>
          </w:p>
        </w:tc>
      </w:tr>
      <w:tr>
        <w:trPr/>
        <w:tc>
          <w:tcPr>
            <w:tcW w:w="984"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both"/>
              <w:rPr>
                <w:rFonts w:ascii="Calibri" w:hAnsi="Calibri" w:eastAsia="Calibri" w:cs="Calibri"/>
                <w:color w:themeColor="text1" w:val="000000"/>
                <w:sz w:val="20"/>
                <w:szCs w:val="20"/>
                <w:highlight w:val="cyan"/>
              </w:rPr>
            </w:pPr>
            <w:r>
              <w:rPr>
                <w:rFonts w:eastAsia="Calibri" w:cs="Calibri" w:ascii="Calibri" w:hAnsi="Calibri"/>
                <w:color w:themeColor="text1" w:val="000000"/>
                <w:kern w:val="0"/>
                <w:sz w:val="20"/>
                <w:szCs w:val="20"/>
                <w:lang w:val="pt-BR" w:eastAsia="pt-BR" w:bidi="ar-SA"/>
              </w:rPr>
              <w:t>1</w:t>
            </w:r>
          </w:p>
        </w:tc>
        <w:tc>
          <w:tcPr>
            <w:tcW w:w="5401"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kern w:val="0"/>
                <w:sz w:val="24"/>
                <w:szCs w:val="24"/>
                <w:lang w:val="en-US" w:eastAsia="pt-BR" w:bidi="ar-SA"/>
              </w:rPr>
              <w:t>LI, Z. et al. A review of global aquaculture wastewater treatment and management: sustainable pathways through technological innovations and policy coordination. </w:t>
            </w:r>
            <w:r>
              <w:rPr>
                <w:rFonts w:eastAsia="Times New Roman" w:cs="Times New Roman"/>
                <w:i/>
                <w:iCs/>
                <w:color w:themeColor="text1" w:val="000000"/>
                <w:kern w:val="0"/>
                <w:sz w:val="24"/>
                <w:szCs w:val="24"/>
                <w:lang w:val="pt-BR" w:eastAsia="pt-BR" w:bidi="ar-SA"/>
              </w:rPr>
              <w:t>Journal of Hazardous Materials</w:t>
            </w:r>
            <w:r>
              <w:rPr>
                <w:rFonts w:eastAsia="Times New Roman" w:cs="Times New Roman"/>
                <w:color w:themeColor="text1" w:val="000000"/>
                <w:kern w:val="0"/>
                <w:sz w:val="24"/>
                <w:szCs w:val="24"/>
                <w:lang w:val="pt-BR" w:eastAsia="pt-BR" w:bidi="ar-SA"/>
              </w:rPr>
              <w:t>, v. 503, art. 141235, 2026.</w:t>
            </w:r>
          </w:p>
          <w:p>
            <w:pPr>
              <w:pStyle w:val="Normal"/>
              <w:widowControl/>
              <w:suppressAutoHyphens w:val="true"/>
              <w:spacing w:lineRule="auto" w:line="360" w:before="0" w:after="0"/>
              <w:jc w:val="both"/>
              <w:rPr>
                <w:rFonts w:ascii="Calibri" w:hAnsi="Calibri" w:eastAsia="Calibri" w:cs="Calibri"/>
                <w:color w:themeColor="text1" w:val="000000"/>
                <w:sz w:val="20"/>
                <w:szCs w:val="20"/>
                <w:highlight w:val="cyan"/>
              </w:rPr>
            </w:pPr>
            <w:r>
              <w:rPr>
                <w:rFonts w:eastAsia="Calibri" w:cs="Calibri" w:ascii="Calibri" w:hAnsi="Calibri"/>
                <w:color w:themeColor="text1" w:val="000000"/>
                <w:kern w:val="0"/>
                <w:sz w:val="20"/>
                <w:szCs w:val="20"/>
                <w:highlight w:val="cyan"/>
                <w:lang w:val="pt-BR" w:eastAsia="pt-BR" w:bidi="ar-SA"/>
              </w:rPr>
            </w:r>
          </w:p>
        </w:tc>
      </w:tr>
      <w:tr>
        <w:trPr/>
        <w:tc>
          <w:tcPr>
            <w:tcW w:w="984"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both"/>
              <w:rPr>
                <w:rFonts w:ascii="Calibri" w:hAnsi="Calibri" w:eastAsia="Calibri" w:cs="Calibri"/>
                <w:color w:themeColor="text1" w:val="000000"/>
                <w:sz w:val="20"/>
                <w:szCs w:val="20"/>
                <w:highlight w:val="cyan"/>
              </w:rPr>
            </w:pPr>
            <w:r>
              <w:rPr>
                <w:rFonts w:eastAsia="Calibri" w:cs="Calibri" w:ascii="Calibri" w:hAnsi="Calibri"/>
                <w:color w:themeColor="text1" w:val="000000"/>
                <w:kern w:val="0"/>
                <w:sz w:val="20"/>
                <w:szCs w:val="20"/>
                <w:lang w:val="pt-BR" w:eastAsia="pt-BR" w:bidi="ar-SA"/>
              </w:rPr>
              <w:t>2</w:t>
            </w:r>
          </w:p>
        </w:tc>
        <w:tc>
          <w:tcPr>
            <w:tcW w:w="5401"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kern w:val="0"/>
                <w:sz w:val="24"/>
                <w:szCs w:val="24"/>
                <w:lang w:val="pt-BR" w:eastAsia="pt-BR" w:bidi="ar-SA"/>
              </w:rPr>
              <w:t>OLIVARES-AGUILAR, I. C. et al. Methodological approaches to assess climate vulnerability and cumulative impacts on coastal landscapes. </w:t>
            </w:r>
            <w:r>
              <w:rPr>
                <w:rFonts w:eastAsia="Times New Roman" w:cs="Times New Roman"/>
                <w:i/>
                <w:iCs/>
                <w:color w:themeColor="text1" w:val="000000"/>
                <w:kern w:val="0"/>
                <w:sz w:val="24"/>
                <w:szCs w:val="24"/>
                <w:lang w:val="pt-BR" w:eastAsia="pt-BR" w:bidi="ar-SA"/>
              </w:rPr>
              <w:t>Frontiers in Climate</w:t>
            </w:r>
            <w:r>
              <w:rPr>
                <w:rFonts w:eastAsia="Times New Roman" w:cs="Times New Roman"/>
                <w:color w:themeColor="text1" w:val="000000"/>
                <w:kern w:val="0"/>
                <w:sz w:val="24"/>
                <w:szCs w:val="24"/>
                <w:lang w:val="pt-BR" w:eastAsia="pt-BR" w:bidi="ar-SA"/>
              </w:rPr>
              <w:t>, v. 4, art. 1018182, 2022.</w:t>
            </w:r>
          </w:p>
          <w:p>
            <w:pPr>
              <w:pStyle w:val="Normal"/>
              <w:widowControl/>
              <w:suppressAutoHyphens w:val="true"/>
              <w:spacing w:lineRule="auto" w:line="360" w:before="0" w:after="0"/>
              <w:jc w:val="both"/>
              <w:rPr>
                <w:rFonts w:ascii="Calibri" w:hAnsi="Calibri" w:eastAsia="Calibri" w:cs="Calibri"/>
                <w:color w:themeColor="text1" w:val="000000"/>
                <w:sz w:val="20"/>
                <w:szCs w:val="20"/>
                <w:highlight w:val="cyan"/>
              </w:rPr>
            </w:pPr>
            <w:r>
              <w:rPr>
                <w:rFonts w:eastAsia="Calibri" w:cs="Calibri" w:ascii="Calibri" w:hAnsi="Calibri"/>
                <w:color w:themeColor="text1" w:val="000000"/>
                <w:kern w:val="0"/>
                <w:sz w:val="20"/>
                <w:szCs w:val="20"/>
                <w:highlight w:val="cyan"/>
                <w:lang w:val="pt-BR" w:eastAsia="pt-BR" w:bidi="ar-SA"/>
              </w:rPr>
            </w:r>
          </w:p>
        </w:tc>
      </w:tr>
      <w:tr>
        <w:trPr/>
        <w:tc>
          <w:tcPr>
            <w:tcW w:w="984"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both"/>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t>3</w:t>
            </w:r>
          </w:p>
        </w:tc>
        <w:tc>
          <w:tcPr>
            <w:tcW w:w="5401"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kern w:val="0"/>
                <w:sz w:val="24"/>
                <w:szCs w:val="24"/>
                <w:lang w:val="en-US" w:eastAsia="pt-BR" w:bidi="ar-SA"/>
              </w:rPr>
              <w:t>SILVA ARAÚJO, L.; KEESMAN, K. J.; GODDEK, S. Making aquaponics a business: a framework. </w:t>
            </w:r>
            <w:r>
              <w:rPr>
                <w:rFonts w:eastAsia="Times New Roman" w:cs="Times New Roman"/>
                <w:i/>
                <w:iCs/>
                <w:color w:themeColor="text1" w:val="000000"/>
                <w:kern w:val="0"/>
                <w:sz w:val="24"/>
                <w:szCs w:val="24"/>
                <w:lang w:val="pt-BR" w:eastAsia="pt-BR" w:bidi="ar-SA"/>
              </w:rPr>
              <w:t>Water</w:t>
            </w:r>
            <w:r>
              <w:rPr>
                <w:rFonts w:eastAsia="Times New Roman" w:cs="Times New Roman"/>
                <w:color w:themeColor="text1" w:val="000000"/>
                <w:kern w:val="0"/>
                <w:sz w:val="24"/>
                <w:szCs w:val="24"/>
                <w:lang w:val="pt-BR" w:eastAsia="pt-BR" w:bidi="ar-SA"/>
              </w:rPr>
              <w:t>, v. 13, n. 21, art. 2978, 2021.</w:t>
            </w:r>
          </w:p>
          <w:p>
            <w:pPr>
              <w:pStyle w:val="Normal"/>
              <w:widowControl/>
              <w:suppressAutoHyphens w:val="true"/>
              <w:spacing w:lineRule="auto" w:line="360" w:before="0" w:after="0"/>
              <w:jc w:val="both"/>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r>
          </w:p>
        </w:tc>
      </w:tr>
      <w:tr>
        <w:trPr/>
        <w:tc>
          <w:tcPr>
            <w:tcW w:w="984"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both"/>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t>4</w:t>
            </w:r>
          </w:p>
        </w:tc>
        <w:tc>
          <w:tcPr>
            <w:tcW w:w="5401"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kern w:val="0"/>
                <w:sz w:val="24"/>
                <w:szCs w:val="24"/>
                <w:lang w:val="en-US" w:eastAsia="pt-BR" w:bidi="ar-SA"/>
              </w:rPr>
              <w:t xml:space="preserve">SHITU, A.; TADDA, M. A.; ZHAO, J.; DANHASSAN, U. A.; YE, Z.; LIU, D.; CHEN, W.; ZHU, S. Review of recent advances in utilising aquaculture wastewater for algae cultivation and microalgae-based bioproduct recovery. </w:t>
            </w:r>
            <w:r>
              <w:rPr>
                <w:rFonts w:eastAsia="Times New Roman" w:cs="Times New Roman"/>
                <w:color w:themeColor="text1" w:val="000000"/>
                <w:kern w:val="0"/>
                <w:sz w:val="24"/>
                <w:szCs w:val="24"/>
                <w:lang w:val="pt-BR" w:eastAsia="pt-BR" w:bidi="ar-SA"/>
              </w:rPr>
              <w:t>Environmental Geochemistry and Health, v. 46, n. 471, 2024.</w:t>
            </w:r>
          </w:p>
        </w:tc>
      </w:tr>
    </w:tbl>
    <w:p>
      <w:pPr>
        <w:pStyle w:val="Normal"/>
        <w:spacing w:lineRule="auto" w:line="360" w:before="0" w:after="0"/>
        <w:jc w:val="center"/>
        <w:rPr>
          <w:rFonts w:ascii="Calibri Light" w:hAnsi="Calibri Light" w:eastAsia="Times New Roman" w:cs="Calibri Light" w:asciiTheme="majorHAnsi" w:cstheme="majorHAnsi" w:hAnsiTheme="majorHAnsi"/>
          <w:color w:themeColor="text1" w:val="000000"/>
          <w:sz w:val="16"/>
          <w:szCs w:val="16"/>
        </w:rPr>
      </w:pPr>
      <w:r>
        <w:rPr>
          <w:rFonts w:eastAsia="Times New Roman" w:cs="Calibri Light" w:ascii="Calibri Light" w:hAnsi="Calibri Light" w:asciiTheme="majorHAnsi" w:cstheme="majorHAnsi" w:hAnsiTheme="majorHAnsi"/>
          <w:color w:themeColor="text1" w:val="000000"/>
          <w:sz w:val="16"/>
          <w:szCs w:val="16"/>
        </w:rPr>
        <w:t>Fonte: Elaborado pelo autor (2026)</w:t>
      </w:r>
    </w:p>
    <w:p>
      <w:pPr>
        <w:pStyle w:val="Normal"/>
        <w:spacing w:lineRule="auto" w:line="360" w:before="0" w:after="0"/>
        <w:jc w:val="center"/>
        <w:rPr>
          <w:rFonts w:ascii="Calibri Light" w:hAnsi="Calibri Light" w:eastAsia="Times New Roman" w:cs="Calibri Light" w:asciiTheme="majorHAnsi" w:cstheme="majorHAnsi" w:hAnsiTheme="majorHAnsi"/>
          <w:color w:themeColor="text1" w:val="000000"/>
          <w:sz w:val="16"/>
          <w:szCs w:val="16"/>
        </w:rPr>
      </w:pPr>
      <w:r>
        <w:rPr>
          <w:rFonts w:eastAsia="Times New Roman" w:cs="Calibri Light" w:cstheme="majorHAnsi" w:ascii="Calibri Light" w:hAnsi="Calibri Light"/>
          <w:color w:themeColor="text1" w:val="000000"/>
          <w:sz w:val="16"/>
          <w:szCs w:val="16"/>
        </w:rPr>
      </w:r>
    </w:p>
    <w:p>
      <w:pPr>
        <w:pStyle w:val="Heading3"/>
        <w:spacing w:lineRule="auto" w:line="360" w:before="0" w:after="0"/>
        <w:rPr>
          <w:rFonts w:ascii="Times New Roman" w:hAnsi="Times New Roman" w:eastAsia="Times New Roman" w:cs="Times New Roman"/>
          <w:color w:themeColor="text1" w:val="000000"/>
        </w:rPr>
      </w:pPr>
      <w:bookmarkStart w:id="57" w:name="_Toc242269285"/>
      <w:bookmarkStart w:id="58" w:name="_Toc242269204"/>
      <w:bookmarkStart w:id="59" w:name="_Toc242269125"/>
      <w:r>
        <w:rPr>
          <w:rFonts w:eastAsia="Times New Roman" w:cs="Times New Roman"/>
          <w:color w:themeColor="text1" w:val="000000"/>
        </w:rPr>
        <w:t xml:space="preserve">2.4.2 Eixo 2 - Integração, </w:t>
      </w:r>
      <w:r>
        <w:rPr>
          <w:rFonts w:eastAsia="Times New Roman" w:cs="Times New Roman"/>
          <w:i/>
          <w:iCs/>
          <w:color w:themeColor="text1" w:val="000000"/>
        </w:rPr>
        <w:t>Lean</w:t>
      </w:r>
      <w:r>
        <w:rPr>
          <w:rFonts w:eastAsia="Times New Roman" w:cs="Times New Roman"/>
          <w:color w:themeColor="text1" w:val="000000"/>
        </w:rPr>
        <w:t>, Sustentabilidade Ambiental e cadeia de suprimentos</w:t>
      </w:r>
      <w:bookmarkEnd w:id="57"/>
      <w:bookmarkEnd w:id="58"/>
      <w:bookmarkEnd w:id="59"/>
    </w:p>
    <w:p>
      <w:pPr>
        <w:pStyle w:val="Normal"/>
        <w:keepNext w:val="true"/>
        <w:spacing w:lineRule="auto" w:line="360" w:before="0" w:after="0"/>
        <w:ind w:firstLine="720"/>
        <w:jc w:val="both"/>
        <w:rPr>
          <w:rFonts w:ascii="Times New Roman" w:hAnsi="Times New Roman" w:cs="Times New Roman"/>
          <w:color w:themeColor="text1" w:val="000000"/>
          <w:sz w:val="24"/>
          <w:szCs w:val="24"/>
        </w:rPr>
      </w:pPr>
      <w:r>
        <w:rPr>
          <w:rFonts w:cs="Times New Roman"/>
          <w:color w:themeColor="text1" w:val="000000"/>
          <w:sz w:val="24"/>
          <w:szCs w:val="24"/>
        </w:rPr>
        <w:t xml:space="preserve">O segundo eixo temático foca a sinergia entre as práticas do </w:t>
      </w:r>
      <w:r>
        <w:rPr>
          <w:rFonts w:cs="Times New Roman"/>
          <w:i/>
          <w:iCs/>
          <w:color w:themeColor="text1" w:val="000000"/>
          <w:sz w:val="24"/>
          <w:szCs w:val="24"/>
        </w:rPr>
        <w:t>Lean Manufacturing</w:t>
      </w:r>
      <w:r>
        <w:rPr>
          <w:rFonts w:cs="Times New Roman"/>
          <w:color w:themeColor="text1" w:val="000000"/>
          <w:sz w:val="24"/>
          <w:szCs w:val="24"/>
        </w:rPr>
        <w:t xml:space="preserve"> e as estratégias de sustentabilidade ambiental, com foco na eficiência de recursos e na eliminação de desperdícios ao longo dos processos produtivos. Os estudos escolhidos indicam que a integração da mentalidade enxuta com metas ecológicas tende a associar-se à redução de custos operacionais, mitigação de impactos ambientais e melhoria do desempenho dos processos.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Artigos selecionados: 9 </w:t>
      </w:r>
      <w:bookmarkStart w:id="60" w:name="_Toc235197274"/>
    </w:p>
    <w:p>
      <w:pPr>
        <w:pStyle w:val="Caption"/>
        <w:keepNext w:val="true"/>
        <w:spacing w:lineRule="auto" w:line="360" w:before="0" w:after="0"/>
        <w:jc w:val="center"/>
        <w:rPr>
          <w:rFonts w:ascii="Calibri" w:hAnsi="Calibri" w:cs="Calibri" w:asciiTheme="minorHAnsi" w:cstheme="minorHAnsi" w:hAnsiTheme="minorHAnsi"/>
          <w:color w:val="auto"/>
          <w:sz w:val="20"/>
          <w:szCs w:val="20"/>
        </w:rPr>
      </w:pPr>
      <w:bookmarkStart w:id="61" w:name="_Toc300700005"/>
      <w:r>
        <w:rPr>
          <w:rFonts w:cs="Calibri" w:ascii="Calibri" w:hAnsi="Calibri" w:asciiTheme="minorHAnsi" w:cstheme="minorHAnsi" w:hAnsiTheme="minorHAnsi"/>
          <w:color w:val="auto"/>
          <w:sz w:val="20"/>
          <w:szCs w:val="20"/>
        </w:rPr>
        <w:t xml:space="preserve">Quadro </w:t>
      </w:r>
      <w:r>
        <w:rPr>
          <w:rFonts w:cs="Calibri" w:ascii="Calibri" w:hAnsi="Calibri"/>
          <w:color w:val="auto"/>
          <w:sz w:val="20"/>
          <w:szCs w:val="20"/>
        </w:rPr>
        <w:fldChar w:fldCharType="begin"/>
      </w:r>
      <w:r>
        <w:rPr>
          <w:sz w:val="20"/>
          <w:szCs w:val="20"/>
          <w:rFonts w:cs="Calibri" w:ascii="Calibri" w:hAnsi="Calibri"/>
          <w:color w:val="auto"/>
        </w:rPr>
        <w:instrText xml:space="preserve"> SEQ Quadro \* ARABIC </w:instrText>
      </w:r>
      <w:r>
        <w:rPr>
          <w:sz w:val="20"/>
          <w:szCs w:val="20"/>
          <w:rFonts w:cs="Calibri" w:ascii="Calibri" w:hAnsi="Calibri"/>
          <w:color w:val="auto"/>
        </w:rPr>
        <w:fldChar w:fldCharType="separate"/>
      </w:r>
      <w:r>
        <w:rPr>
          <w:sz w:val="20"/>
          <w:szCs w:val="20"/>
          <w:rFonts w:cs="Calibri" w:ascii="Calibri" w:hAnsi="Calibri"/>
          <w:color w:val="auto"/>
        </w:rPr>
        <w:t>3</w:t>
      </w:r>
      <w:r>
        <w:rPr>
          <w:sz w:val="20"/>
          <w:szCs w:val="20"/>
          <w:rFonts w:cs="Calibri" w:ascii="Calibri" w:hAnsi="Calibri"/>
          <w:color w:val="auto"/>
        </w:rPr>
        <w:fldChar w:fldCharType="end"/>
      </w:r>
      <w:r>
        <w:rPr>
          <w:rFonts w:cs="Calibri" w:ascii="Calibri" w:hAnsi="Calibri" w:asciiTheme="minorHAnsi" w:cstheme="minorHAnsi" w:hAnsiTheme="minorHAnsi"/>
          <w:color w:val="auto"/>
          <w:sz w:val="20"/>
          <w:szCs w:val="20"/>
        </w:rPr>
        <w:t xml:space="preserve"> - Integração, Lean, Sustentabilidade Ambiental e cadeia de suprimentos</w:t>
      </w:r>
      <w:bookmarkEnd w:id="60"/>
      <w:bookmarkEnd w:id="61"/>
    </w:p>
    <w:tbl>
      <w:tblPr>
        <w:tblStyle w:val="7"/>
        <w:tblW w:w="5753" w:type="dxa"/>
        <w:jc w:val="center"/>
        <w:tblInd w:w="0" w:type="dxa"/>
        <w:tblLayout w:type="fixed"/>
        <w:tblCellMar>
          <w:top w:w="40" w:type="dxa"/>
          <w:left w:w="80" w:type="dxa"/>
          <w:bottom w:w="40" w:type="dxa"/>
          <w:right w:w="80" w:type="dxa"/>
        </w:tblCellMar>
        <w:tblLook w:val="0400" w:noHBand="0" w:noVBand="1" w:firstColumn="0" w:lastRow="0" w:lastColumn="0" w:firstRow="0"/>
      </w:tblPr>
      <w:tblGrid>
        <w:gridCol w:w="883"/>
        <w:gridCol w:w="4869"/>
      </w:tblGrid>
      <w:tr>
        <w:trPr>
          <w:trHeight w:val="133" w:hRule="atLeast"/>
        </w:trPr>
        <w:tc>
          <w:tcPr>
            <w:tcW w:w="883" w:type="dxa"/>
            <w:tcBorders>
              <w:top w:val="single" w:sz="4" w:space="0" w:color="999999"/>
              <w:left w:val="single" w:sz="4" w:space="0" w:color="999999"/>
              <w:bottom w:val="single" w:sz="4" w:space="0" w:color="999999"/>
              <w:right w:val="single" w:sz="4" w:space="0" w:color="999999"/>
            </w:tcBorders>
            <w:shd w:color="auto" w:fill="E8E8E8" w:val="clear"/>
            <w:vAlign w:val="center"/>
          </w:tcPr>
          <w:p>
            <w:pPr>
              <w:pStyle w:val="Normal"/>
              <w:widowControl/>
              <w:suppressAutoHyphens w:val="true"/>
              <w:spacing w:lineRule="auto" w:line="360" w:before="0" w:after="0"/>
              <w:jc w:val="both"/>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r>
          </w:p>
        </w:tc>
        <w:tc>
          <w:tcPr>
            <w:tcW w:w="4869" w:type="dxa"/>
            <w:tcBorders>
              <w:top w:val="single" w:sz="4" w:space="0" w:color="999999"/>
              <w:left w:val="single" w:sz="4" w:space="0" w:color="999999"/>
              <w:bottom w:val="single" w:sz="4" w:space="0" w:color="999999"/>
              <w:right w:val="single" w:sz="4" w:space="0" w:color="999999"/>
            </w:tcBorders>
            <w:shd w:color="auto" w:fill="E8E8E8" w:val="clear"/>
            <w:vAlign w:val="center"/>
          </w:tcPr>
          <w:p>
            <w:pPr>
              <w:pStyle w:val="Normal"/>
              <w:widowControl/>
              <w:suppressAutoHyphens w:val="true"/>
              <w:spacing w:lineRule="auto" w:line="360" w:before="0" w:after="0"/>
              <w:ind w:firstLine="708"/>
              <w:jc w:val="both"/>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t>Referência</w:t>
            </w:r>
          </w:p>
        </w:tc>
      </w:tr>
      <w:tr>
        <w:trPr>
          <w:trHeight w:val="133" w:hRule="atLeast"/>
        </w:trPr>
        <w:tc>
          <w:tcPr>
            <w:tcW w:w="883"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center"/>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t>1</w:t>
            </w:r>
          </w:p>
        </w:tc>
        <w:tc>
          <w:tcPr>
            <w:tcW w:w="4869"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both"/>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kern w:val="0"/>
                <w:sz w:val="24"/>
                <w:szCs w:val="24"/>
                <w:lang w:val="pt-BR" w:eastAsia="pt-BR" w:bidi="ar-SA"/>
              </w:rPr>
              <w:t xml:space="preserve">MESQUITA, L. L.; LIZARELLI, F. L.; DUARTE, S.; OPRIME, P. C. </w:t>
            </w:r>
            <w:r>
              <w:rPr>
                <w:rFonts w:eastAsia="Times New Roman" w:cs="Times New Roman"/>
                <w:color w:themeColor="text1" w:val="000000"/>
                <w:kern w:val="0"/>
                <w:sz w:val="24"/>
                <w:szCs w:val="24"/>
                <w:lang w:val="en-US" w:eastAsia="pt-BR" w:bidi="ar-SA"/>
              </w:rPr>
              <w:t>Exploring relationships for integrating lean, environmental sustainability and industry 4.0. International Journal of Lean Six Sigma, v. 13, n. 4, p. 863-896, 2022.</w:t>
            </w:r>
          </w:p>
          <w:p>
            <w:pPr>
              <w:pStyle w:val="Normal"/>
              <w:widowControl/>
              <w:suppressAutoHyphens w:val="true"/>
              <w:spacing w:lineRule="auto" w:line="360" w:before="0" w:after="0"/>
              <w:jc w:val="both"/>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kern w:val="0"/>
                <w:sz w:val="24"/>
                <w:szCs w:val="24"/>
                <w:lang w:val="en-US" w:eastAsia="pt-BR" w:bidi="ar-SA"/>
              </w:rPr>
            </w:r>
          </w:p>
        </w:tc>
      </w:tr>
      <w:tr>
        <w:trPr>
          <w:trHeight w:val="133" w:hRule="atLeast"/>
        </w:trPr>
        <w:tc>
          <w:tcPr>
            <w:tcW w:w="883"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center"/>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t>2</w:t>
            </w:r>
          </w:p>
        </w:tc>
        <w:tc>
          <w:tcPr>
            <w:tcW w:w="4869"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kern w:val="0"/>
                <w:sz w:val="24"/>
                <w:szCs w:val="24"/>
                <w:lang w:val="en-US" w:eastAsia="pt-BR" w:bidi="ar-SA"/>
              </w:rPr>
              <w:t>DARABAD, S. D.; GHANNADPOUR, S. F.; NOORI, S.; BAGHERPOUR, M. LeanVironment meets Greenpulse: optimizing sustainable multi</w:t>
              <w:noBreakHyphen/>
              <w:t xml:space="preserve">project construction supply chains. </w:t>
            </w:r>
            <w:r>
              <w:rPr>
                <w:rFonts w:eastAsia="Times New Roman" w:cs="Times New Roman"/>
                <w:color w:themeColor="text1" w:val="000000"/>
                <w:kern w:val="0"/>
                <w:sz w:val="24"/>
                <w:szCs w:val="24"/>
                <w:lang w:val="pt-BR" w:eastAsia="pt-BR" w:bidi="ar-SA"/>
              </w:rPr>
              <w:t>Environment, Development and Sustainability, 2025.</w:t>
            </w:r>
          </w:p>
          <w:p>
            <w:pPr>
              <w:pStyle w:val="Normal"/>
              <w:widowControl/>
              <w:suppressAutoHyphens w:val="true"/>
              <w:spacing w:lineRule="auto" w:line="360" w:before="0" w:after="0"/>
              <w:jc w:val="left"/>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r>
          </w:p>
        </w:tc>
      </w:tr>
      <w:tr>
        <w:trPr>
          <w:trHeight w:val="133" w:hRule="atLeast"/>
        </w:trPr>
        <w:tc>
          <w:tcPr>
            <w:tcW w:w="883"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center"/>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t>3</w:t>
            </w:r>
          </w:p>
        </w:tc>
        <w:tc>
          <w:tcPr>
            <w:tcW w:w="4869" w:type="dxa"/>
            <w:tcBorders>
              <w:top w:val="single" w:sz="4" w:space="0" w:color="999999"/>
              <w:left w:val="single" w:sz="4" w:space="0" w:color="999999"/>
              <w:bottom w:val="single" w:sz="4" w:space="0" w:color="999999"/>
              <w:right w:val="single" w:sz="4" w:space="0" w:color="999999"/>
            </w:tcBorders>
          </w:tcPr>
          <w:p>
            <w:pPr>
              <w:pStyle w:val="Normal"/>
              <w:widowControl/>
              <w:suppressAutoHyphens w:val="true"/>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kern w:val="0"/>
                <w:sz w:val="24"/>
                <w:szCs w:val="24"/>
                <w:lang w:val="en-US" w:eastAsia="pt-BR" w:bidi="ar-SA"/>
              </w:rPr>
              <w:t>RAZA, M. H.; ZHONG, R. Y. Integration of additive manufacturing, lean and green construction: a conceptual framework. </w:t>
            </w:r>
            <w:r>
              <w:rPr>
                <w:rFonts w:eastAsia="Times New Roman" w:cs="Times New Roman"/>
                <w:i/>
                <w:iCs/>
                <w:color w:themeColor="text1" w:val="000000"/>
                <w:kern w:val="0"/>
                <w:sz w:val="24"/>
                <w:szCs w:val="24"/>
                <w:lang w:val="pt-BR" w:eastAsia="pt-BR" w:bidi="ar-SA"/>
              </w:rPr>
              <w:t>Procedia CIRP</w:t>
            </w:r>
            <w:r>
              <w:rPr>
                <w:rFonts w:eastAsia="Times New Roman" w:cs="Times New Roman"/>
                <w:color w:themeColor="text1" w:val="000000"/>
                <w:kern w:val="0"/>
                <w:sz w:val="24"/>
                <w:szCs w:val="24"/>
                <w:lang w:val="pt-BR" w:eastAsia="pt-BR" w:bidi="ar-SA"/>
              </w:rPr>
              <w:t>, v. 128, p. 180</w:t>
              <w:noBreakHyphen/>
              <w:t>185, 2024.</w:t>
            </w:r>
          </w:p>
        </w:tc>
      </w:tr>
      <w:tr>
        <w:trPr>
          <w:trHeight w:val="133" w:hRule="atLeast"/>
        </w:trPr>
        <w:tc>
          <w:tcPr>
            <w:tcW w:w="883"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center"/>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t>4</w:t>
            </w:r>
          </w:p>
        </w:tc>
        <w:tc>
          <w:tcPr>
            <w:tcW w:w="4869" w:type="dxa"/>
            <w:tcBorders>
              <w:top w:val="single" w:sz="4" w:space="0" w:color="999999"/>
              <w:left w:val="single" w:sz="4" w:space="0" w:color="999999"/>
              <w:bottom w:val="single" w:sz="4" w:space="0" w:color="999999"/>
              <w:right w:val="single" w:sz="4" w:space="0" w:color="999999"/>
            </w:tcBorders>
          </w:tcPr>
          <w:p>
            <w:pPr>
              <w:pStyle w:val="Normal"/>
              <w:widowControl/>
              <w:suppressAutoHyphens w:val="true"/>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kern w:val="0"/>
                <w:sz w:val="24"/>
                <w:szCs w:val="24"/>
                <w:lang w:val="en-US" w:eastAsia="pt-BR" w:bidi="ar-SA"/>
              </w:rPr>
              <w:t xml:space="preserve">KOSASIH, W.; PUJAWAN, I. N.; KARNINGSIH, P. D. Integrated Lean-Green practices and supply chain sustainability for manufacturing SMEs: a systematic literature review and research agenda. </w:t>
            </w:r>
            <w:r>
              <w:rPr>
                <w:rFonts w:eastAsia="Times New Roman" w:cs="Times New Roman"/>
                <w:color w:themeColor="text1" w:val="000000"/>
                <w:kern w:val="0"/>
                <w:sz w:val="24"/>
                <w:szCs w:val="24"/>
                <w:lang w:val="pt-BR" w:eastAsia="pt-BR" w:bidi="ar-SA"/>
              </w:rPr>
              <w:t>Sustainability, v. 15, n. 16, art. 12192, 2023.</w:t>
            </w:r>
          </w:p>
        </w:tc>
      </w:tr>
      <w:tr>
        <w:trPr>
          <w:trHeight w:val="133" w:hRule="atLeast"/>
        </w:trPr>
        <w:tc>
          <w:tcPr>
            <w:tcW w:w="883"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center"/>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t>5</w:t>
            </w:r>
          </w:p>
        </w:tc>
        <w:tc>
          <w:tcPr>
            <w:tcW w:w="4869" w:type="dxa"/>
            <w:tcBorders>
              <w:top w:val="single" w:sz="4" w:space="0" w:color="999999"/>
              <w:left w:val="single" w:sz="4" w:space="0" w:color="999999"/>
              <w:bottom w:val="single" w:sz="4" w:space="0" w:color="999999"/>
              <w:right w:val="single" w:sz="4" w:space="0" w:color="999999"/>
            </w:tcBorders>
          </w:tcPr>
          <w:p>
            <w:pPr>
              <w:pStyle w:val="Normal"/>
              <w:widowControl/>
              <w:suppressAutoHyphens w:val="true"/>
              <w:spacing w:lineRule="auto" w:line="360" w:before="0" w:after="0"/>
              <w:jc w:val="both"/>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kern w:val="0"/>
                <w:sz w:val="24"/>
                <w:szCs w:val="24"/>
                <w:lang w:val="en-US" w:eastAsia="pt-BR" w:bidi="ar-SA"/>
              </w:rPr>
              <w:t>QUEIROZ, G. A.; ALVES JUNIOR, P. N.; COSTA MELO, I. Digitalization as an enabler to SMEs implementing Lean-Green? A systematic review through the topic modelling approach. Sustainability, Basel, v. 14, n. 21, art. 14089, 2022.</w:t>
            </w:r>
          </w:p>
        </w:tc>
      </w:tr>
      <w:tr>
        <w:trPr>
          <w:trHeight w:val="133" w:hRule="atLeast"/>
        </w:trPr>
        <w:tc>
          <w:tcPr>
            <w:tcW w:w="883"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center"/>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t>6</w:t>
            </w:r>
          </w:p>
        </w:tc>
        <w:tc>
          <w:tcPr>
            <w:tcW w:w="4869" w:type="dxa"/>
            <w:tcBorders>
              <w:top w:val="single" w:sz="4" w:space="0" w:color="999999"/>
              <w:left w:val="single" w:sz="4" w:space="0" w:color="999999"/>
              <w:bottom w:val="single" w:sz="4" w:space="0" w:color="999999"/>
              <w:right w:val="single" w:sz="4" w:space="0" w:color="999999"/>
            </w:tcBorders>
          </w:tcPr>
          <w:p>
            <w:pPr>
              <w:pStyle w:val="Normal"/>
              <w:widowControl/>
              <w:suppressAutoHyphens w:val="true"/>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kern w:val="0"/>
                <w:sz w:val="24"/>
                <w:szCs w:val="24"/>
                <w:lang w:val="pt-BR" w:eastAsia="pt-BR" w:bidi="ar-SA"/>
              </w:rPr>
              <w:t>NAYAL, K. et al. Integrated technologies toward sustainable agriculture supply chains: missing links. Journal of Enterprise Information Management, v. 38, n. 1, p. 318</w:t>
              <w:noBreakHyphen/>
              <w:t>368, 2025.</w:t>
            </w:r>
          </w:p>
        </w:tc>
      </w:tr>
      <w:tr>
        <w:trPr>
          <w:trHeight w:val="133" w:hRule="atLeast"/>
        </w:trPr>
        <w:tc>
          <w:tcPr>
            <w:tcW w:w="883"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center"/>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t>7</w:t>
            </w:r>
          </w:p>
        </w:tc>
        <w:tc>
          <w:tcPr>
            <w:tcW w:w="4869" w:type="dxa"/>
            <w:tcBorders>
              <w:top w:val="single" w:sz="4" w:space="0" w:color="999999"/>
              <w:left w:val="single" w:sz="4" w:space="0" w:color="999999"/>
              <w:bottom w:val="single" w:sz="4" w:space="0" w:color="999999"/>
              <w:right w:val="single" w:sz="4" w:space="0" w:color="999999"/>
            </w:tcBorders>
          </w:tcPr>
          <w:p>
            <w:pPr>
              <w:pStyle w:val="Normal"/>
              <w:widowControl/>
              <w:suppressAutoHyphens w:val="true"/>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kern w:val="0"/>
                <w:sz w:val="24"/>
                <w:szCs w:val="24"/>
                <w:lang w:val="en-US" w:eastAsia="pt-BR" w:bidi="ar-SA"/>
              </w:rPr>
              <w:t xml:space="preserve">KUMAR, M. Formulating a framework for sustainable circular supply chain management: integrating decoupled circular economy and Industry 4.0 attributes through a Fuzzy ISM approach. </w:t>
            </w:r>
            <w:r>
              <w:rPr>
                <w:rFonts w:eastAsia="Times New Roman" w:cs="Times New Roman"/>
                <w:color w:themeColor="text1" w:val="000000"/>
                <w:kern w:val="0"/>
                <w:sz w:val="24"/>
                <w:szCs w:val="24"/>
                <w:lang w:val="pt-BR" w:eastAsia="pt-BR" w:bidi="ar-SA"/>
              </w:rPr>
              <w:t>Management of Environmental Quality, v. 36, n. 8, p. 2189–2233, 2025.</w:t>
            </w:r>
          </w:p>
        </w:tc>
      </w:tr>
      <w:tr>
        <w:trPr>
          <w:trHeight w:val="133" w:hRule="atLeast"/>
        </w:trPr>
        <w:tc>
          <w:tcPr>
            <w:tcW w:w="883"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center"/>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t>8</w:t>
            </w:r>
          </w:p>
        </w:tc>
        <w:tc>
          <w:tcPr>
            <w:tcW w:w="4869" w:type="dxa"/>
            <w:tcBorders>
              <w:top w:val="single" w:sz="4" w:space="0" w:color="999999"/>
              <w:left w:val="single" w:sz="4" w:space="0" w:color="999999"/>
              <w:bottom w:val="single" w:sz="4" w:space="0" w:color="999999"/>
              <w:right w:val="single" w:sz="4" w:space="0" w:color="999999"/>
            </w:tcBorders>
          </w:tcPr>
          <w:p>
            <w:pPr>
              <w:pStyle w:val="Normal"/>
              <w:widowControl/>
              <w:suppressAutoHyphens w:val="true"/>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kern w:val="0"/>
                <w:sz w:val="24"/>
                <w:szCs w:val="24"/>
                <w:lang w:val="en-US" w:eastAsia="pt-BR" w:bidi="ar-SA"/>
              </w:rPr>
              <w:t xml:space="preserve">MAHMOOD ABD ELKHALIK, S.; ALSAYYED, N. M.; SUKKARI, L.; ALLAN, B.; SWEIS, R. Integrating lean principles into sustainability initiatives in the manufacturing sector: a systematic literature review of green and lean practices. Management of Environmental Quality, 2026. </w:t>
            </w:r>
          </w:p>
        </w:tc>
      </w:tr>
      <w:tr>
        <w:trPr>
          <w:trHeight w:val="1819" w:hRule="atLeast"/>
        </w:trPr>
        <w:tc>
          <w:tcPr>
            <w:tcW w:w="883"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center"/>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t>9</w:t>
            </w:r>
          </w:p>
        </w:tc>
        <w:tc>
          <w:tcPr>
            <w:tcW w:w="4869" w:type="dxa"/>
            <w:tcBorders>
              <w:top w:val="single" w:sz="4" w:space="0" w:color="999999"/>
              <w:left w:val="single" w:sz="4" w:space="0" w:color="999999"/>
              <w:bottom w:val="single" w:sz="4" w:space="0" w:color="999999"/>
              <w:right w:val="single" w:sz="4" w:space="0" w:color="999999"/>
            </w:tcBorders>
          </w:tcPr>
          <w:p>
            <w:pPr>
              <w:pStyle w:val="Normal"/>
              <w:widowControl/>
              <w:suppressAutoHyphens w:val="true"/>
              <w:spacing w:lineRule="auto" w:line="360" w:before="0" w:after="0"/>
              <w:jc w:val="both"/>
              <w:rPr>
                <w:rFonts w:ascii="Times New Roman" w:hAnsi="Times New Roman" w:eastAsia="Times New Roman" w:cs="Times New Roman"/>
                <w:color w:themeColor="text1" w:val="000000"/>
                <w:sz w:val="24"/>
                <w:szCs w:val="24"/>
                <w:lang w:val="en-US"/>
              </w:rPr>
            </w:pPr>
            <w:r>
              <w:rPr>
                <w:rFonts w:eastAsia="Times New Roman" w:cs="Times New Roman"/>
                <w:color w:themeColor="text1" w:val="000000"/>
                <w:kern w:val="0"/>
                <w:sz w:val="24"/>
                <w:szCs w:val="24"/>
                <w:lang w:val="en-US" w:eastAsia="pt-BR" w:bidi="ar-SA"/>
              </w:rPr>
              <w:t>YADAV, V.; GAHLOT, P. Green Lean Six Sigma sustainability-oriented framework for small and medium enterprises. International Journal of Quality &amp; Reliability Management, Bingley, v. 39, n. 7, p. 1787</w:t>
              <w:noBreakHyphen/>
              <w:t>1807, 2022.</w:t>
            </w:r>
          </w:p>
        </w:tc>
      </w:tr>
    </w:tbl>
    <w:p>
      <w:pPr>
        <w:pStyle w:val="Normal"/>
        <w:spacing w:lineRule="auto" w:line="360" w:before="0" w:after="0"/>
        <w:jc w:val="center"/>
        <w:rPr>
          <w:rFonts w:ascii="Calibri Light" w:hAnsi="Calibri Light" w:eastAsia="Times New Roman" w:cs="Calibri Light" w:asciiTheme="majorHAnsi" w:cstheme="majorHAnsi" w:hAnsiTheme="majorHAnsi"/>
          <w:color w:themeColor="text1" w:val="000000"/>
          <w:sz w:val="16"/>
          <w:szCs w:val="16"/>
        </w:rPr>
      </w:pPr>
      <w:r>
        <w:rPr>
          <w:rFonts w:eastAsia="Times New Roman" w:cs="Calibri Light" w:ascii="Calibri Light" w:hAnsi="Calibri Light" w:asciiTheme="majorHAnsi" w:cstheme="majorHAnsi" w:hAnsiTheme="majorHAnsi"/>
          <w:color w:themeColor="text1" w:val="000000"/>
          <w:sz w:val="16"/>
          <w:szCs w:val="16"/>
        </w:rPr>
        <w:t>Fonte: Elaborado pelo autor (2026)</w:t>
      </w:r>
    </w:p>
    <w:p>
      <w:pPr>
        <w:pStyle w:val="Normal"/>
        <w:spacing w:lineRule="auto" w:line="360" w:before="0" w:after="0"/>
        <w:rPr>
          <w:color w:themeColor="text1" w:val="000000"/>
        </w:rPr>
      </w:pPr>
      <w:r>
        <w:rPr>
          <w:color w:themeColor="text1" w:val="000000"/>
        </w:rPr>
      </w:r>
    </w:p>
    <w:p>
      <w:pPr>
        <w:pStyle w:val="Heading3"/>
        <w:spacing w:lineRule="auto" w:line="360" w:before="0" w:after="0"/>
        <w:rPr>
          <w:rFonts w:ascii="Times New Roman" w:hAnsi="Times New Roman" w:eastAsia="Times New Roman" w:cs="Times New Roman"/>
          <w:color w:themeColor="text1" w:val="000000"/>
        </w:rPr>
      </w:pPr>
      <w:bookmarkStart w:id="62" w:name="_Toc242269286"/>
      <w:bookmarkStart w:id="63" w:name="_Toc242269205"/>
      <w:bookmarkStart w:id="64" w:name="_Toc242269126"/>
      <w:r>
        <w:rPr>
          <w:rFonts w:eastAsia="Times New Roman" w:cs="Times New Roman"/>
          <w:color w:themeColor="text1" w:val="000000"/>
        </w:rPr>
        <w:t xml:space="preserve">2.4.3 Eixo 3 - Desempenho ESG, Responsabilidade Social Corporativa e Engajamento de </w:t>
      </w:r>
      <w:r>
        <w:rPr>
          <w:rFonts w:eastAsia="Times New Roman" w:cs="Times New Roman"/>
          <w:i/>
          <w:iCs/>
          <w:color w:themeColor="text1" w:val="000000"/>
        </w:rPr>
        <w:t>Stakeholders</w:t>
      </w:r>
      <w:bookmarkEnd w:id="62"/>
      <w:bookmarkEnd w:id="63"/>
      <w:bookmarkEnd w:id="64"/>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 terceiro eixo destaca como práticas moderadas de estoques enxutos, apoiadas por transformação digital e condições de mercado, podem fortalecer o desempenho social da empresa e o relacionamento com stakeholders no contexto ESG e aborda a RSC e o engajamento de </w:t>
      </w:r>
      <w:r>
        <w:rPr>
          <w:rFonts w:eastAsia="Times New Roman" w:cs="Times New Roman"/>
          <w:i/>
          <w:iCs/>
          <w:color w:themeColor="text1" w:val="000000"/>
          <w:sz w:val="24"/>
          <w:szCs w:val="24"/>
        </w:rPr>
        <w:t>stakeholders</w:t>
      </w:r>
      <w:r>
        <w:rPr>
          <w:rFonts w:eastAsia="Times New Roman" w:cs="Times New Roman"/>
          <w:color w:themeColor="text1" w:val="000000"/>
          <w:sz w:val="24"/>
          <w:szCs w:val="24"/>
        </w:rPr>
        <w:t>, temas que sustentam a dimensão social do EVTEAS-Py.</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Artigos selecionados: 2 </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Caption"/>
        <w:keepNext w:val="true"/>
        <w:spacing w:lineRule="auto" w:line="360" w:before="0" w:after="0"/>
        <w:jc w:val="center"/>
        <w:rPr>
          <w:rFonts w:ascii="Calibri" w:hAnsi="Calibri" w:cs="Calibri" w:asciiTheme="minorHAnsi" w:cstheme="minorHAnsi" w:hAnsiTheme="minorHAnsi"/>
          <w:color w:val="auto"/>
          <w:sz w:val="20"/>
          <w:szCs w:val="20"/>
        </w:rPr>
      </w:pPr>
      <w:bookmarkStart w:id="65" w:name="_Toc235197275"/>
      <w:r>
        <w:rPr>
          <w:rFonts w:cs="Calibri" w:ascii="Calibri" w:hAnsi="Calibri" w:asciiTheme="minorHAnsi" w:cstheme="minorHAnsi" w:hAnsiTheme="minorHAnsi"/>
          <w:color w:val="auto"/>
          <w:sz w:val="20"/>
          <w:szCs w:val="20"/>
        </w:rPr>
        <w:t xml:space="preserve">Quadro </w:t>
      </w:r>
      <w:r>
        <w:rPr>
          <w:rFonts w:cs="Calibri" w:ascii="Calibri" w:hAnsi="Calibri"/>
          <w:color w:val="auto"/>
          <w:sz w:val="20"/>
          <w:szCs w:val="20"/>
        </w:rPr>
        <w:fldChar w:fldCharType="begin"/>
      </w:r>
      <w:r>
        <w:rPr>
          <w:sz w:val="20"/>
          <w:szCs w:val="20"/>
          <w:rFonts w:cs="Calibri" w:ascii="Calibri" w:hAnsi="Calibri"/>
          <w:color w:val="auto"/>
        </w:rPr>
        <w:instrText xml:space="preserve"> SEQ Quadro \* ARABIC </w:instrText>
      </w:r>
      <w:r>
        <w:rPr>
          <w:sz w:val="20"/>
          <w:szCs w:val="20"/>
          <w:rFonts w:cs="Calibri" w:ascii="Calibri" w:hAnsi="Calibri"/>
          <w:color w:val="auto"/>
        </w:rPr>
        <w:fldChar w:fldCharType="separate"/>
      </w:r>
      <w:r>
        <w:rPr>
          <w:sz w:val="20"/>
          <w:szCs w:val="20"/>
          <w:rFonts w:cs="Calibri" w:ascii="Calibri" w:hAnsi="Calibri"/>
          <w:color w:val="auto"/>
        </w:rPr>
        <w:t>4</w:t>
      </w:r>
      <w:r>
        <w:rPr>
          <w:sz w:val="20"/>
          <w:szCs w:val="20"/>
          <w:rFonts w:cs="Calibri" w:ascii="Calibri" w:hAnsi="Calibri"/>
          <w:color w:val="auto"/>
        </w:rPr>
        <w:fldChar w:fldCharType="end"/>
      </w:r>
      <w:r>
        <w:rPr>
          <w:rFonts w:cs="Calibri" w:ascii="Calibri" w:hAnsi="Calibri" w:asciiTheme="minorHAnsi" w:cstheme="minorHAnsi" w:hAnsiTheme="minorHAnsi"/>
          <w:color w:val="auto"/>
          <w:sz w:val="20"/>
          <w:szCs w:val="20"/>
        </w:rPr>
        <w:t xml:space="preserve"> - Desempenho ESG, Responsabilidade Social Corporativa e Engajamento de Stakeholders</w:t>
      </w:r>
      <w:bookmarkEnd w:id="65"/>
    </w:p>
    <w:tbl>
      <w:tblPr>
        <w:tblStyle w:val="6"/>
        <w:tblW w:w="6360" w:type="dxa"/>
        <w:jc w:val="center"/>
        <w:tblInd w:w="0" w:type="dxa"/>
        <w:tblLayout w:type="fixed"/>
        <w:tblCellMar>
          <w:top w:w="40" w:type="dxa"/>
          <w:left w:w="80" w:type="dxa"/>
          <w:bottom w:w="40" w:type="dxa"/>
          <w:right w:w="80" w:type="dxa"/>
        </w:tblCellMar>
        <w:tblLook w:val="0400" w:noHBand="0" w:noVBand="1" w:firstColumn="0" w:lastRow="0" w:lastColumn="0" w:firstRow="0"/>
      </w:tblPr>
      <w:tblGrid>
        <w:gridCol w:w="700"/>
        <w:gridCol w:w="5659"/>
      </w:tblGrid>
      <w:tr>
        <w:trPr/>
        <w:tc>
          <w:tcPr>
            <w:tcW w:w="700" w:type="dxa"/>
            <w:tcBorders>
              <w:top w:val="single" w:sz="4" w:space="0" w:color="999999"/>
              <w:left w:val="single" w:sz="4" w:space="0" w:color="999999"/>
              <w:bottom w:val="single" w:sz="4" w:space="0" w:color="999999"/>
              <w:right w:val="single" w:sz="4" w:space="0" w:color="999999"/>
            </w:tcBorders>
            <w:shd w:color="auto" w:fill="E8E8E8" w:val="clear"/>
            <w:vAlign w:val="center"/>
          </w:tcPr>
          <w:p>
            <w:pPr>
              <w:pStyle w:val="Normal"/>
              <w:widowControl/>
              <w:suppressAutoHyphens w:val="true"/>
              <w:spacing w:lineRule="auto" w:line="360" w:before="0" w:after="0"/>
              <w:jc w:val="both"/>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r>
          </w:p>
        </w:tc>
        <w:tc>
          <w:tcPr>
            <w:tcW w:w="5659" w:type="dxa"/>
            <w:tcBorders>
              <w:top w:val="single" w:sz="4" w:space="0" w:color="999999"/>
              <w:left w:val="single" w:sz="4" w:space="0" w:color="999999"/>
              <w:bottom w:val="single" w:sz="4" w:space="0" w:color="999999"/>
              <w:right w:val="single" w:sz="4" w:space="0" w:color="999999"/>
            </w:tcBorders>
            <w:shd w:color="auto" w:fill="E8E8E8" w:val="clear"/>
            <w:vAlign w:val="center"/>
          </w:tcPr>
          <w:p>
            <w:pPr>
              <w:pStyle w:val="Normal"/>
              <w:widowControl/>
              <w:suppressAutoHyphens w:val="true"/>
              <w:spacing w:lineRule="auto" w:line="360" w:before="0" w:after="0"/>
              <w:jc w:val="both"/>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t>Referência</w:t>
            </w:r>
          </w:p>
        </w:tc>
      </w:tr>
      <w:tr>
        <w:trPr/>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center"/>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t>1</w:t>
            </w:r>
          </w:p>
        </w:tc>
        <w:tc>
          <w:tcPr>
            <w:tcW w:w="5659"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kern w:val="0"/>
                <w:sz w:val="24"/>
                <w:szCs w:val="24"/>
                <w:lang w:val="en-US" w:eastAsia="pt-BR" w:bidi="ar-SA"/>
              </w:rPr>
              <w:t xml:space="preserve">WANG, J.; ZHANG, Y.; YAO, X.; ZHU, X. The impact of lean inventory management on ESG performance. </w:t>
            </w:r>
            <w:r>
              <w:rPr>
                <w:rFonts w:eastAsia="Times New Roman" w:cs="Times New Roman"/>
                <w:color w:themeColor="text1" w:val="000000"/>
                <w:kern w:val="0"/>
                <w:sz w:val="24"/>
                <w:szCs w:val="24"/>
                <w:lang w:val="pt-BR" w:eastAsia="pt-BR" w:bidi="ar-SA"/>
              </w:rPr>
              <w:t>Journal of Manufacturing Technology Management, v. 36, n. 5, p. 1096-1118, 2025.</w:t>
            </w:r>
          </w:p>
          <w:p>
            <w:pPr>
              <w:pStyle w:val="Normal"/>
              <w:widowControl/>
              <w:suppressAutoHyphens w:val="true"/>
              <w:spacing w:lineRule="auto" w:line="360" w:before="0" w:after="0"/>
              <w:jc w:val="both"/>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r>
          </w:p>
        </w:tc>
      </w:tr>
      <w:tr>
        <w:trPr/>
        <w:tc>
          <w:tcPr>
            <w:tcW w:w="700"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center"/>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t>2</w:t>
            </w:r>
          </w:p>
        </w:tc>
        <w:tc>
          <w:tcPr>
            <w:tcW w:w="5659" w:type="dxa"/>
            <w:tcBorders>
              <w:top w:val="single" w:sz="4" w:space="0" w:color="999999"/>
              <w:left w:val="single" w:sz="4" w:space="0" w:color="999999"/>
              <w:bottom w:val="single" w:sz="4" w:space="0" w:color="999999"/>
              <w:right w:val="single" w:sz="4" w:space="0" w:color="999999"/>
            </w:tcBorders>
            <w:vAlign w:val="center"/>
          </w:tcPr>
          <w:p>
            <w:pPr>
              <w:pStyle w:val="Normal"/>
              <w:widowControl/>
              <w:suppressAutoHyphens w:val="true"/>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kern w:val="0"/>
                <w:sz w:val="24"/>
                <w:szCs w:val="24"/>
                <w:lang w:val="en-US" w:eastAsia="pt-BR" w:bidi="ar-SA"/>
              </w:rPr>
              <w:t xml:space="preserve">KOOMSON, S. Eco-friendly messages impact on leadership-driven total quality management practices and ESG ratings in the oil and gas industry. </w:t>
            </w:r>
            <w:r>
              <w:rPr>
                <w:rFonts w:eastAsia="Times New Roman" w:cs="Times New Roman"/>
                <w:color w:themeColor="text1" w:val="000000"/>
                <w:kern w:val="0"/>
                <w:sz w:val="24"/>
                <w:szCs w:val="24"/>
                <w:lang w:val="pt-BR" w:eastAsia="pt-BR" w:bidi="ar-SA"/>
              </w:rPr>
              <w:t>Society and Business Review, v. 21, n. 2, p. 233</w:t>
              <w:noBreakHyphen/>
              <w:t>251, 2026.</w:t>
            </w:r>
          </w:p>
          <w:p>
            <w:pPr>
              <w:pStyle w:val="Normal"/>
              <w:widowControl/>
              <w:suppressAutoHyphens w:val="true"/>
              <w:spacing w:lineRule="auto" w:line="360" w:before="0" w:after="0"/>
              <w:jc w:val="both"/>
              <w:rPr>
                <w:rFonts w:ascii="Calibri" w:hAnsi="Calibri" w:eastAsia="Calibri" w:cs="Calibri"/>
                <w:color w:themeColor="text1" w:val="000000"/>
                <w:sz w:val="20"/>
                <w:szCs w:val="20"/>
              </w:rPr>
            </w:pPr>
            <w:r>
              <w:rPr>
                <w:rFonts w:eastAsia="Calibri" w:cs="Calibri" w:ascii="Calibri" w:hAnsi="Calibri"/>
                <w:color w:themeColor="text1" w:val="000000"/>
                <w:kern w:val="0"/>
                <w:sz w:val="20"/>
                <w:szCs w:val="20"/>
                <w:lang w:val="pt-BR" w:eastAsia="pt-BR" w:bidi="ar-SA"/>
              </w:rPr>
            </w:r>
          </w:p>
        </w:tc>
      </w:tr>
    </w:tbl>
    <w:p>
      <w:pPr>
        <w:pStyle w:val="Normal"/>
        <w:spacing w:lineRule="auto" w:line="360" w:before="0" w:after="0"/>
        <w:jc w:val="center"/>
        <w:rPr>
          <w:rFonts w:ascii="Calibri Light" w:hAnsi="Calibri Light" w:eastAsia="Times New Roman" w:cs="Calibri Light" w:asciiTheme="majorHAnsi" w:cstheme="majorHAnsi" w:hAnsiTheme="majorHAnsi"/>
          <w:color w:themeColor="text1" w:val="000000"/>
          <w:sz w:val="16"/>
          <w:szCs w:val="16"/>
        </w:rPr>
      </w:pPr>
      <w:r>
        <w:rPr>
          <w:rFonts w:eastAsia="Times New Roman" w:cs="Calibri Light" w:ascii="Calibri Light" w:hAnsi="Calibri Light" w:asciiTheme="majorHAnsi" w:cstheme="majorHAnsi" w:hAnsiTheme="majorHAnsi"/>
          <w:color w:themeColor="text1" w:val="000000"/>
          <w:sz w:val="16"/>
          <w:szCs w:val="16"/>
        </w:rPr>
        <w:t>Fonte: Elaborado pelo autor (2026)</w:t>
      </w:r>
    </w:p>
    <w:p>
      <w:pPr>
        <w:pStyle w:val="Normal"/>
        <w:spacing w:lineRule="auto" w:line="360" w:before="0" w:after="0"/>
        <w:jc w:val="center"/>
        <w:rPr>
          <w:rFonts w:ascii="Calibri Light" w:hAnsi="Calibri Light" w:eastAsia="Times New Roman" w:cs="Calibri Light" w:asciiTheme="majorHAnsi" w:cstheme="majorHAnsi" w:hAnsiTheme="majorHAnsi"/>
          <w:color w:themeColor="text1" w:val="000000"/>
          <w:sz w:val="16"/>
          <w:szCs w:val="16"/>
        </w:rPr>
      </w:pPr>
      <w:r>
        <w:rPr>
          <w:rFonts w:eastAsia="Times New Roman" w:cs="Calibri Light" w:cstheme="majorHAnsi" w:ascii="Calibri Light" w:hAnsi="Calibri Light"/>
          <w:color w:themeColor="text1" w:val="000000"/>
          <w:sz w:val="16"/>
          <w:szCs w:val="16"/>
        </w:rPr>
      </w:r>
    </w:p>
    <w:p>
      <w:pPr>
        <w:pStyle w:val="Heading2"/>
        <w:spacing w:lineRule="auto" w:line="360" w:before="0" w:after="0"/>
        <w:rPr>
          <w:rFonts w:ascii="Times New Roman" w:hAnsi="Times New Roman" w:eastAsia="Times New Roman" w:cs="Times New Roman"/>
          <w:color w:themeColor="text1" w:val="000000"/>
          <w:sz w:val="28"/>
          <w:szCs w:val="28"/>
        </w:rPr>
      </w:pPr>
      <w:bookmarkStart w:id="66" w:name="_Toc242269287"/>
      <w:bookmarkStart w:id="67" w:name="_Toc242269206"/>
      <w:bookmarkStart w:id="68" w:name="_Toc242269127"/>
      <w:r>
        <w:rPr>
          <w:rFonts w:eastAsia="Times New Roman" w:cs="Times New Roman" w:ascii="Times New Roman" w:hAnsi="Times New Roman"/>
          <w:color w:themeColor="text1" w:val="000000"/>
          <w:sz w:val="28"/>
          <w:szCs w:val="28"/>
        </w:rPr>
        <w:t>2.5 Perfil bibliométrico do corpus</w:t>
      </w:r>
      <w:bookmarkEnd w:id="66"/>
      <w:bookmarkEnd w:id="67"/>
      <w:bookmarkEnd w:id="68"/>
    </w:p>
    <w:p>
      <w:pPr>
        <w:pStyle w:val="Normal"/>
        <w:spacing w:lineRule="auto" w:line="360" w:before="0" w:after="0"/>
        <w:ind w:firstLine="708"/>
        <w:jc w:val="both"/>
        <w:rPr>
          <w:rFonts w:ascii="Times New Roman" w:hAnsi="Times New Roman" w:eastAsia="Times New Roman" w:cs="Times New Roman"/>
          <w:sz w:val="24"/>
          <w:szCs w:val="24"/>
        </w:rPr>
      </w:pPr>
      <w:r>
        <w:rPr>
          <w:rFonts w:eastAsia="Times New Roman" w:cs="Times New Roman"/>
          <w:sz w:val="24"/>
          <w:szCs w:val="24"/>
        </w:rPr>
        <w:t>O perfil bibliométricos dos três eixos de pesquisa identificados na RSL (Tabela 1), confirma a maturidade dos campos de pesquisa. O Eixo 1 reúne um volume intermediário de registros indexados (64), que corresponde a um campo já consolidado, ainda que disperso entre características econômicas, ambientais que raramente convergem para uma estrutura analítica comum. O Eixo 2 concentra o maior volume de registros (101), o que consolida a pesquisa sobre operações enxutas e sustentabilidade na literatura de manufatura. O Eixo 3 retorna o corpo de trabalho mais reduzido (8 registros), o que denota uma agenda emergente, porém ainda incipiente.</w:t>
      </w:r>
      <w:r>
        <w:rPr>
          <w:rFonts w:eastAsia="Times New Roman" w:cs="Times New Roman"/>
          <w:color w:val="EE0000"/>
          <w:sz w:val="24"/>
          <w:szCs w:val="24"/>
        </w:rPr>
        <w:t xml:space="preserve"> </w:t>
      </w:r>
      <w:r>
        <w:rPr>
          <w:rFonts w:eastAsia="Times New Roman" w:cs="Times New Roman"/>
          <w:sz w:val="24"/>
          <w:szCs w:val="24"/>
        </w:rPr>
        <w:t>Os três eixos não são meramente quantitativos: ela espelha a maturidade desigual das próprias dimensões da análise de viabilidade, na qual o vetor operacional-ambiental se encontra densamente investigado, ao passo que a dimensão social e de governança permanece subdesenvolvida.</w:t>
      </w:r>
    </w:p>
    <w:p>
      <w:pPr>
        <w:pStyle w:val="Normal"/>
        <w:spacing w:lineRule="auto" w:line="360" w:before="0" w:after="0"/>
        <w:ind w:firstLine="708"/>
        <w:jc w:val="both"/>
        <w:rPr>
          <w:rFonts w:ascii="Times New Roman" w:hAnsi="Times New Roman" w:eastAsia="Times New Roman" w:cs="Times New Roman"/>
          <w:color w:val="EE0000"/>
          <w:sz w:val="24"/>
          <w:szCs w:val="24"/>
        </w:rPr>
      </w:pPr>
      <w:r>
        <w:rPr>
          <w:rFonts w:eastAsia="Times New Roman" w:cs="Times New Roman"/>
          <w:sz w:val="24"/>
          <w:szCs w:val="24"/>
        </w:rPr>
        <w:t xml:space="preserve">O fluxo PRISMA, ilustrado na Figura 1 e resumido no Quadro 1, percorre as quatro etapas de seleção desde os 173 registros iniciais até o corpus final de 15 estudos. A desduplicação removeu 45 registros, </w:t>
      </w:r>
      <w:r>
        <w:rPr>
          <w:rFonts w:eastAsia="Times New Roman" w:cs="Times New Roman"/>
          <w:b/>
          <w:bCs/>
          <w:sz w:val="24"/>
          <w:szCs w:val="24"/>
        </w:rPr>
        <w:t>26%</w:t>
      </w:r>
      <w:r>
        <w:rPr>
          <w:rFonts w:eastAsia="Times New Roman" w:cs="Times New Roman"/>
          <w:sz w:val="24"/>
          <w:szCs w:val="24"/>
        </w:rPr>
        <w:t xml:space="preserve"> dos identificados. A triagem por título constituiu o filtro mais contundente</w:t>
      </w:r>
      <w:r>
        <w:rPr>
          <w:rFonts w:eastAsia="Times New Roman" w:cs="Times New Roman"/>
          <w:color w:val="EE0000"/>
          <w:sz w:val="24"/>
          <w:szCs w:val="24"/>
        </w:rPr>
        <w:t xml:space="preserve">, </w:t>
      </w:r>
      <w:r>
        <w:rPr>
          <w:rFonts w:eastAsia="Times New Roman" w:cs="Times New Roman"/>
          <w:sz w:val="24"/>
          <w:szCs w:val="24"/>
        </w:rPr>
        <w:t xml:space="preserve">ao excluir </w:t>
      </w:r>
      <w:r>
        <w:rPr>
          <w:rFonts w:eastAsia="Times New Roman" w:cs="Times New Roman"/>
          <w:b/>
          <w:bCs/>
          <w:sz w:val="24"/>
          <w:szCs w:val="24"/>
        </w:rPr>
        <w:t xml:space="preserve">66% </w:t>
      </w:r>
      <w:r>
        <w:rPr>
          <w:rFonts w:eastAsia="Times New Roman" w:cs="Times New Roman"/>
          <w:sz w:val="24"/>
          <w:szCs w:val="24"/>
        </w:rPr>
        <w:t>dos registros únicos. As triagens por resumo e por texto completo retiraram, em conjunto, outros 28 artigos.</w:t>
      </w:r>
    </w:p>
    <w:p>
      <w:pPr>
        <w:pStyle w:val="Normal"/>
        <w:spacing w:lineRule="auto" w:line="360" w:before="0" w:after="0"/>
        <w:ind w:firstLine="708"/>
        <w:jc w:val="both"/>
        <w:rPr>
          <w:rFonts w:ascii="Times New Roman" w:hAnsi="Times New Roman" w:eastAsia="Times New Roman" w:cs="Times New Roman"/>
          <w:color w:val="EE0000"/>
          <w:sz w:val="24"/>
          <w:szCs w:val="24"/>
        </w:rPr>
      </w:pPr>
      <w:r>
        <w:rPr>
          <w:rFonts w:eastAsia="Times New Roman" w:cs="Times New Roman"/>
          <w:sz w:val="24"/>
          <w:szCs w:val="24"/>
        </w:rPr>
        <w:t>Os 15 estudos retidos (Tabela 2) distribuíram-se pelos três eixos em proporção à maturidade de cada corrente de pesquisa: quatro artigos no Eixo 1 (26,7%), nove no Eixo 2 (60,0%) e dois no Eixo 3 (13,3%). Essa diferença sustenta, do ponto de vista quantitativo, a lacuna que o EVTEAS-Py pode explorar.</w:t>
      </w:r>
    </w:p>
    <w:p>
      <w:pPr>
        <w:pStyle w:val="Normal"/>
        <w:spacing w:lineRule="auto" w:line="360" w:before="0" w:after="0"/>
        <w:ind w:firstLine="708"/>
        <w:jc w:val="both"/>
        <w:rPr>
          <w:rFonts w:ascii="Times New Roman" w:hAnsi="Times New Roman" w:eastAsia="Times New Roman" w:cs="Times New Roman"/>
          <w:color w:val="EE0000"/>
          <w:sz w:val="24"/>
          <w:szCs w:val="24"/>
          <w:u w:val="single"/>
        </w:rPr>
      </w:pPr>
      <w:r>
        <w:rPr>
          <w:rFonts w:eastAsia="Times New Roman" w:cs="Times New Roman"/>
          <w:color w:val="EE0000"/>
          <w:sz w:val="24"/>
          <w:szCs w:val="24"/>
          <w:u w:val="single"/>
        </w:rPr>
      </w:r>
    </w:p>
    <w:p>
      <w:pPr>
        <w:pStyle w:val="Heading3"/>
        <w:spacing w:lineRule="auto" w:line="360" w:before="0" w:after="0"/>
        <w:rPr>
          <w:rFonts w:ascii="Times New Roman" w:hAnsi="Times New Roman" w:eastAsia="Times New Roman" w:cs="Times New Roman"/>
          <w:color w:val="auto"/>
        </w:rPr>
      </w:pPr>
      <w:bookmarkStart w:id="69" w:name="_Toc242269288"/>
      <w:bookmarkStart w:id="70" w:name="_Toc242269207"/>
      <w:bookmarkStart w:id="71" w:name="_Toc242269128"/>
      <w:r>
        <w:rPr>
          <w:rFonts w:eastAsia="Times New Roman" w:cs="Times New Roman"/>
          <w:color w:val="auto"/>
        </w:rPr>
        <w:t>2.5.1 Mapeamento bibliométrico da estrutura conceitual do corpus com utilização de VOSviewer</w:t>
      </w:r>
      <w:bookmarkEnd w:id="69"/>
      <w:bookmarkEnd w:id="70"/>
      <w:bookmarkEnd w:id="71"/>
    </w:p>
    <w:p>
      <w:pPr>
        <w:pStyle w:val="Normal"/>
        <w:suppressAutoHyphens w:val="false"/>
        <w:spacing w:lineRule="auto" w:line="360" w:before="0" w:after="120"/>
        <w:ind w:firstLine="720"/>
        <w:rPr>
          <w:rFonts w:ascii="Times New Roman" w:hAnsi="Times New Roman" w:eastAsia="Times New Roman" w:cs="Times New Roman"/>
          <w:color w:val="EE0000"/>
          <w:sz w:val="24"/>
          <w:lang w:eastAsia="en-US"/>
        </w:rPr>
      </w:pPr>
      <w:r>
        <w:rPr>
          <w:rFonts w:eastAsia="Times New Roman" w:cs="Times New Roman"/>
          <w:sz w:val="24"/>
          <w:lang w:eastAsia="en-US"/>
        </w:rPr>
        <w:t>Além da contagem numérica de registros, realizou-se o mapeamento das coocorrências de palavras-chaves do corpus com utilização do software VOSviewer, que intregra os termos a partir da frequência com que aparecem conjuntamente nos metadados dos estudos recuperados e posiciona-os em um mapa bidimensional segundo a força de associação entre eles</w:t>
      </w:r>
      <w:r>
        <w:rPr>
          <w:rFonts w:eastAsia="Times New Roman" w:cs="Times New Roman"/>
          <w:color w:themeColor="text1" w:val="000000"/>
          <w:sz w:val="24"/>
          <w:lang w:eastAsia="en-US"/>
        </w:rPr>
        <w:t>.</w:t>
      </w:r>
    </w:p>
    <w:p>
      <w:pPr>
        <w:pStyle w:val="Caption"/>
        <w:keepNext w:val="true"/>
        <w:jc w:val="center"/>
        <w:rPr>
          <w:color w:val="auto"/>
        </w:rPr>
      </w:pPr>
      <w:bookmarkStart w:id="72" w:name="_Toc240362123"/>
      <w:r>
        <w:rPr>
          <w:color w:val="auto"/>
        </w:rPr>
        <w:t xml:space="preserve">Figura </w:t>
      </w:r>
      <w:r>
        <w:rPr>
          <w:color w:val="auto"/>
        </w:rPr>
        <w:fldChar w:fldCharType="begin"/>
      </w:r>
      <w:r>
        <w:rPr>
          <w:color w:val="auto"/>
        </w:rPr>
        <w:instrText xml:space="preserve"> SEQ Figura \* ARABIC </w:instrText>
      </w:r>
      <w:r>
        <w:rPr>
          <w:color w:val="auto"/>
        </w:rPr>
        <w:fldChar w:fldCharType="separate"/>
      </w:r>
      <w:r>
        <w:rPr>
          <w:color w:val="auto"/>
        </w:rPr>
        <w:t>2</w:t>
      </w:r>
      <w:r>
        <w:rPr>
          <w:color w:val="auto"/>
        </w:rPr>
        <w:fldChar w:fldCharType="end"/>
      </w:r>
      <w:r>
        <w:rPr>
          <w:color w:val="auto"/>
        </w:rPr>
        <w:t xml:space="preserve"> - Rede de coocorrência das palavras-chave identificadas no corpus da RSL</w:t>
      </w:r>
      <w:bookmarkEnd w:id="72"/>
    </w:p>
    <w:p>
      <w:pPr>
        <w:pStyle w:val="Normal"/>
        <w:suppressAutoHyphens w:val="false"/>
        <w:spacing w:lineRule="auto" w:line="360" w:before="0" w:after="120"/>
        <w:jc w:val="center"/>
        <w:rPr>
          <w:rFonts w:ascii="Times New Roman" w:hAnsi="Times New Roman" w:eastAsia="Times New Roman" w:cs="Times New Roman"/>
          <w:color w:val="EE0000"/>
          <w:sz w:val="24"/>
          <w:lang w:eastAsia="en-US"/>
        </w:rPr>
      </w:pPr>
      <w:r>
        <w:rPr/>
        <w:drawing>
          <wp:inline distT="0" distB="0" distL="0" distR="0">
            <wp:extent cx="5276850" cy="3663950"/>
            <wp:effectExtent l="0" t="0" r="0" b="0"/>
            <wp:docPr id="4" name="Picture 1" descr="Diagrama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Diagrama  Descrição gerada automaticamente"/>
                    <pic:cNvPicPr>
                      <a:picLocks noChangeAspect="1" noChangeArrowheads="1"/>
                    </pic:cNvPicPr>
                  </pic:nvPicPr>
                  <pic:blipFill>
                    <a:blip r:embed="rId15"/>
                    <a:stretch>
                      <a:fillRect/>
                    </a:stretch>
                  </pic:blipFill>
                  <pic:spPr bwMode="auto">
                    <a:xfrm>
                      <a:off x="0" y="0"/>
                      <a:ext cx="5276850" cy="3663950"/>
                    </a:xfrm>
                    <a:prstGeom prst="rect">
                      <a:avLst/>
                    </a:prstGeom>
                  </pic:spPr>
                </pic:pic>
              </a:graphicData>
            </a:graphic>
          </wp:inline>
        </w:drawing>
      </w:r>
    </w:p>
    <w:p>
      <w:pPr>
        <w:pStyle w:val="Normal"/>
        <w:suppressAutoHyphens w:val="false"/>
        <w:spacing w:lineRule="auto" w:line="360" w:before="0" w:after="120"/>
        <w:jc w:val="center"/>
        <w:rPr>
          <w:rFonts w:ascii="Times New Roman" w:hAnsi="Times New Roman" w:eastAsia="Times New Roman" w:cs="Times New Roman"/>
          <w:sz w:val="24"/>
          <w:lang w:eastAsia="en-US"/>
        </w:rPr>
      </w:pPr>
      <w:r>
        <w:rPr>
          <w:rFonts w:eastAsia="Times New Roman" w:cs="Times New Roman"/>
          <w:sz w:val="20"/>
          <w:lang w:eastAsia="en-US"/>
        </w:rPr>
        <w:t>Fonte: Elaborado pelo autor na ferramenta VOSviewer (2026).</w:t>
      </w:r>
    </w:p>
    <w:p>
      <w:pPr>
        <w:pStyle w:val="Normal"/>
        <w:suppressAutoHyphens w:val="false"/>
        <w:spacing w:lineRule="auto" w:line="360" w:before="0" w:after="120"/>
        <w:ind w:firstLine="720"/>
        <w:rPr>
          <w:rFonts w:ascii="Times New Roman" w:hAnsi="Times New Roman" w:eastAsia="Times New Roman" w:cs="Times New Roman"/>
          <w:sz w:val="24"/>
          <w:lang w:eastAsia="en-US"/>
        </w:rPr>
      </w:pPr>
      <w:r>
        <w:rPr>
          <w:rFonts w:eastAsia="Times New Roman" w:cs="Times New Roman"/>
          <w:sz w:val="24"/>
          <w:lang w:eastAsia="en-US"/>
        </w:rPr>
        <w:t>A Figura 2 demonstra a rede de coocorrência das palavras-chave identificadas no corpus da RSL, com um núcleo central associado à sustentabilidade e à gestão da cadeia de suprimentos, articulado a conceitos relacionados à gestão, ao desempenho operacional, às práticas Lean e às tecnologias da Indústria 4.0. A proximidade espacial entre os termos demonstra maior intensidade de associação temática, ao passo que a formação de agrupamentos revela diferentes frentes de pesquisa que, embora relacionadas, ainda não se encontram integradas em uma estrutura única de avaliação de viabilidade.</w:t>
      </w:r>
    </w:p>
    <w:p>
      <w:pPr>
        <w:pStyle w:val="Normal"/>
        <w:suppressAutoHyphens w:val="false"/>
        <w:spacing w:lineRule="auto" w:line="360" w:before="0" w:after="120"/>
        <w:ind w:firstLine="720"/>
        <w:jc w:val="both"/>
        <w:rPr>
          <w:rFonts w:ascii="Times New Roman" w:hAnsi="Times New Roman" w:eastAsia="Times New Roman" w:cs="Times New Roman"/>
          <w:color w:val="EE0000"/>
          <w:sz w:val="24"/>
          <w:lang w:eastAsia="en-US"/>
        </w:rPr>
      </w:pPr>
      <w:r>
        <w:rPr>
          <w:rFonts w:eastAsia="Times New Roman" w:cs="Times New Roman"/>
          <w:sz w:val="24"/>
          <w:lang w:eastAsia="en-US"/>
        </w:rPr>
        <w:t>Esse achado demonstra que a literatura já apresenta relações consolidadas entre eficiência operacional, sustentabilidade, gestão, transformação digital e desempenho organizacional</w:t>
      </w:r>
      <w:r>
        <w:rPr>
          <w:rFonts w:eastAsia="Times New Roman" w:cs="Times New Roman"/>
          <w:i/>
          <w:iCs/>
          <w:color w:val="EE0000"/>
          <w:sz w:val="24"/>
          <w:lang w:eastAsia="en-US"/>
        </w:rPr>
        <w:t>.</w:t>
      </w:r>
      <w:r>
        <w:rPr>
          <w:rFonts w:eastAsia="Times New Roman" w:cs="Times New Roman"/>
          <w:color w:val="EE0000"/>
          <w:sz w:val="24"/>
          <w:lang w:eastAsia="en-US"/>
        </w:rPr>
        <w:t xml:space="preserve"> </w:t>
      </w:r>
      <w:r>
        <w:rPr>
          <w:rFonts w:eastAsia="Times New Roman" w:cs="Times New Roman"/>
          <w:sz w:val="24"/>
          <w:lang w:eastAsia="en-US"/>
        </w:rPr>
        <w:t>Todavia, a presença desses conceitos na mesma rede bibliométrica não significa que estejam integrados em uma ferramenta única de apoio à decisão aplicada à piscicultura, o que destaca a fragmentação temática que antecede a proposição do EVTEAS-Py.</w:t>
      </w:r>
    </w:p>
    <w:p>
      <w:pPr>
        <w:pStyle w:val="Normal"/>
        <w:suppressAutoHyphens w:val="false"/>
        <w:spacing w:lineRule="auto" w:line="360" w:before="0" w:after="120"/>
        <w:ind w:firstLine="720"/>
        <w:jc w:val="both"/>
        <w:rPr>
          <w:rFonts w:ascii="Times New Roman" w:hAnsi="Times New Roman" w:eastAsia="Times New Roman" w:cs="Times New Roman"/>
          <w:color w:val="EE0000"/>
          <w:sz w:val="24"/>
          <w:lang w:eastAsia="en-US"/>
        </w:rPr>
      </w:pPr>
      <w:r>
        <w:rPr>
          <w:rFonts w:eastAsia="Times New Roman" w:cs="Times New Roman"/>
          <w:sz w:val="24"/>
          <w:lang w:eastAsia="en-US"/>
        </w:rPr>
        <w:t xml:space="preserve">Outro ponto observado na Figura 2 é a posição relativamente periférica dos termos diretamente associados à aquicultura. Ao passo que os conceitos relacionados à sustentabilidade, cadeia de suprimentos, </w:t>
      </w:r>
      <w:r>
        <w:rPr>
          <w:rFonts w:eastAsia="Times New Roman" w:cs="Times New Roman"/>
          <w:i/>
          <w:iCs/>
          <w:sz w:val="24"/>
          <w:lang w:eastAsia="en-US"/>
        </w:rPr>
        <w:t>Lean</w:t>
      </w:r>
      <w:r>
        <w:rPr>
          <w:rFonts w:eastAsia="Times New Roman" w:cs="Times New Roman"/>
          <w:sz w:val="24"/>
          <w:lang w:eastAsia="en-US"/>
        </w:rPr>
        <w:t xml:space="preserve"> e Indústria 4.0 apresentam maior conectividade, </w:t>
      </w:r>
      <w:r>
        <w:rPr>
          <w:rFonts w:eastAsia="Times New Roman" w:cs="Times New Roman"/>
          <w:i/>
          <w:iCs/>
          <w:sz w:val="24"/>
          <w:lang w:eastAsia="en-US"/>
        </w:rPr>
        <w:t xml:space="preserve">aquaculture </w:t>
      </w:r>
      <w:r>
        <w:rPr>
          <w:rFonts w:eastAsia="Times New Roman" w:cs="Times New Roman"/>
          <w:sz w:val="24"/>
          <w:lang w:eastAsia="en-US"/>
        </w:rPr>
        <w:t>apresenta menor integração com o núcleo central da rede. Subentende-se, portanto que esses principais termos estão mais ligados à indústria do que à Aquicultura</w:t>
      </w:r>
      <w:r>
        <w:rPr>
          <w:rFonts w:eastAsia="Times New Roman" w:cs="Times New Roman"/>
          <w:color w:val="EE0000"/>
          <w:sz w:val="24"/>
          <w:lang w:eastAsia="en-US"/>
        </w:rPr>
        <w:t>.</w:t>
      </w:r>
    </w:p>
    <w:p>
      <w:pPr>
        <w:pStyle w:val="Normal"/>
        <w:suppressAutoHyphens w:val="false"/>
        <w:spacing w:lineRule="auto" w:line="360" w:before="0" w:after="120"/>
        <w:ind w:firstLine="720"/>
        <w:jc w:val="both"/>
        <w:rPr>
          <w:rFonts w:ascii="Times New Roman" w:hAnsi="Times New Roman" w:eastAsia="Times New Roman" w:cs="Times New Roman"/>
          <w:color w:val="EE0000"/>
          <w:sz w:val="24"/>
          <w:lang w:eastAsia="en-US"/>
        </w:rPr>
      </w:pPr>
      <w:r>
        <w:rPr>
          <w:rFonts w:eastAsia="Times New Roman" w:cs="Times New Roman"/>
          <w:sz w:val="24"/>
          <w:lang w:eastAsia="en-US"/>
        </w:rPr>
        <w:t>O maior número de trabalhos concentrado no Eixo 2 é coerente com a maior densidade de termos relacionados à eficiência, sustentabilidade e gestão observada na rede, ao passo que a menor representação do Eixo 3 ratifica que a dimensão ESG e social ainda é menos consolidada no corpus.</w:t>
      </w:r>
    </w:p>
    <w:p>
      <w:pPr>
        <w:pStyle w:val="Caption"/>
        <w:keepNext w:val="true"/>
        <w:jc w:val="center"/>
        <w:rPr>
          <w:color w:val="auto"/>
        </w:rPr>
      </w:pPr>
      <w:bookmarkStart w:id="73" w:name="_Toc240362124"/>
      <w:r>
        <w:rPr>
          <w:color w:val="auto"/>
        </w:rPr>
        <w:t xml:space="preserve">Figura </w:t>
      </w:r>
      <w:r>
        <w:rPr>
          <w:color w:val="auto"/>
        </w:rPr>
        <w:fldChar w:fldCharType="begin"/>
      </w:r>
      <w:r>
        <w:rPr>
          <w:color w:val="auto"/>
        </w:rPr>
        <w:instrText xml:space="preserve"> SEQ Figura \* ARABIC </w:instrText>
      </w:r>
      <w:r>
        <w:rPr>
          <w:color w:val="auto"/>
        </w:rPr>
        <w:fldChar w:fldCharType="separate"/>
      </w:r>
      <w:r>
        <w:rPr>
          <w:color w:val="auto"/>
        </w:rPr>
        <w:t>3</w:t>
      </w:r>
      <w:r>
        <w:rPr>
          <w:color w:val="auto"/>
        </w:rPr>
        <w:fldChar w:fldCharType="end"/>
      </w:r>
      <w:r>
        <w:rPr>
          <w:color w:val="auto"/>
        </w:rPr>
        <w:t xml:space="preserve"> - Visualização por sobreposição temporal da coocorrência de palavras-chave no corpus da revisão sistemática</w:t>
      </w:r>
      <w:bookmarkEnd w:id="73"/>
    </w:p>
    <w:p>
      <w:pPr>
        <w:pStyle w:val="Normal"/>
        <w:suppressAutoHyphens w:val="false"/>
        <w:spacing w:lineRule="auto" w:line="360" w:before="0" w:after="120"/>
        <w:jc w:val="center"/>
        <w:rPr>
          <w:rFonts w:ascii="Times New Roman" w:hAnsi="Times New Roman" w:eastAsia="Times New Roman" w:cs="Times New Roman"/>
          <w:color w:val="EE0000"/>
          <w:sz w:val="24"/>
          <w:lang w:eastAsia="en-US"/>
        </w:rPr>
      </w:pPr>
      <w:r>
        <w:rPr/>
        <w:drawing>
          <wp:inline distT="0" distB="0" distL="0" distR="0">
            <wp:extent cx="5602605" cy="3423285"/>
            <wp:effectExtent l="0" t="0" r="0" b="0"/>
            <wp:docPr id="5" name="Picture 2" descr="Diagrama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Diagrama  Descrição gerada automaticamente"/>
                    <pic:cNvPicPr>
                      <a:picLocks noChangeAspect="1" noChangeArrowheads="1"/>
                    </pic:cNvPicPr>
                  </pic:nvPicPr>
                  <pic:blipFill>
                    <a:blip r:embed="rId16"/>
                    <a:stretch>
                      <a:fillRect/>
                    </a:stretch>
                  </pic:blipFill>
                  <pic:spPr bwMode="auto">
                    <a:xfrm>
                      <a:off x="0" y="0"/>
                      <a:ext cx="5602605" cy="3423285"/>
                    </a:xfrm>
                    <a:prstGeom prst="rect">
                      <a:avLst/>
                    </a:prstGeom>
                  </pic:spPr>
                </pic:pic>
              </a:graphicData>
            </a:graphic>
          </wp:inline>
        </w:drawing>
      </w:r>
    </w:p>
    <w:p>
      <w:pPr>
        <w:pStyle w:val="Normal"/>
        <w:suppressAutoHyphens w:val="false"/>
        <w:spacing w:lineRule="auto" w:line="360" w:before="0" w:after="120"/>
        <w:jc w:val="center"/>
        <w:rPr>
          <w:rFonts w:ascii="Times New Roman" w:hAnsi="Times New Roman" w:eastAsia="Times New Roman" w:cs="Times New Roman"/>
          <w:sz w:val="24"/>
          <w:lang w:eastAsia="en-US"/>
        </w:rPr>
      </w:pPr>
      <w:r>
        <w:rPr>
          <w:rFonts w:eastAsia="Times New Roman" w:cs="Times New Roman"/>
          <w:sz w:val="20"/>
          <w:lang w:eastAsia="en-US"/>
        </w:rPr>
        <w:t>Fonte: Elaborado pelo autor na ferramenta VOSviewer (2026).</w:t>
      </w:r>
    </w:p>
    <w:p>
      <w:pPr>
        <w:pStyle w:val="Normal"/>
        <w:suppressAutoHyphens w:val="false"/>
        <w:spacing w:lineRule="auto" w:line="360" w:before="0" w:after="120"/>
        <w:ind w:firstLine="720"/>
        <w:jc w:val="both"/>
        <w:rPr>
          <w:rFonts w:ascii="Times New Roman" w:hAnsi="Times New Roman" w:eastAsia="Times New Roman" w:cs="Times New Roman"/>
          <w:color w:val="EE0000"/>
          <w:sz w:val="24"/>
          <w:lang w:eastAsia="en-US"/>
        </w:rPr>
      </w:pPr>
      <w:r>
        <w:rPr>
          <w:rFonts w:eastAsia="Times New Roman" w:cs="Times New Roman"/>
          <w:sz w:val="24"/>
          <w:lang w:eastAsia="en-US"/>
        </w:rPr>
        <w:t xml:space="preserve">A visualização por sobreposição temporal, apresentada na Figura 3, aponta a aproximação recente das expressões </w:t>
      </w:r>
      <w:r>
        <w:rPr>
          <w:rFonts w:eastAsia="Times New Roman" w:cs="Times New Roman"/>
          <w:i/>
          <w:iCs/>
          <w:sz w:val="24"/>
          <w:lang w:eastAsia="en-US"/>
        </w:rPr>
        <w:t>big data</w:t>
      </w:r>
      <w:r>
        <w:rPr>
          <w:rFonts w:eastAsia="Times New Roman" w:cs="Times New Roman"/>
          <w:sz w:val="24"/>
          <w:lang w:eastAsia="en-US"/>
        </w:rPr>
        <w:t xml:space="preserve">, transformação digital, economia circular e indústria 4.0. Os termos em tonalidade mais clara concentram-se nas publicações mais recentes do retrato, e  que o núcleo formado por </w:t>
      </w:r>
      <w:r>
        <w:rPr>
          <w:rFonts w:eastAsia="Times New Roman" w:cs="Times New Roman"/>
          <w:i/>
          <w:iCs/>
          <w:sz w:val="24"/>
          <w:lang w:eastAsia="en-US"/>
        </w:rPr>
        <w:t xml:space="preserve">lean, framework </w:t>
      </w:r>
      <w:r>
        <w:rPr>
          <w:rFonts w:eastAsia="Times New Roman" w:cs="Times New Roman"/>
          <w:sz w:val="24"/>
          <w:lang w:eastAsia="en-US"/>
        </w:rPr>
        <w:t>e</w:t>
      </w:r>
      <w:r>
        <w:rPr>
          <w:rFonts w:eastAsia="Times New Roman" w:cs="Times New Roman"/>
          <w:i/>
          <w:iCs/>
          <w:sz w:val="24"/>
          <w:lang w:eastAsia="en-US"/>
        </w:rPr>
        <w:t xml:space="preserve"> supply chain management</w:t>
      </w:r>
      <w:r>
        <w:rPr>
          <w:rFonts w:eastAsia="Times New Roman" w:cs="Times New Roman"/>
          <w:sz w:val="24"/>
          <w:lang w:eastAsia="en-US"/>
        </w:rPr>
        <w:t>, em tonalidade mais escura, corresponde à produção anterior, o que evidencia o deslocamento do campo em direção às tecnologias habilitadoras da digitalização e indústria 4.0.</w:t>
      </w:r>
    </w:p>
    <w:p>
      <w:pPr>
        <w:pStyle w:val="Caption"/>
        <w:keepNext w:val="true"/>
        <w:jc w:val="center"/>
        <w:rPr>
          <w:color w:val="auto"/>
        </w:rPr>
      </w:pPr>
      <w:bookmarkStart w:id="74" w:name="_Toc240362125"/>
      <w:r>
        <w:rPr>
          <w:color w:val="auto"/>
        </w:rPr>
        <w:t xml:space="preserve">Figura </w:t>
      </w:r>
      <w:r>
        <w:rPr>
          <w:color w:val="auto"/>
        </w:rPr>
        <w:fldChar w:fldCharType="begin"/>
      </w:r>
      <w:r>
        <w:rPr>
          <w:color w:val="auto"/>
        </w:rPr>
        <w:instrText xml:space="preserve"> SEQ Figura \* ARABIC </w:instrText>
      </w:r>
      <w:r>
        <w:rPr>
          <w:color w:val="auto"/>
        </w:rPr>
        <w:fldChar w:fldCharType="separate"/>
      </w:r>
      <w:r>
        <w:rPr>
          <w:color w:val="auto"/>
        </w:rPr>
        <w:t>4</w:t>
      </w:r>
      <w:r>
        <w:rPr>
          <w:color w:val="auto"/>
        </w:rPr>
        <w:fldChar w:fldCharType="end"/>
      </w:r>
      <w:r>
        <w:rPr>
          <w:color w:val="auto"/>
        </w:rPr>
        <w:t xml:space="preserve"> - Mapa de densidade da coocorrência de palavras-chave no corpus da revisão sistemática</w:t>
      </w:r>
      <w:bookmarkEnd w:id="74"/>
    </w:p>
    <w:p>
      <w:pPr>
        <w:pStyle w:val="Normal"/>
        <w:suppressAutoHyphens w:val="false"/>
        <w:spacing w:lineRule="auto" w:line="360" w:before="0" w:after="120"/>
        <w:jc w:val="center"/>
        <w:rPr>
          <w:rFonts w:ascii="Times New Roman" w:hAnsi="Times New Roman" w:eastAsia="Times New Roman" w:cs="Times New Roman"/>
          <w:color w:val="EE0000"/>
          <w:sz w:val="24"/>
          <w:lang w:eastAsia="en-US"/>
        </w:rPr>
      </w:pPr>
      <w:r>
        <w:rPr/>
        <w:drawing>
          <wp:inline distT="0" distB="0" distL="0" distR="0">
            <wp:extent cx="5362575" cy="3652520"/>
            <wp:effectExtent l="0" t="0" r="0" b="0"/>
            <wp:docPr id="6" name="Picture 3" descr="Padrão do plano de fund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Padrão do plano de fundo  Descrição gerada automaticamente"/>
                    <pic:cNvPicPr>
                      <a:picLocks noChangeAspect="1" noChangeArrowheads="1"/>
                    </pic:cNvPicPr>
                  </pic:nvPicPr>
                  <pic:blipFill>
                    <a:blip r:embed="rId17"/>
                    <a:stretch>
                      <a:fillRect/>
                    </a:stretch>
                  </pic:blipFill>
                  <pic:spPr bwMode="auto">
                    <a:xfrm>
                      <a:off x="0" y="0"/>
                      <a:ext cx="5362575" cy="3652520"/>
                    </a:xfrm>
                    <a:prstGeom prst="rect">
                      <a:avLst/>
                    </a:prstGeom>
                  </pic:spPr>
                </pic:pic>
              </a:graphicData>
            </a:graphic>
          </wp:inline>
        </w:drawing>
      </w:r>
    </w:p>
    <w:p>
      <w:pPr>
        <w:pStyle w:val="Normal"/>
        <w:suppressAutoHyphens w:val="false"/>
        <w:spacing w:lineRule="auto" w:line="360" w:before="0" w:after="120"/>
        <w:jc w:val="center"/>
        <w:rPr>
          <w:rFonts w:ascii="Times New Roman" w:hAnsi="Times New Roman" w:eastAsia="Times New Roman" w:cs="Times New Roman"/>
          <w:sz w:val="24"/>
          <w:lang w:eastAsia="en-US"/>
        </w:rPr>
      </w:pPr>
      <w:r>
        <w:rPr>
          <w:rFonts w:eastAsia="Times New Roman" w:cs="Times New Roman"/>
          <w:sz w:val="20"/>
          <w:lang w:eastAsia="en-US"/>
        </w:rPr>
        <w:t>Fonte: Elaborado pelo autor na ferramenta VOSviewer (2026).</w:t>
      </w:r>
    </w:p>
    <w:p>
      <w:pPr>
        <w:pStyle w:val="Normal"/>
        <w:suppressAutoHyphens w:val="false"/>
        <w:spacing w:lineRule="auto" w:line="360" w:before="0" w:after="120"/>
        <w:ind w:firstLine="720"/>
        <w:jc w:val="both"/>
        <w:rPr>
          <w:rFonts w:ascii="Times New Roman" w:hAnsi="Times New Roman" w:eastAsia="Times New Roman" w:cs="Times New Roman"/>
          <w:sz w:val="24"/>
          <w:lang w:eastAsia="en-US"/>
        </w:rPr>
      </w:pPr>
      <w:r>
        <w:rPr>
          <w:rFonts w:eastAsia="Times New Roman" w:cs="Times New Roman"/>
          <w:sz w:val="24"/>
          <w:lang w:eastAsia="en-US"/>
        </w:rPr>
        <w:t xml:space="preserve">Por sua vez, o mapa de densidade da Figura 4 ratifica  a centralidade de </w:t>
      </w:r>
      <w:r>
        <w:rPr>
          <w:rFonts w:eastAsia="Times New Roman" w:cs="Times New Roman"/>
          <w:i/>
          <w:iCs/>
          <w:sz w:val="24"/>
          <w:lang w:eastAsia="en-US"/>
        </w:rPr>
        <w:t>sustainability, supply chain management</w:t>
      </w:r>
      <w:r>
        <w:rPr>
          <w:rFonts w:eastAsia="Times New Roman" w:cs="Times New Roman"/>
          <w:sz w:val="24"/>
          <w:lang w:eastAsia="en-US"/>
        </w:rPr>
        <w:t xml:space="preserve">, performance e das práticas </w:t>
      </w:r>
      <w:r>
        <w:rPr>
          <w:rFonts w:eastAsia="Times New Roman" w:cs="Times New Roman"/>
          <w:i/>
          <w:iCs/>
          <w:sz w:val="24"/>
          <w:lang w:eastAsia="en-US"/>
        </w:rPr>
        <w:t>Lean</w:t>
      </w:r>
      <w:r>
        <w:rPr>
          <w:rFonts w:eastAsia="Times New Roman" w:cs="Times New Roman"/>
          <w:sz w:val="24"/>
          <w:lang w:eastAsia="en-US"/>
        </w:rPr>
        <w:t xml:space="preserve">, entrano </w:t>
      </w:r>
      <w:r>
        <w:rPr>
          <w:rFonts w:eastAsia="Times New Roman" w:cs="Times New Roman"/>
          <w:i/>
          <w:iCs/>
          <w:sz w:val="24"/>
          <w:lang w:eastAsia="en-US"/>
        </w:rPr>
        <w:t>aquaculture</w:t>
      </w:r>
      <w:r>
        <w:rPr>
          <w:rFonts w:eastAsia="Times New Roman" w:cs="Times New Roman"/>
          <w:sz w:val="24"/>
          <w:lang w:eastAsia="en-US"/>
        </w:rPr>
        <w:t xml:space="preserve"> aparece como tema ainda periférico, situado na borda do mapa e com baixa densidade de coocorrência. Esse achado reforça, por evidência bibliométrica, o espaço que o EVTEAS-Py pode explorar: a transposição, para a piscicultura de pequeno e médio porte, de um repertório analítico consolidado em outros setores produtivos.</w:t>
      </w:r>
    </w:p>
    <w:p>
      <w:pPr>
        <w:pStyle w:val="Heading2"/>
        <w:spacing w:lineRule="auto" w:line="360" w:before="0" w:after="0"/>
        <w:rPr>
          <w:rFonts w:ascii="Times New Roman" w:hAnsi="Times New Roman" w:eastAsia="Times New Roman" w:cs="Times New Roman"/>
          <w:color w:val="EE0000"/>
          <w:sz w:val="24"/>
          <w:szCs w:val="24"/>
        </w:rPr>
      </w:pPr>
      <w:bookmarkStart w:id="75" w:name="_Toc242269289"/>
      <w:bookmarkStart w:id="76" w:name="_Toc242269208"/>
      <w:bookmarkStart w:id="77" w:name="_Toc242269129"/>
      <w:r>
        <w:rPr>
          <w:rFonts w:eastAsia="Times New Roman" w:cs="Times New Roman" w:ascii="Times New Roman" w:hAnsi="Times New Roman"/>
          <w:b/>
          <w:bCs/>
          <w:color w:themeColor="text1" w:val="000000"/>
          <w:sz w:val="28"/>
          <w:szCs w:val="28"/>
        </w:rPr>
        <w:t>2.6 Síntese analítica da RSL</w:t>
      </w:r>
      <w:bookmarkEnd w:id="75"/>
      <w:bookmarkEnd w:id="76"/>
      <w:bookmarkEnd w:id="77"/>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Os resultados e síntese transladam o conhecimento acadêmico com a proposição do novo artefato tecnológico.</w:t>
      </w:r>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160" w:after="0"/>
        <w:jc w:val="both"/>
        <w:rPr>
          <w:rFonts w:ascii="Times New Roman" w:hAnsi="Times New Roman" w:eastAsia="Times New Roman" w:cs="Times New Roman"/>
          <w:color w:themeColor="text1" w:val="000000"/>
          <w:sz w:val="27"/>
          <w:szCs w:val="27"/>
        </w:rPr>
      </w:pPr>
      <w:bookmarkStart w:id="78" w:name="_Toc242269290"/>
      <w:bookmarkStart w:id="79" w:name="_Toc242269209"/>
      <w:bookmarkStart w:id="80" w:name="_Toc242269130"/>
      <w:r>
        <w:rPr>
          <w:rFonts w:eastAsia="Times New Roman" w:cs="Times New Roman"/>
          <w:color w:themeColor="text1" w:val="000000"/>
          <w:sz w:val="27"/>
          <w:szCs w:val="27"/>
        </w:rPr>
        <w:t>2.6.1 Identificações na leitura analítica</w:t>
      </w:r>
      <w:bookmarkEnd w:id="78"/>
      <w:bookmarkEnd w:id="79"/>
      <w:bookmarkEnd w:id="80"/>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No Eixo 1, Li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(2026) demonstram que a aquicultura é a segunda maior fonte difusa de poluição por nutrientes, com a Taxa de Conversão Alimentar (FCR) como principal determinante da carga orgânica, subsídio direto à modelagem do módulo ambiental. Olivares-Aguilar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(2022) articulam a Avaliação de Vulnerabilidade Climática (CVA) à Avaliação de Impactos Cumulativos (CEIA) em sistemas socioecológicos costeiros. Silva Araújo, Keesman e Goddek (2021) propõem </w:t>
      </w:r>
      <w:r>
        <w:rPr>
          <w:rFonts w:eastAsia="Times New Roman" w:cs="Times New Roman"/>
          <w:i/>
          <w:iCs/>
          <w:color w:themeColor="text1" w:val="000000"/>
          <w:sz w:val="24"/>
          <w:szCs w:val="24"/>
        </w:rPr>
        <w:t xml:space="preserve">framework </w:t>
      </w:r>
      <w:r>
        <w:rPr>
          <w:rFonts w:eastAsia="Times New Roman" w:cs="Times New Roman"/>
          <w:color w:themeColor="text1" w:val="000000"/>
          <w:sz w:val="24"/>
          <w:szCs w:val="24"/>
        </w:rPr>
        <w:t xml:space="preserve">hierárquico em seis dimensões (Ambiente PESTLE, Mercado, Cadeia de Valor, Operações, Investimento e Viabilidade Financeira por VPL e </w:t>
      </w:r>
      <w:r>
        <w:rPr>
          <w:rFonts w:eastAsia="Times New Roman" w:cs="Times New Roman"/>
          <w:i/>
          <w:iCs/>
          <w:color w:themeColor="text1" w:val="000000"/>
          <w:sz w:val="24"/>
          <w:szCs w:val="24"/>
        </w:rPr>
        <w:t>payback</w:t>
      </w:r>
      <w:r>
        <w:rPr>
          <w:rFonts w:eastAsia="Times New Roman" w:cs="Times New Roman"/>
          <w:color w:themeColor="text1" w:val="000000"/>
          <w:sz w:val="24"/>
          <w:szCs w:val="24"/>
        </w:rPr>
        <w:t xml:space="preserve">), reportando retorno médio de sete anos. Shitu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(2024) consolidam o aproveitamento de efluentes aquícolas para cultivo algal, com remoção de até 90% de N e 80% de P e recuperação de bioprodutos conectando ecoeficiência à lógica IMTA. </w:t>
      </w:r>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No Eixo 2, Mesquita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(2022) identificam que a relação predominante </w:t>
      </w:r>
      <w:r>
        <w:rPr>
          <w:rFonts w:eastAsia="Times New Roman" w:cs="Times New Roman"/>
          <w:b/>
          <w:bCs/>
          <w:color w:themeColor="text1" w:val="000000"/>
          <w:sz w:val="24"/>
          <w:szCs w:val="24"/>
        </w:rPr>
        <w:t>(29,1%)</w:t>
      </w:r>
      <w:r>
        <w:rPr>
          <w:rFonts w:eastAsia="Times New Roman" w:cs="Times New Roman"/>
          <w:color w:themeColor="text1" w:val="000000"/>
          <w:sz w:val="24"/>
          <w:szCs w:val="24"/>
        </w:rPr>
        <w:t xml:space="preserve"> ocorre entre Indústria 4.0 (</w:t>
      </w:r>
      <w:r>
        <w:rPr>
          <w:rFonts w:eastAsia="Times New Roman" w:cs="Times New Roman"/>
          <w:i/>
          <w:iCs/>
          <w:color w:themeColor="text1" w:val="000000"/>
          <w:sz w:val="24"/>
          <w:szCs w:val="24"/>
        </w:rPr>
        <w:t>Big Data</w:t>
      </w:r>
      <w:r>
        <w:rPr>
          <w:rFonts w:eastAsia="Times New Roman" w:cs="Times New Roman"/>
          <w:color w:themeColor="text1" w:val="000000"/>
          <w:sz w:val="24"/>
          <w:szCs w:val="24"/>
        </w:rPr>
        <w:t xml:space="preserve">, </w:t>
      </w:r>
      <w:r>
        <w:rPr>
          <w:rFonts w:eastAsia="Times New Roman" w:cs="Times New Roman"/>
          <w:i/>
          <w:iCs/>
          <w:color w:themeColor="text1" w:val="000000"/>
          <w:sz w:val="24"/>
          <w:szCs w:val="24"/>
        </w:rPr>
        <w:t>IoT</w:t>
      </w:r>
      <w:r>
        <w:rPr>
          <w:rFonts w:eastAsia="Times New Roman" w:cs="Times New Roman"/>
          <w:color w:themeColor="text1" w:val="000000"/>
          <w:sz w:val="24"/>
          <w:szCs w:val="24"/>
        </w:rPr>
        <w:t xml:space="preserve">) e práticas </w:t>
      </w:r>
      <w:r>
        <w:rPr>
          <w:rFonts w:eastAsia="Times New Roman" w:cs="Times New Roman"/>
          <w:i/>
          <w:iCs/>
          <w:color w:themeColor="text1" w:val="000000"/>
          <w:sz w:val="24"/>
          <w:szCs w:val="24"/>
        </w:rPr>
        <w:t>Lean</w:t>
      </w:r>
      <w:r>
        <w:rPr>
          <w:rFonts w:eastAsia="Times New Roman" w:cs="Times New Roman"/>
          <w:color w:themeColor="text1" w:val="000000"/>
          <w:sz w:val="24"/>
          <w:szCs w:val="24"/>
        </w:rPr>
        <w:t xml:space="preserve">, tendo a sustentabilidade ambiental como objetivo final. Darabad </w:t>
      </w:r>
      <w:r>
        <w:rPr>
          <w:rFonts w:eastAsia="Times New Roman" w:cs="Times New Roman"/>
          <w:i/>
          <w:iCs/>
          <w:color w:themeColor="text1" w:val="000000"/>
          <w:sz w:val="24"/>
          <w:szCs w:val="24"/>
        </w:rPr>
        <w:t>et al</w:t>
      </w:r>
      <w:r>
        <w:rPr>
          <w:rFonts w:eastAsia="Times New Roman" w:cs="Times New Roman"/>
          <w:color w:themeColor="text1" w:val="000000"/>
          <w:sz w:val="24"/>
          <w:szCs w:val="24"/>
        </w:rPr>
        <w:t>. (2025), via programação matemática multiobjetivo bi-nível (</w:t>
      </w:r>
      <w:r>
        <w:rPr>
          <w:rFonts w:eastAsia="Times New Roman" w:cs="Times New Roman"/>
          <w:i/>
          <w:iCs/>
          <w:color w:themeColor="text1" w:val="000000"/>
          <w:sz w:val="24"/>
          <w:szCs w:val="24"/>
        </w:rPr>
        <w:t>LeanVironment-Greenpulse</w:t>
      </w:r>
      <w:r>
        <w:rPr>
          <w:rFonts w:eastAsia="Times New Roman" w:cs="Times New Roman"/>
          <w:color w:themeColor="text1" w:val="000000"/>
          <w:sz w:val="24"/>
          <w:szCs w:val="24"/>
        </w:rPr>
        <w:t xml:space="preserve">), demonstram redução de </w:t>
      </w:r>
      <w:r>
        <w:rPr>
          <w:rFonts w:eastAsia="Times New Roman" w:cs="Times New Roman"/>
          <w:b/>
          <w:bCs/>
          <w:color w:themeColor="text1" w:val="000000"/>
          <w:sz w:val="24"/>
          <w:szCs w:val="24"/>
        </w:rPr>
        <w:t>18%</w:t>
      </w:r>
      <w:r>
        <w:rPr>
          <w:rFonts w:eastAsia="Times New Roman" w:cs="Times New Roman"/>
          <w:color w:themeColor="text1" w:val="000000"/>
          <w:sz w:val="24"/>
          <w:szCs w:val="24"/>
        </w:rPr>
        <w:t xml:space="preserve"> em custos e 23% em </w:t>
      </w:r>
      <w:r>
        <w:rPr>
          <w:rFonts w:eastAsia="Times New Roman" w:cs="Times New Roman"/>
          <w:b/>
          <w:bCs/>
          <w:color w:themeColor="text1" w:val="000000"/>
          <w:sz w:val="24"/>
          <w:szCs w:val="24"/>
        </w:rPr>
        <w:t>CO₂</w:t>
      </w:r>
      <w:r>
        <w:rPr>
          <w:rFonts w:eastAsia="Times New Roman" w:cs="Times New Roman"/>
          <w:color w:themeColor="text1" w:val="000000"/>
          <w:sz w:val="24"/>
          <w:szCs w:val="24"/>
        </w:rPr>
        <w:t xml:space="preserve">, lógica replicável à simulação financeira sob incerteza. Raza e Zhong (2024) integram manufatura aditiva, </w:t>
      </w:r>
      <w:r>
        <w:rPr>
          <w:rFonts w:eastAsia="Times New Roman" w:cs="Times New Roman"/>
          <w:i/>
          <w:iCs/>
          <w:color w:themeColor="text1" w:val="000000"/>
          <w:sz w:val="24"/>
          <w:szCs w:val="24"/>
        </w:rPr>
        <w:t xml:space="preserve">Lean </w:t>
      </w:r>
      <w:r>
        <w:rPr>
          <w:rFonts w:eastAsia="Times New Roman" w:cs="Times New Roman"/>
          <w:color w:themeColor="text1" w:val="000000"/>
          <w:sz w:val="24"/>
          <w:szCs w:val="24"/>
        </w:rPr>
        <w:t xml:space="preserve">e construção verde, evidenciando </w:t>
      </w:r>
      <w:r>
        <w:rPr>
          <w:rFonts w:eastAsia="Times New Roman" w:cs="Times New Roman"/>
          <w:b/>
          <w:bCs/>
          <w:color w:themeColor="text1" w:val="000000"/>
          <w:sz w:val="24"/>
          <w:szCs w:val="24"/>
        </w:rPr>
        <w:t>78%</w:t>
      </w:r>
      <w:r>
        <w:rPr>
          <w:rFonts w:eastAsia="Times New Roman" w:cs="Times New Roman"/>
          <w:color w:themeColor="text1" w:val="000000"/>
          <w:sz w:val="24"/>
          <w:szCs w:val="24"/>
        </w:rPr>
        <w:t xml:space="preserve"> maior eficiência econômica e </w:t>
      </w:r>
      <w:r>
        <w:rPr>
          <w:rFonts w:eastAsia="Times New Roman" w:cs="Times New Roman"/>
          <w:b/>
          <w:bCs/>
          <w:color w:themeColor="text1" w:val="000000"/>
          <w:sz w:val="24"/>
          <w:szCs w:val="24"/>
        </w:rPr>
        <w:t>49%</w:t>
      </w:r>
      <w:r>
        <w:rPr>
          <w:rFonts w:eastAsia="Times New Roman" w:cs="Times New Roman"/>
          <w:color w:themeColor="text1" w:val="000000"/>
          <w:sz w:val="24"/>
          <w:szCs w:val="24"/>
        </w:rPr>
        <w:t xml:space="preserve"> menor emissão de carbono frente a métodos tradicionais e operacionalizando VSM, JIT, 6S, Poka-Yoke, PDCA e Kaizen como ferramentas de arquitetura modular. Queiroz, Alves Junior e Costa Melo (2022), via </w:t>
      </w:r>
      <w:r>
        <w:rPr>
          <w:rFonts w:eastAsia="Times New Roman" w:cs="Times New Roman"/>
          <w:i/>
          <w:iCs/>
          <w:color w:themeColor="text1" w:val="000000"/>
          <w:sz w:val="24"/>
          <w:szCs w:val="24"/>
        </w:rPr>
        <w:t>topic modelling</w:t>
      </w:r>
      <w:r>
        <w:rPr>
          <w:rFonts w:eastAsia="Times New Roman" w:cs="Times New Roman"/>
          <w:color w:themeColor="text1" w:val="000000"/>
          <w:sz w:val="24"/>
          <w:szCs w:val="24"/>
        </w:rPr>
        <w:t xml:space="preserve"> sobre 1.122 manuscritos, identificam a digitalização como habilitadora central de PMEs em </w:t>
      </w:r>
      <w:r>
        <w:rPr>
          <w:rFonts w:eastAsia="Times New Roman" w:cs="Times New Roman"/>
          <w:i/>
          <w:iCs/>
          <w:color w:themeColor="text1" w:val="000000"/>
          <w:sz w:val="24"/>
          <w:szCs w:val="24"/>
        </w:rPr>
        <w:t>Lean-Green</w:t>
      </w:r>
      <w:r>
        <w:rPr>
          <w:rFonts w:eastAsia="Times New Roman" w:cs="Times New Roman"/>
          <w:color w:themeColor="text1" w:val="000000"/>
          <w:sz w:val="24"/>
          <w:szCs w:val="24"/>
        </w:rPr>
        <w:t xml:space="preserve">. Nayal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sistematizam 134 direcionadores e 98 barreiras à adoção de tecnologias habilitadoras em cadeias agrícolas. Kumar (2025), pela Fuzzy ISM, hierarquiza onze atributos da integração CEDWI 4.0 em sete níveis e quatro quadrantes. Mahmood Abd Elkhalik </w:t>
      </w:r>
      <w:r>
        <w:rPr>
          <w:rFonts w:eastAsia="Times New Roman" w:cs="Times New Roman"/>
          <w:i/>
          <w:iCs/>
          <w:color w:themeColor="text1" w:val="000000"/>
          <w:sz w:val="24"/>
          <w:szCs w:val="24"/>
        </w:rPr>
        <w:t>et al</w:t>
      </w:r>
      <w:r>
        <w:rPr>
          <w:rFonts w:eastAsia="Times New Roman" w:cs="Times New Roman"/>
          <w:color w:themeColor="text1" w:val="000000"/>
          <w:sz w:val="24"/>
          <w:szCs w:val="24"/>
        </w:rPr>
        <w:t>. (2026) mapeiam o campo em sete</w:t>
      </w:r>
      <w:r>
        <w:rPr>
          <w:rFonts w:eastAsia="Times New Roman" w:cs="Times New Roman"/>
          <w:i/>
          <w:iCs/>
          <w:color w:themeColor="text1" w:val="000000"/>
          <w:sz w:val="24"/>
          <w:szCs w:val="24"/>
        </w:rPr>
        <w:t xml:space="preserve"> clusters</w:t>
      </w:r>
      <w:r>
        <w:rPr>
          <w:rFonts w:eastAsia="Times New Roman" w:cs="Times New Roman"/>
          <w:color w:themeColor="text1" w:val="000000"/>
          <w:sz w:val="24"/>
          <w:szCs w:val="24"/>
        </w:rPr>
        <w:t xml:space="preserve"> temáticos com a dimensão social sub-representada (apenas 2% dos estudos) e severa ausência da América do Sul. Yadav e Gahlot (2022) propõem </w:t>
      </w:r>
      <w:r>
        <w:rPr>
          <w:rFonts w:eastAsia="Times New Roman" w:cs="Times New Roman"/>
          <w:i/>
          <w:iCs/>
          <w:color w:themeColor="text1" w:val="000000"/>
          <w:sz w:val="24"/>
          <w:szCs w:val="24"/>
        </w:rPr>
        <w:t xml:space="preserve">framework </w:t>
      </w:r>
      <w:r>
        <w:rPr>
          <w:rFonts w:eastAsia="Times New Roman" w:cs="Times New Roman"/>
          <w:color w:themeColor="text1" w:val="000000"/>
          <w:sz w:val="24"/>
          <w:szCs w:val="24"/>
        </w:rPr>
        <w:t xml:space="preserve">GLSS estruturado em DMAIC e validam, por AHP com doze especialistas, onze fatores críticos de sucesso de aderência direta ao perfil de PMEs aquícolas brasileiras. </w:t>
      </w:r>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 </w:t>
      </w:r>
      <w:r>
        <w:rPr>
          <w:rFonts w:eastAsia="Times New Roman" w:cs="Times New Roman"/>
          <w:color w:themeColor="text1" w:val="000000"/>
          <w:sz w:val="24"/>
          <w:szCs w:val="24"/>
        </w:rPr>
        <w:t xml:space="preserve">Dentre os achados sistematizados, destacam-se três pontos de maior relevância para a arquitetura conceitual e operacional 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proposto, a seguir discutidos:</w:t>
      </w:r>
    </w:p>
    <w:p>
      <w:pPr>
        <w:pStyle w:val="ListParagraph"/>
        <w:numPr>
          <w:ilvl w:val="0"/>
          <w:numId w:val="6"/>
        </w:numPr>
        <w:spacing w:lineRule="auto" w:line="360" w:before="0" w:after="0"/>
        <w:ind w:firstLine="708" w:left="720"/>
        <w:contextualSpacing/>
        <w:jc w:val="both"/>
        <w:rPr>
          <w:rFonts w:ascii="Times New Roman" w:hAnsi="Times New Roman" w:eastAsia="Times New Roman" w:cs="Times New Roman"/>
          <w:color w:themeColor="text1" w:val="000000"/>
          <w:sz w:val="24"/>
          <w:szCs w:val="24"/>
        </w:rPr>
      </w:pPr>
      <w:r>
        <w:rPr>
          <w:rFonts w:eastAsia="Times New Roman" w:cs="Times New Roman"/>
          <w:i/>
          <w:iCs/>
          <w:color w:themeColor="text1" w:val="000000"/>
          <w:sz w:val="24"/>
          <w:szCs w:val="24"/>
        </w:rPr>
        <w:t>A Ecoeficiência com tecnicismo adequado:</w:t>
      </w:r>
      <w:r>
        <w:rPr>
          <w:rFonts w:eastAsia="Times New Roman" w:cs="Times New Roman"/>
          <w:color w:themeColor="text1" w:val="000000"/>
          <w:sz w:val="24"/>
          <w:szCs w:val="24"/>
        </w:rPr>
        <w:t xml:space="preserve"> Trabalhos como os de Li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(2026) e Shitu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(2024) apontam que a ineficiência alimentar, medida pela FCR, constitui o principal vetor de desperdício simultâneo na aquicultura. A ração não consumida eleva a DQO e a carga de nitrogênio e fósforo nos efluentes, e Li </w:t>
      </w:r>
      <w:r>
        <w:rPr>
          <w:rFonts w:eastAsia="Times New Roman" w:cs="Times New Roman"/>
          <w:i/>
          <w:iCs/>
          <w:color w:themeColor="text1" w:val="000000"/>
          <w:sz w:val="24"/>
          <w:szCs w:val="24"/>
        </w:rPr>
        <w:t xml:space="preserve">et al. </w:t>
      </w:r>
      <w:r>
        <w:rPr>
          <w:rFonts w:eastAsia="Times New Roman" w:cs="Times New Roman"/>
          <w:color w:themeColor="text1" w:val="000000"/>
          <w:sz w:val="24"/>
          <w:szCs w:val="24"/>
        </w:rPr>
        <w:t xml:space="preserve">(2026) registram reduções de descarga de DQO superiores a 40% quando se substitui ração de baixa eficiência por ração peletizada otimizada. Portanto, a otimização zootécnica configura a manifestação mais pura da sinergia </w:t>
      </w:r>
      <w:r>
        <w:rPr>
          <w:rFonts w:eastAsia="Times New Roman" w:cs="Times New Roman"/>
          <w:i/>
          <w:iCs/>
          <w:color w:themeColor="text1" w:val="000000"/>
          <w:sz w:val="24"/>
          <w:szCs w:val="24"/>
        </w:rPr>
        <w:t>Lean-Green</w:t>
      </w:r>
      <w:r>
        <w:rPr>
          <w:rFonts w:eastAsia="Times New Roman" w:cs="Times New Roman"/>
          <w:color w:themeColor="text1" w:val="000000"/>
          <w:sz w:val="24"/>
          <w:szCs w:val="24"/>
        </w:rPr>
        <w:t xml:space="preserve">: reduzir custos de insumos atua diretamente na redução da carga poluente. Silva Araújo, Keesman e Goddek (2021) validam que a avaliação de negócios em aquicultura exige </w:t>
      </w:r>
      <w:r>
        <w:rPr>
          <w:rFonts w:eastAsia="Times New Roman" w:cs="Times New Roman"/>
          <w:i/>
          <w:iCs/>
          <w:color w:themeColor="text1" w:val="000000"/>
          <w:sz w:val="24"/>
          <w:szCs w:val="24"/>
        </w:rPr>
        <w:t>frameworks</w:t>
      </w:r>
      <w:r>
        <w:rPr>
          <w:rFonts w:eastAsia="Times New Roman" w:cs="Times New Roman"/>
          <w:color w:themeColor="text1" w:val="000000"/>
          <w:sz w:val="24"/>
          <w:szCs w:val="24"/>
        </w:rPr>
        <w:t xml:space="preserve"> que articulem ambiente, mercado e operações e fundamentem a viabilidade em VPL e </w:t>
      </w:r>
      <w:r>
        <w:rPr>
          <w:rFonts w:eastAsia="Times New Roman" w:cs="Times New Roman"/>
          <w:i/>
          <w:iCs/>
          <w:color w:themeColor="text1" w:val="000000"/>
          <w:sz w:val="24"/>
          <w:szCs w:val="24"/>
        </w:rPr>
        <w:t>payback</w:t>
      </w:r>
      <w:r>
        <w:rPr>
          <w:rFonts w:eastAsia="Times New Roman" w:cs="Times New Roman"/>
          <w:color w:themeColor="text1" w:val="000000"/>
          <w:sz w:val="24"/>
          <w:szCs w:val="24"/>
        </w:rPr>
        <w:t xml:space="preserve">, o que reforça a necessidade de incorporar fluxo de caixa, custo de capital e cenários de incerteza ao módulo econômico do EVTEAS-Py. Mahmood Abd Elkhalik </w:t>
      </w:r>
      <w:r>
        <w:rPr>
          <w:rFonts w:eastAsia="Times New Roman" w:cs="Times New Roman"/>
          <w:i/>
          <w:iCs/>
          <w:color w:themeColor="text1" w:val="000000"/>
          <w:sz w:val="24"/>
          <w:szCs w:val="24"/>
        </w:rPr>
        <w:t xml:space="preserve">et al. </w:t>
      </w:r>
      <w:r>
        <w:rPr>
          <w:rFonts w:eastAsia="Times New Roman" w:cs="Times New Roman"/>
          <w:color w:themeColor="text1" w:val="000000"/>
          <w:sz w:val="24"/>
          <w:szCs w:val="24"/>
        </w:rPr>
        <w:t xml:space="preserve">(2026) revisaram de 63 estudos em que ferramentas Lean  cada dimensão do triple bottom line, sendo o MFV  o de maior aderência à dimensão ambiental, </w:t>
      </w:r>
      <w:r>
        <w:rPr>
          <w:rFonts w:eastAsia="Times New Roman" w:cs="Times New Roman"/>
          <w:i/>
          <w:iCs/>
          <w:color w:themeColor="text1" w:val="000000"/>
          <w:sz w:val="24"/>
          <w:szCs w:val="24"/>
        </w:rPr>
        <w:t>Just-in-Time</w:t>
      </w:r>
      <w:r>
        <w:rPr>
          <w:rFonts w:eastAsia="Times New Roman" w:cs="Times New Roman"/>
          <w:color w:themeColor="text1" w:val="000000"/>
          <w:sz w:val="24"/>
          <w:szCs w:val="24"/>
        </w:rPr>
        <w:t xml:space="preserve"> e </w:t>
      </w:r>
      <w:r>
        <w:rPr>
          <w:rFonts w:eastAsia="Times New Roman" w:cs="Times New Roman"/>
          <w:i/>
          <w:iCs/>
          <w:color w:themeColor="text1" w:val="000000"/>
          <w:sz w:val="24"/>
          <w:szCs w:val="24"/>
        </w:rPr>
        <w:t>Total Productive Maintenance</w:t>
      </w:r>
      <w:r>
        <w:rPr>
          <w:rFonts w:eastAsia="Times New Roman" w:cs="Times New Roman"/>
          <w:color w:themeColor="text1" w:val="000000"/>
          <w:sz w:val="24"/>
          <w:szCs w:val="24"/>
        </w:rPr>
        <w:t xml:space="preserve"> à econômica e o 5S à social, e que 57% dos 63 estudos analisados endereçam simultaneamente as três dimensões, o que baliza a parametrização diferenciada e a operacionalização integrada dos módulos do EVTEAS-Py.</w:t>
      </w:r>
    </w:p>
    <w:p>
      <w:pPr>
        <w:pStyle w:val="ListParagraph"/>
        <w:numPr>
          <w:ilvl w:val="0"/>
          <w:numId w:val="6"/>
        </w:numPr>
        <w:spacing w:lineRule="auto" w:line="360" w:before="0" w:after="0"/>
        <w:ind w:firstLine="708" w:left="720"/>
        <w:contextualSpacing/>
        <w:jc w:val="both"/>
        <w:rPr>
          <w:rFonts w:ascii="Times New Roman" w:hAnsi="Times New Roman" w:eastAsia="Times New Roman" w:cs="Times New Roman"/>
          <w:color w:themeColor="text1" w:val="000000"/>
          <w:sz w:val="24"/>
          <w:szCs w:val="24"/>
        </w:rPr>
      </w:pPr>
      <w:r>
        <w:rPr>
          <w:rFonts w:eastAsia="Times New Roman" w:cs="Times New Roman"/>
          <w:i/>
          <w:iCs/>
          <w:color w:themeColor="text1" w:val="000000"/>
          <w:sz w:val="24"/>
          <w:szCs w:val="24"/>
        </w:rPr>
        <w:t>A Digitalização e o Lean-Green</w:t>
      </w:r>
      <w:r>
        <w:rPr>
          <w:rFonts w:eastAsia="Times New Roman" w:cs="Times New Roman"/>
          <w:b/>
          <w:bCs/>
          <w:color w:themeColor="text1" w:val="000000"/>
          <w:sz w:val="24"/>
          <w:szCs w:val="24"/>
        </w:rPr>
        <w:t>:</w:t>
      </w:r>
      <w:r>
        <w:rPr>
          <w:rFonts w:eastAsia="Times New Roman" w:cs="Times New Roman"/>
          <w:color w:themeColor="text1" w:val="000000"/>
          <w:sz w:val="24"/>
          <w:szCs w:val="24"/>
        </w:rPr>
        <w:t xml:space="preserve"> A integração crítica dos artigos de Mesquita </w:t>
      </w:r>
      <w:r>
        <w:rPr>
          <w:rFonts w:eastAsia="Times New Roman" w:cs="Times New Roman"/>
          <w:i/>
          <w:iCs/>
          <w:color w:themeColor="text1" w:val="000000"/>
          <w:sz w:val="24"/>
          <w:szCs w:val="24"/>
        </w:rPr>
        <w:t xml:space="preserve">et al. </w:t>
      </w:r>
      <w:r>
        <w:rPr>
          <w:rFonts w:eastAsia="Times New Roman" w:cs="Times New Roman"/>
          <w:color w:themeColor="text1" w:val="000000"/>
          <w:sz w:val="24"/>
          <w:szCs w:val="24"/>
        </w:rPr>
        <w:t xml:space="preserve">(2022), Queiroz, Alves Junior e Costa Melo (2022) e Kumar (2025) revela que a integração entre </w:t>
      </w:r>
      <w:r>
        <w:rPr>
          <w:rFonts w:eastAsia="Times New Roman" w:cs="Times New Roman"/>
          <w:i/>
          <w:iCs/>
          <w:color w:themeColor="text1" w:val="000000"/>
          <w:sz w:val="24"/>
          <w:szCs w:val="24"/>
        </w:rPr>
        <w:t xml:space="preserve">Lean </w:t>
      </w:r>
      <w:r>
        <w:rPr>
          <w:rFonts w:eastAsia="Times New Roman" w:cs="Times New Roman"/>
          <w:color w:themeColor="text1" w:val="000000"/>
          <w:sz w:val="24"/>
          <w:szCs w:val="24"/>
        </w:rPr>
        <w:t xml:space="preserve">e </w:t>
      </w:r>
      <w:r>
        <w:rPr>
          <w:rFonts w:eastAsia="Times New Roman" w:cs="Times New Roman"/>
          <w:i/>
          <w:iCs/>
          <w:color w:themeColor="text1" w:val="000000"/>
          <w:sz w:val="24"/>
          <w:szCs w:val="24"/>
        </w:rPr>
        <w:t>Green</w:t>
      </w:r>
      <w:r>
        <w:rPr>
          <w:rFonts w:eastAsia="Times New Roman" w:cs="Times New Roman"/>
          <w:color w:themeColor="text1" w:val="000000"/>
          <w:sz w:val="24"/>
          <w:szCs w:val="24"/>
        </w:rPr>
        <w:t xml:space="preserve"> é operacionalmente viável para PMEs, mas tende a ser mais eficaz com técnicas da Indústria 4.0, como IoT, Computação em Nuvem e </w:t>
      </w:r>
      <w:r>
        <w:rPr>
          <w:rFonts w:eastAsia="Times New Roman" w:cs="Times New Roman"/>
          <w:i/>
          <w:iCs/>
          <w:color w:themeColor="text1" w:val="000000"/>
          <w:sz w:val="24"/>
          <w:szCs w:val="24"/>
        </w:rPr>
        <w:t>Big Data</w:t>
      </w:r>
      <w:r>
        <w:rPr>
          <w:rFonts w:eastAsia="Times New Roman" w:cs="Times New Roman"/>
          <w:color w:themeColor="text1" w:val="000000"/>
          <w:sz w:val="24"/>
          <w:szCs w:val="24"/>
        </w:rPr>
        <w:t xml:space="preserve">, que tornam visíveis os desperdícios ambientais. Darabad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e Nayal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mostram que dados em tempo real permitem equalizar custos, prazos e impactos ambientais; Raza e Zhong (2024) oferecem uma arquitetura conceitual integradora replicável; e Yadav e Gahlot (2022) evidenciam a aderência do Green Lean Six Sigma ao porte das pequenas e médias empresas, perfil predominante na piscicultura brasileira. Mesquita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(2022) identificam que as relações mais frequentes ocorrem entre </w:t>
      </w:r>
      <w:r>
        <w:rPr>
          <w:rFonts w:eastAsia="Times New Roman" w:cs="Times New Roman"/>
          <w:i/>
          <w:iCs/>
          <w:color w:themeColor="text1" w:val="000000"/>
          <w:sz w:val="24"/>
          <w:szCs w:val="24"/>
        </w:rPr>
        <w:t>Big Data</w:t>
      </w:r>
      <w:r>
        <w:rPr>
          <w:rFonts w:eastAsia="Times New Roman" w:cs="Times New Roman"/>
          <w:color w:themeColor="text1" w:val="000000"/>
          <w:sz w:val="24"/>
          <w:szCs w:val="24"/>
        </w:rPr>
        <w:t xml:space="preserve">, IoT e informação em tempo real acopladas a práticas </w:t>
      </w:r>
      <w:r>
        <w:rPr>
          <w:rFonts w:eastAsia="Times New Roman" w:cs="Times New Roman"/>
          <w:i/>
          <w:iCs/>
          <w:color w:themeColor="text1" w:val="000000"/>
          <w:sz w:val="24"/>
          <w:szCs w:val="24"/>
        </w:rPr>
        <w:t>Lean</w:t>
      </w:r>
      <w:r>
        <w:rPr>
          <w:rFonts w:eastAsia="Times New Roman" w:cs="Times New Roman"/>
          <w:color w:themeColor="text1" w:val="000000"/>
          <w:sz w:val="24"/>
          <w:szCs w:val="24"/>
        </w:rPr>
        <w:t xml:space="preserve"> específicas, o que orienta quais módulos digitais priorizar no EVTEAS-Py. Kumar (2025), por meio da abordagem Fuzzy-ISM, hierarquiza onze atributos da integração entre economia circular e Indústria 4.0 (CEDWI 4.0) em sete níveis e quatro </w:t>
      </w:r>
      <w:r>
        <w:rPr>
          <w:rFonts w:eastAsia="Times New Roman" w:cs="Times New Roman"/>
          <w:i/>
          <w:iCs/>
          <w:color w:themeColor="text1" w:val="000000"/>
          <w:sz w:val="24"/>
          <w:szCs w:val="24"/>
        </w:rPr>
        <w:t>clusters</w:t>
      </w:r>
      <w:r>
        <w:rPr>
          <w:rFonts w:eastAsia="Times New Roman" w:cs="Times New Roman"/>
          <w:color w:themeColor="text1" w:val="000000"/>
          <w:sz w:val="24"/>
          <w:szCs w:val="24"/>
        </w:rPr>
        <w:t xml:space="preserve">, segundo o poder de direcionamento e de dependência, taxonomia que baliza a aplicação de pesos diferenciados por atributo na parametrização 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em consonância com o procedimento Likert detalhado no capítulo metodológico. O autor articula ainda os pontos de desacoplamento, que na piscicultura podem se traduzir em decisões modeláveis sobre produzir sob demanda ou para estoque, adquirir ração por lote econômico ou em entregas </w:t>
      </w:r>
      <w:r>
        <w:rPr>
          <w:rFonts w:eastAsia="Times New Roman" w:cs="Times New Roman"/>
          <w:i/>
          <w:iCs/>
          <w:color w:themeColor="text1" w:val="000000"/>
          <w:sz w:val="24"/>
          <w:szCs w:val="24"/>
        </w:rPr>
        <w:t>just-in-time</w:t>
      </w:r>
      <w:r>
        <w:rPr>
          <w:rFonts w:eastAsia="Times New Roman" w:cs="Times New Roman"/>
          <w:color w:themeColor="text1" w:val="000000"/>
          <w:sz w:val="24"/>
          <w:szCs w:val="24"/>
        </w:rPr>
        <w:t xml:space="preserve"> e definir o momento da despesca, e propõe o </w:t>
      </w:r>
      <w:r>
        <w:rPr>
          <w:rFonts w:eastAsia="Times New Roman" w:cs="Times New Roman"/>
          <w:i/>
          <w:iCs/>
          <w:color w:themeColor="text1" w:val="000000"/>
          <w:sz w:val="24"/>
          <w:szCs w:val="24"/>
        </w:rPr>
        <w:t>triple-retry</w:t>
      </w:r>
      <w:r>
        <w:rPr>
          <w:rFonts w:eastAsia="Times New Roman" w:cs="Times New Roman"/>
          <w:color w:themeColor="text1" w:val="000000"/>
          <w:sz w:val="24"/>
          <w:szCs w:val="24"/>
        </w:rPr>
        <w:t xml:space="preserve"> (</w:t>
      </w:r>
      <w:r>
        <w:rPr>
          <w:rFonts w:eastAsia="Times New Roman" w:cs="Times New Roman"/>
          <w:i/>
          <w:iCs/>
          <w:color w:themeColor="text1" w:val="000000"/>
          <w:sz w:val="24"/>
          <w:szCs w:val="24"/>
        </w:rPr>
        <w:t>trust, traceability, transparency</w:t>
      </w:r>
      <w:r>
        <w:rPr>
          <w:rFonts w:eastAsia="Times New Roman" w:cs="Times New Roman"/>
          <w:color w:themeColor="text1" w:val="000000"/>
          <w:sz w:val="24"/>
          <w:szCs w:val="24"/>
        </w:rPr>
        <w:t>), que lastreia a incorporação de auditabilidade do código, rastreabilidade de parâmetros e relatórios exportáveis aos s</w:t>
      </w:r>
      <w:r>
        <w:rPr>
          <w:rFonts w:eastAsia="Times New Roman" w:cs="Times New Roman"/>
          <w:i/>
          <w:iCs/>
          <w:color w:themeColor="text1" w:val="000000"/>
          <w:sz w:val="24"/>
          <w:szCs w:val="24"/>
        </w:rPr>
        <w:t>takeholders</w:t>
      </w:r>
      <w:r>
        <w:rPr>
          <w:rFonts w:eastAsia="Times New Roman" w:cs="Times New Roman"/>
          <w:color w:themeColor="text1" w:val="000000"/>
          <w:sz w:val="24"/>
          <w:szCs w:val="24"/>
        </w:rPr>
        <w:t>.</w:t>
      </w:r>
    </w:p>
    <w:p>
      <w:pPr>
        <w:pStyle w:val="ListParagraph"/>
        <w:numPr>
          <w:ilvl w:val="0"/>
          <w:numId w:val="6"/>
        </w:numPr>
        <w:spacing w:lineRule="auto" w:line="360" w:before="0" w:after="0"/>
        <w:ind w:firstLine="513" w:left="567"/>
        <w:contextualSpacing/>
        <w:jc w:val="both"/>
        <w:rPr>
          <w:rFonts w:ascii="Times New Roman" w:hAnsi="Times New Roman" w:eastAsia="Times New Roman" w:cs="Times New Roman"/>
          <w:color w:themeColor="text1" w:val="000000"/>
          <w:sz w:val="24"/>
          <w:szCs w:val="24"/>
        </w:rPr>
      </w:pPr>
      <w:r>
        <w:rPr>
          <w:rFonts w:eastAsia="Times New Roman" w:cs="Times New Roman"/>
          <w:i/>
          <w:iCs/>
          <w:color w:themeColor="text1" w:val="000000"/>
          <w:sz w:val="24"/>
          <w:szCs w:val="24"/>
        </w:rPr>
        <w:t>O paradoxo do Lean e o Desempenho ESG</w:t>
      </w:r>
      <w:r>
        <w:rPr>
          <w:rFonts w:eastAsia="Times New Roman" w:cs="Times New Roman"/>
          <w:b/>
          <w:bCs/>
          <w:color w:themeColor="text1" w:val="000000"/>
          <w:sz w:val="24"/>
          <w:szCs w:val="24"/>
        </w:rPr>
        <w:t>:</w:t>
      </w:r>
      <w:r>
        <w:rPr>
          <w:rFonts w:eastAsia="Times New Roman" w:cs="Times New Roman"/>
          <w:color w:themeColor="text1" w:val="000000"/>
          <w:sz w:val="24"/>
          <w:szCs w:val="24"/>
        </w:rPr>
        <w:t xml:space="preserve"> Wang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constatam que a relação entre </w:t>
      </w:r>
      <w:r>
        <w:rPr>
          <w:rFonts w:eastAsia="Times New Roman" w:cs="Times New Roman"/>
          <w:i/>
          <w:iCs/>
          <w:color w:themeColor="text1" w:val="000000"/>
          <w:sz w:val="24"/>
          <w:szCs w:val="24"/>
        </w:rPr>
        <w:t>Lean</w:t>
      </w:r>
      <w:r>
        <w:rPr>
          <w:rFonts w:eastAsia="Times New Roman" w:cs="Times New Roman"/>
          <w:color w:themeColor="text1" w:val="000000"/>
          <w:sz w:val="24"/>
          <w:szCs w:val="24"/>
        </w:rPr>
        <w:t xml:space="preserve"> e o desempenho ESG obedece a uma curva não linear em formato de "U-invertido", com a concentração de mercado e a transformação digital atuando como moderadores positivos. Ao eliminar toda a folga do sistema, a organização fragiliza sua resiliência frente a choques externos, vulnerabiliza as condições sociais de trabalho e eleva o risco; daí a relevância de um "amortecedor de sustentabilidade" que assegure flexibilidade operacional. Koomson (2026) complementa que a mitigação desse risco exige uma liderança sustentável (SLD) apoiada em Gestão da Qualidade Total (TQM) com foco verde e em comunicação ambientalmente responsável com os </w:t>
      </w:r>
      <w:r>
        <w:rPr>
          <w:rFonts w:eastAsia="Times New Roman" w:cs="Times New Roman"/>
          <w:i/>
          <w:iCs/>
          <w:color w:themeColor="text1" w:val="000000"/>
          <w:sz w:val="24"/>
          <w:szCs w:val="24"/>
        </w:rPr>
        <w:t>stakeholders</w:t>
      </w:r>
      <w:r>
        <w:rPr>
          <w:rFonts w:eastAsia="Times New Roman" w:cs="Times New Roman"/>
          <w:color w:themeColor="text1" w:val="000000"/>
          <w:sz w:val="24"/>
          <w:szCs w:val="24"/>
        </w:rPr>
        <w:t xml:space="preserve">. Nayal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ao identificarem 134 direcionadores, priorizam a melhoria do desempenho, a colaboração entre os atores da cadeia e a transparência informacional, o que ratifica que a eficiência operacional só se converte em ganho de desempenho ESG quando ancorada em governança auditável. Shabur (2024) adverte, ainda, que a Indústria 4.0 riscos ambientais quando aplicada sem políticas de eficiência energética, o que reforça o amortecedor de sustentabilidade como condição de durabilidade da eficiência.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Em complemento, o estudo empírico de Wang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conduzido sobre dados em painel de manufatureiras chinesas (2012–2021, operacionaliza a enxutez de estoque pelo </w:t>
      </w:r>
      <w:r>
        <w:rPr>
          <w:rFonts w:eastAsia="Times New Roman" w:cs="Times New Roman"/>
          <w:i/>
          <w:iCs/>
          <w:color w:themeColor="text1" w:val="000000"/>
          <w:sz w:val="24"/>
          <w:szCs w:val="24"/>
        </w:rPr>
        <w:t xml:space="preserve">Empirical Leanness Indicator </w:t>
      </w:r>
      <w:r>
        <w:rPr>
          <w:rFonts w:eastAsia="Times New Roman" w:cs="Times New Roman"/>
          <w:color w:themeColor="text1" w:val="000000"/>
          <w:sz w:val="24"/>
          <w:szCs w:val="24"/>
        </w:rPr>
        <w:t xml:space="preserve">(ELI), métrica replicável que ajusta a leitura a características setoriais e a economias de escala; e a transformação digital pela frequência de menções a tecnologias digitais) em relatórios anuais corporativos. A fase ascendente da curva expressa a sinergia </w:t>
      </w:r>
      <w:r>
        <w:rPr>
          <w:rFonts w:eastAsia="Times New Roman" w:cs="Times New Roman"/>
          <w:i/>
          <w:iCs/>
          <w:color w:themeColor="text1" w:val="000000"/>
          <w:sz w:val="24"/>
          <w:szCs w:val="24"/>
        </w:rPr>
        <w:t>Lean</w:t>
      </w:r>
      <w:r>
        <w:rPr>
          <w:rFonts w:eastAsia="Times New Roman" w:cs="Times New Roman"/>
          <w:color w:themeColor="text1" w:val="000000"/>
          <w:sz w:val="24"/>
          <w:szCs w:val="24"/>
        </w:rPr>
        <w:t>-ESG bem documentada: a redução de desperdícios produz simultaneamente ganhos ambientais e ganhos de governança. Já; a fase descendente explica-se pela eliminação da folga organizacional, recurso de reserva que confere resiliência frente a choques externos. Na piscicultura, manifestações análogas seriam o esgotamento do estoque de ração antes da próxima entrega, a operação no limite da capacidade de suporte do tanque, com risco de mortalidade em massa diante de falhas de aeração, e a precarização das relações de trabalho com tratadores. Essa fase descendente é atenuada pela concentração de mercado (índice de Lerner) e pela transformação digital, dupla moderação que, no EVTEAS-Py, se traduz em variáveis ajustáveis que calibram o “amortecedor de sustentabilidade” do algoritmo de simulação.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160" w:after="0"/>
        <w:jc w:val="both"/>
        <w:rPr>
          <w:rFonts w:ascii="Times New Roman" w:hAnsi="Times New Roman" w:eastAsia="Times New Roman" w:cs="Times New Roman"/>
          <w:color w:themeColor="text1" w:val="000000"/>
          <w:sz w:val="27"/>
          <w:szCs w:val="27"/>
        </w:rPr>
      </w:pPr>
      <w:bookmarkStart w:id="81" w:name="_Toc242269291"/>
      <w:bookmarkStart w:id="82" w:name="_Toc242269210"/>
      <w:bookmarkStart w:id="83" w:name="_Toc242269131"/>
      <w:r>
        <w:rPr>
          <w:rFonts w:eastAsia="Times New Roman" w:cs="Times New Roman"/>
          <w:color w:themeColor="text1" w:val="000000"/>
          <w:sz w:val="27"/>
          <w:szCs w:val="27"/>
        </w:rPr>
        <w:t>2.6.2 Domínios pouco investigados identificados</w:t>
      </w:r>
      <w:bookmarkEnd w:id="81"/>
      <w:bookmarkEnd w:id="82"/>
      <w:bookmarkEnd w:id="83"/>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identificação crítica do que a literatura não abordou justifica o problema de pesquisa desta dissertação. Ao confrontar os artigos, identificaram-se os seguintes domínios sub-investigados:</w:t>
      </w:r>
    </w:p>
    <w:p>
      <w:pPr>
        <w:pStyle w:val="ListParagraph"/>
        <w:numPr>
          <w:ilvl w:val="0"/>
          <w:numId w:val="7"/>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i/>
          <w:iCs/>
          <w:color w:themeColor="text1" w:val="000000"/>
          <w:sz w:val="24"/>
          <w:szCs w:val="24"/>
        </w:rPr>
        <w:t>A Fragmentação instrumental e a ausência de frameworks unificados:</w:t>
      </w:r>
      <w:r>
        <w:rPr>
          <w:rFonts w:eastAsia="Times New Roman" w:cs="Times New Roman"/>
          <w:color w:themeColor="text1" w:val="000000"/>
          <w:sz w:val="24"/>
          <w:szCs w:val="24"/>
        </w:rPr>
        <w:t xml:space="preserve"> Mahmood Abd Elkhalik et al. (2026) e Olivares-Aguilar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(2022) apontam a carência de ferramentas que consolidem as dimensões técnica, econômica, ambiental e social em ambiente único, diagnóstico reforçado por Li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(2026), ao demonstrarem que a heterogeneidade espacial dos poluentes aquícolas exige instrumentos regionalmente diferenciados. Raza e Zhong (2024), Kumar (2025), Yadav e Gahlot (2022) e Queiroz, Alves Junior e Costa Melo (2022) confirmam que arquiteturas integradoras raramente alcançam operacionalização computacional para PMEs, e Nayal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sistematizam 98 barreiras à adoção de tecnologias habilitadoras, destacando custo, padronização e segurança de dados. A severa ausência de estudos da América do Sul (Mahmood Abd Elkhalik </w:t>
      </w:r>
      <w:r>
        <w:rPr>
          <w:rFonts w:eastAsia="Times New Roman" w:cs="Times New Roman"/>
          <w:i/>
          <w:iCs/>
          <w:color w:themeColor="text1" w:val="000000"/>
          <w:sz w:val="24"/>
          <w:szCs w:val="24"/>
        </w:rPr>
        <w:t>et al.</w:t>
      </w:r>
      <w:r>
        <w:rPr>
          <w:rFonts w:eastAsia="Times New Roman" w:cs="Times New Roman"/>
          <w:color w:themeColor="text1" w:val="000000"/>
          <w:sz w:val="24"/>
          <w:szCs w:val="24"/>
        </w:rPr>
        <w:t>, 2026) confere ao EVTEAS-Py ineditismo temático e geográfico, e o estado da arte caracteriza-se como teoricamente maduro, mas instrumentalmente fragmentado, justificando a opção por arquitetura computacional aberta, integrada, parametrizável e auditável.</w:t>
      </w:r>
    </w:p>
    <w:p>
      <w:pPr>
        <w:pStyle w:val="ListParagraph"/>
        <w:numPr>
          <w:ilvl w:val="0"/>
          <w:numId w:val="7"/>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i/>
          <w:iCs/>
          <w:color w:themeColor="text1" w:val="000000"/>
          <w:sz w:val="24"/>
          <w:szCs w:val="24"/>
        </w:rPr>
        <w:t>A ausência de framework computacional implementado em Python</w:t>
      </w:r>
      <w:r>
        <w:rPr>
          <w:rFonts w:eastAsia="Times New Roman" w:cs="Times New Roman"/>
          <w:color w:themeColor="text1" w:val="000000"/>
          <w:sz w:val="24"/>
          <w:szCs w:val="24"/>
        </w:rPr>
        <w:t xml:space="preserve">: nenhum dos quinze estudos incluídos disponibiliza um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computacional implementado em Python voltado à avaliação de viabilidade na piscicultura. As proposições de Silva Araújo, Keesman e Goddek (2021), Yadav e Gahlot (2022), Raza e Zhong (2024), Darabad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e Kumar (2025) permanecem no plano conceitual, da modelagem de otimização ou da modelagem estrutural interpretativa </w:t>
      </w:r>
      <w:r>
        <w:rPr>
          <w:rFonts w:eastAsia="Times New Roman" w:cs="Times New Roman"/>
          <w:i/>
          <w:iCs/>
          <w:color w:themeColor="text1" w:val="000000"/>
          <w:sz w:val="24"/>
          <w:szCs w:val="24"/>
        </w:rPr>
        <w:t>fuzzy</w:t>
      </w:r>
      <w:r>
        <w:rPr>
          <w:rFonts w:eastAsia="Times New Roman" w:cs="Times New Roman"/>
          <w:color w:themeColor="text1" w:val="000000"/>
          <w:sz w:val="24"/>
          <w:szCs w:val="24"/>
        </w:rPr>
        <w:t xml:space="preserve">, sem se materializarem em </w:t>
      </w:r>
      <w:r>
        <w:rPr>
          <w:rFonts w:eastAsia="Times New Roman" w:cs="Times New Roman"/>
          <w:i/>
          <w:iCs/>
          <w:color w:themeColor="text1" w:val="000000"/>
          <w:sz w:val="24"/>
          <w:szCs w:val="24"/>
        </w:rPr>
        <w:t xml:space="preserve"> framework </w:t>
      </w:r>
      <w:r>
        <w:rPr>
          <w:rFonts w:eastAsia="Times New Roman" w:cs="Times New Roman"/>
          <w:color w:themeColor="text1" w:val="000000"/>
          <w:sz w:val="24"/>
          <w:szCs w:val="24"/>
        </w:rPr>
        <w:t>acessível e reprodutível que integre as quatro dimensões. Como os critérios de elegibilidade não restringiram a forma de operacionalização das contribuições, essa ausência configura achado empírico. Sem um ambiente integrado, a decisão de viabilidade permanece dependente do acoplamento manual de planilhas determinísticas, inventários de ciclo de vida e modelos financeiros isolados, o que eleva os custos de transação, dificulta a auditoria das premissas e interpõe barreira técnica para os pequenos e médios piscicultores, vácuo instrumental que justifica a concepção do EVTEAS-Py sobre linguagens abertas e reprodutíveis como Python.</w:t>
      </w:r>
    </w:p>
    <w:p>
      <w:pPr>
        <w:pStyle w:val="ListParagraph"/>
        <w:numPr>
          <w:ilvl w:val="0"/>
          <w:numId w:val="7"/>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i/>
          <w:iCs/>
          <w:color w:themeColor="text1" w:val="000000"/>
          <w:sz w:val="24"/>
          <w:szCs w:val="24"/>
        </w:rPr>
        <w:t>Negligência identificada da dimensão social (ESG):</w:t>
      </w:r>
      <w:r>
        <w:rPr>
          <w:rFonts w:eastAsia="Times New Roman" w:cs="Times New Roman"/>
          <w:color w:themeColor="text1" w:val="000000"/>
          <w:sz w:val="24"/>
          <w:szCs w:val="24"/>
        </w:rPr>
        <w:t xml:space="preserve"> A dimensão Social é a mais negligenciada na literatura </w:t>
      </w:r>
      <w:r>
        <w:rPr>
          <w:rFonts w:eastAsia="Times New Roman" w:cs="Times New Roman"/>
          <w:i/>
          <w:iCs/>
          <w:color w:themeColor="text1" w:val="000000"/>
          <w:sz w:val="24"/>
          <w:szCs w:val="24"/>
        </w:rPr>
        <w:t>Lean-Green</w:t>
      </w:r>
      <w:r>
        <w:rPr>
          <w:rFonts w:eastAsia="Times New Roman" w:cs="Times New Roman"/>
          <w:color w:themeColor="text1" w:val="000000"/>
          <w:sz w:val="24"/>
          <w:szCs w:val="24"/>
        </w:rPr>
        <w:t xml:space="preserve">: Mahmood Abd Elkhalik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(2026) demonstram que apenas 2% dos 63 estudos a tratam isoladamente, ancorando essa constatação na teoria institucional (DiMaggio; Powell, 1983) e nas capacidades dinâmicas (Teece; Pisano; Shuen, 1997). O alinhamento entre liderança sustentável, TQM verde e marketing verde evidenciado por Koomson (2026) raramente é operacionalizado em </w:t>
      </w:r>
      <w:r>
        <w:rPr>
          <w:rFonts w:eastAsia="Times New Roman" w:cs="Times New Roman"/>
          <w:i/>
          <w:iCs/>
          <w:color w:themeColor="text1" w:val="000000"/>
          <w:sz w:val="24"/>
          <w:szCs w:val="24"/>
        </w:rPr>
        <w:t>frameworks</w:t>
      </w:r>
      <w:r>
        <w:rPr>
          <w:rFonts w:eastAsia="Times New Roman" w:cs="Times New Roman"/>
          <w:color w:themeColor="text1" w:val="000000"/>
          <w:sz w:val="24"/>
          <w:szCs w:val="24"/>
        </w:rPr>
        <w:t xml:space="preserve"> de viabilidade, e Nayal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sintetizam 13 questões abertas, incluindo o papel de IA, ML e Indústria 4.0 no monitoramento social, agenda que aponta para o caráter pioneiro do EVTEAS-Py.</w:t>
      </w:r>
    </w:p>
    <w:p>
      <w:pPr>
        <w:pStyle w:val="ListParagraph"/>
        <w:numPr>
          <w:ilvl w:val="0"/>
          <w:numId w:val="7"/>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i/>
          <w:iCs/>
          <w:color w:themeColor="text1" w:val="000000"/>
          <w:sz w:val="24"/>
          <w:szCs w:val="24"/>
        </w:rPr>
        <w:t xml:space="preserve">A ausência de modelagem dinâmica e estocástica do risco sob escassez de dados: </w:t>
      </w:r>
      <w:r>
        <w:rPr>
          <w:rFonts w:eastAsia="Times New Roman" w:cs="Times New Roman"/>
          <w:color w:themeColor="text1" w:val="000000"/>
          <w:sz w:val="24"/>
          <w:szCs w:val="24"/>
        </w:rPr>
        <w:t xml:space="preserve">embora a literatura necessite modelos estocásticos capazes de captar choques climáticos, sanitários e de mercado (Olivares-Aguilar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2022), a produção de pequena escala recorre a planilhas determinísticas, incapazes de estimar probabilidades de falha sob variação ambiental, erro operacional ou oscilação de preços. A simulação de Monte Carlo incorporada ao EVTEAS-Py pressupõe distribuições de probabilidade cuja estimação exige séries históricas que os pequenos empreendimentos aquícolas raramente mantêm; na ausência de dados locais, o modelador recorre à elicitação de especialistas e a distribuições subjetivas, com risco de falsa precisão. Por isso, a modelagem dinâmica de risco exige protocolos explícitos de calibração e validação, análise de sensibilidade, documentação transparente das premissas e triangulação entre especialistas por escalas Likert, de modo que as saídas probabilísticas 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sejam auditáveis, requisito que o EVTEAS-Py endereça em seu módulo de risco.</w:t>
      </w:r>
    </w:p>
    <w:p>
      <w:pPr>
        <w:pStyle w:val="ListParagraph"/>
        <w:numPr>
          <w:ilvl w:val="0"/>
          <w:numId w:val="7"/>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i/>
          <w:iCs/>
          <w:color w:themeColor="text1" w:val="000000"/>
          <w:sz w:val="24"/>
          <w:szCs w:val="24"/>
        </w:rPr>
        <w:t>A operacionalização computável da dimensão social como ponto de difícil incorporação:</w:t>
      </w:r>
      <w:r>
        <w:rPr>
          <w:rFonts w:eastAsia="Times New Roman" w:cs="Times New Roman"/>
          <w:color w:themeColor="text1" w:val="000000"/>
          <w:sz w:val="24"/>
          <w:szCs w:val="24"/>
        </w:rPr>
        <w:t xml:space="preserve"> entre os componentes de um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integrado de EVTEAS, o social é o que mais resiste à operacionalização computacional. Enquanto os módulos ambiental e econômico se apoiam em equações consolidadas (taxa de conversão alimentar, demanda química de oxigênio e cargas de nitrogênio e fósforo; valor presente líquido, taxa interna de retorno e playback), os arcabouços de divulgação ESG fornecem estrutura de reporte, e não métricas algoritmicamente tratáveis (GRI, 2021, p. 6-8, 13-15; Janowski, 2021). O engajamento comunitário, a licença social para operar e as expectativas dos </w:t>
      </w:r>
      <w:r>
        <w:rPr>
          <w:rFonts w:eastAsia="Times New Roman" w:cs="Times New Roman"/>
          <w:i/>
          <w:iCs/>
          <w:color w:themeColor="text1" w:val="000000"/>
          <w:sz w:val="24"/>
          <w:szCs w:val="24"/>
        </w:rPr>
        <w:t>stakeholders</w:t>
      </w:r>
      <w:r>
        <w:rPr>
          <w:rFonts w:eastAsia="Times New Roman" w:cs="Times New Roman"/>
          <w:color w:themeColor="text1" w:val="000000"/>
          <w:sz w:val="24"/>
          <w:szCs w:val="24"/>
        </w:rPr>
        <w:t xml:space="preserve"> são específicos ao contexto e dependem de dados primários, em parte qualitativos, raramente disponíveis aos pequenos produtores. Calabrese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(2019) recorrem a métodos multicritério </w:t>
      </w:r>
      <w:r>
        <w:rPr>
          <w:rFonts w:eastAsia="Times New Roman" w:cs="Times New Roman"/>
          <w:i/>
          <w:iCs/>
          <w:color w:themeColor="text1" w:val="000000"/>
          <w:sz w:val="24"/>
          <w:szCs w:val="24"/>
        </w:rPr>
        <w:t>fuzzy</w:t>
      </w:r>
      <w:r>
        <w:rPr>
          <w:rFonts w:eastAsia="Times New Roman" w:cs="Times New Roman"/>
          <w:color w:themeColor="text1" w:val="000000"/>
          <w:sz w:val="24"/>
          <w:szCs w:val="24"/>
        </w:rPr>
        <w:t xml:space="preserve"> para tratar essa subjetividade, e os dois estudos do Eixo 3 (Wang </w:t>
      </w:r>
      <w:r>
        <w:rPr>
          <w:rFonts w:eastAsia="Times New Roman" w:cs="Times New Roman"/>
          <w:i/>
          <w:iCs/>
          <w:color w:themeColor="text1" w:val="000000"/>
          <w:sz w:val="24"/>
          <w:szCs w:val="24"/>
        </w:rPr>
        <w:t>et al.</w:t>
      </w:r>
      <w:r>
        <w:rPr>
          <w:rFonts w:eastAsia="Times New Roman" w:cs="Times New Roman"/>
          <w:color w:themeColor="text1" w:val="000000"/>
          <w:sz w:val="24"/>
          <w:szCs w:val="24"/>
        </w:rPr>
        <w:t>, 2025; Koomson, 2026) operacionalizam o risco social e de governança apenas pela gestão de estoques e pelo estilo de liderança, e não por indicadores no nível da fazenda. O EVTEAS-Py propões responder a essa lacuna com protocolos de mensuração, análise de especialistas e triangulação por escalas Likert, esperando-se converter a dimensão social de anexo descritivo em variável de decisão parametrizável.</w:t>
      </w:r>
    </w:p>
    <w:p>
      <w:pPr>
        <w:pStyle w:val="Normal"/>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160" w:after="0"/>
        <w:jc w:val="both"/>
        <w:rPr>
          <w:rFonts w:ascii="Times New Roman" w:hAnsi="Times New Roman" w:eastAsia="Times New Roman" w:cs="Times New Roman"/>
          <w:color w:themeColor="text1" w:val="000000"/>
          <w:sz w:val="27"/>
          <w:szCs w:val="27"/>
        </w:rPr>
      </w:pPr>
      <w:bookmarkStart w:id="84" w:name="_Toc242269292"/>
      <w:bookmarkStart w:id="85" w:name="_Toc242269211"/>
      <w:bookmarkStart w:id="86" w:name="_Toc242269132"/>
      <w:r>
        <w:rPr>
          <w:rFonts w:eastAsia="Times New Roman" w:cs="Times New Roman"/>
          <w:color w:themeColor="text1" w:val="000000"/>
          <w:sz w:val="27"/>
          <w:szCs w:val="27"/>
        </w:rPr>
        <w:t>2.6.3 Condução dos resultados para pesquisa</w:t>
      </w:r>
      <w:bookmarkEnd w:id="84"/>
      <w:bookmarkEnd w:id="85"/>
      <w:bookmarkEnd w:id="86"/>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Os resultados conduzem a pesquisa para o campo da modelagem algorítmica e arquitetural via Design </w:t>
      </w:r>
      <w:r>
        <w:rPr>
          <w:rFonts w:eastAsia="Times New Roman" w:cs="Times New Roman"/>
          <w:i/>
          <w:iCs/>
          <w:color w:themeColor="text1" w:val="000000"/>
          <w:sz w:val="24"/>
          <w:szCs w:val="24"/>
        </w:rPr>
        <w:t>Science Research</w:t>
      </w:r>
      <w:r>
        <w:rPr>
          <w:rFonts w:eastAsia="Times New Roman" w:cs="Times New Roman"/>
          <w:color w:themeColor="text1" w:val="000000"/>
          <w:sz w:val="24"/>
          <w:szCs w:val="24"/>
        </w:rPr>
        <w:t xml:space="preserve"> (DSR). As constatações de que a viabilidade não é mais exclusivamente financeira (Silva Araújo; Keesman; Goddek, 2021; Wang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e de que o </w:t>
      </w:r>
      <w:r>
        <w:rPr>
          <w:rFonts w:eastAsia="Times New Roman" w:cs="Times New Roman"/>
          <w:i/>
          <w:iCs/>
          <w:color w:themeColor="text1" w:val="000000"/>
          <w:sz w:val="24"/>
          <w:szCs w:val="24"/>
        </w:rPr>
        <w:t>Lean</w:t>
      </w:r>
      <w:r>
        <w:rPr>
          <w:rFonts w:eastAsia="Times New Roman" w:cs="Times New Roman"/>
          <w:color w:themeColor="text1" w:val="000000"/>
          <w:sz w:val="24"/>
          <w:szCs w:val="24"/>
        </w:rPr>
        <w:t xml:space="preserve"> excessivo pode colapsar a operação, Efeito “U-invertido” demonstrado por Wang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evidenciam as limitações de planilhas tabulares simplificadas. O volume de </w:t>
      </w:r>
      <w:r>
        <w:rPr>
          <w:rFonts w:eastAsia="Times New Roman" w:cs="Times New Roman"/>
          <w:i/>
          <w:iCs/>
          <w:color w:themeColor="text1" w:val="000000"/>
          <w:sz w:val="24"/>
          <w:szCs w:val="24"/>
        </w:rPr>
        <w:t>trade-offs</w:t>
      </w:r>
      <w:r>
        <w:rPr>
          <w:rFonts w:eastAsia="Times New Roman" w:cs="Times New Roman"/>
          <w:color w:themeColor="text1" w:val="000000"/>
          <w:sz w:val="24"/>
          <w:szCs w:val="24"/>
        </w:rPr>
        <w:t xml:space="preserve"> entre FCR, oxigênio, emissões e margens de caixa, mapeados por Li </w:t>
      </w:r>
      <w:r>
        <w:rPr>
          <w:rFonts w:eastAsia="Times New Roman" w:cs="Times New Roman"/>
          <w:i/>
          <w:iCs/>
          <w:color w:themeColor="text1" w:val="000000"/>
          <w:sz w:val="24"/>
          <w:szCs w:val="24"/>
        </w:rPr>
        <w:t xml:space="preserve">et al. </w:t>
      </w:r>
      <w:r>
        <w:rPr>
          <w:rFonts w:eastAsia="Times New Roman" w:cs="Times New Roman"/>
          <w:color w:themeColor="text1" w:val="000000"/>
          <w:sz w:val="24"/>
          <w:szCs w:val="24"/>
        </w:rPr>
        <w:t>(2026), Mesquita et al. (2022) e Raza e Zhong (2024), exige capacidade computacional.</w:t>
      </w:r>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Os achados convergentes de Silva Araújo, Keesman e Goddek (2021), Kumar (2025), Raza e Zhong (2024) e Yadav e Gahlot (2022) reforçam que </w:t>
      </w:r>
      <w:r>
        <w:rPr>
          <w:rFonts w:eastAsia="Times New Roman" w:cs="Times New Roman"/>
          <w:i/>
          <w:iCs/>
          <w:color w:themeColor="text1" w:val="000000"/>
          <w:sz w:val="24"/>
          <w:szCs w:val="24"/>
        </w:rPr>
        <w:t>frameworks</w:t>
      </w:r>
      <w:r>
        <w:rPr>
          <w:rFonts w:eastAsia="Times New Roman" w:cs="Times New Roman"/>
          <w:color w:themeColor="text1" w:val="000000"/>
          <w:sz w:val="24"/>
          <w:szCs w:val="24"/>
        </w:rPr>
        <w:t xml:space="preserve"> integradores são tecnicamente viáveis, mas dependem de operacionalização computacional para serem assimilados por PMEs aquícolas, sendo a digitalização a via privilegiada para que o </w:t>
      </w:r>
      <w:r>
        <w:rPr>
          <w:rFonts w:eastAsia="Times New Roman" w:cs="Times New Roman"/>
          <w:i/>
          <w:iCs/>
          <w:color w:themeColor="text1" w:val="000000"/>
          <w:sz w:val="24"/>
          <w:szCs w:val="24"/>
        </w:rPr>
        <w:t>Lean-Green</w:t>
      </w:r>
      <w:r>
        <w:rPr>
          <w:rFonts w:eastAsia="Times New Roman" w:cs="Times New Roman"/>
          <w:color w:themeColor="text1" w:val="000000"/>
          <w:sz w:val="24"/>
          <w:szCs w:val="24"/>
        </w:rPr>
        <w:t xml:space="preserve"> se torne aplicável na rotina decisória do empreendedor (Mesquita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2022; Queiroz; Alves Junior; Costa Melo, 2022; Nayal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Darabad </w:t>
      </w:r>
      <w:r>
        <w:rPr>
          <w:rFonts w:eastAsia="Times New Roman" w:cs="Times New Roman"/>
          <w:i/>
          <w:iCs/>
          <w:color w:themeColor="text1" w:val="000000"/>
          <w:sz w:val="24"/>
          <w:szCs w:val="24"/>
        </w:rPr>
        <w:t>et al</w:t>
      </w:r>
      <w:r>
        <w:rPr>
          <w:rFonts w:eastAsia="Times New Roman" w:cs="Times New Roman"/>
          <w:color w:themeColor="text1" w:val="000000"/>
          <w:sz w:val="24"/>
          <w:szCs w:val="24"/>
        </w:rPr>
        <w:t>., 2025).</w:t>
      </w:r>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Como nenhum modelo unificado para o contexto aquícola brasileiro foi identificado na p pesquisa, o</w:t>
      </w:r>
      <w:r>
        <w:rPr>
          <w:rFonts w:eastAsia="Times New Roman" w:cs="Times New Roman"/>
          <w:i/>
          <w:iCs/>
          <w:color w:themeColor="text1" w:val="000000"/>
          <w:sz w:val="24"/>
          <w:szCs w:val="24"/>
        </w:rPr>
        <w:t xml:space="preserve"> framework </w:t>
      </w:r>
      <w:r>
        <w:rPr>
          <w:rFonts w:eastAsia="Times New Roman" w:cs="Times New Roman"/>
          <w:color w:themeColor="text1" w:val="000000"/>
          <w:sz w:val="24"/>
          <w:szCs w:val="24"/>
        </w:rPr>
        <w:t xml:space="preserve">deve ser construído como artefato original sob o rigor da </w:t>
      </w:r>
      <w:r>
        <w:rPr>
          <w:rFonts w:eastAsia="Times New Roman" w:cs="Times New Roman"/>
          <w:i/>
          <w:iCs/>
          <w:color w:themeColor="text1" w:val="000000"/>
          <w:sz w:val="24"/>
          <w:szCs w:val="24"/>
        </w:rPr>
        <w:t>Design Science Research</w:t>
      </w:r>
      <w:r>
        <w:rPr>
          <w:rFonts w:eastAsia="Times New Roman" w:cs="Times New Roman"/>
          <w:color w:themeColor="text1" w:val="000000"/>
          <w:sz w:val="24"/>
          <w:szCs w:val="24"/>
        </w:rPr>
        <w:t>, justificando o uso de Python, bibliotecas de Data Science (</w:t>
      </w:r>
      <w:r>
        <w:rPr>
          <w:rFonts w:eastAsia="Times New Roman" w:cs="Times New Roman"/>
          <w:i/>
          <w:iCs/>
          <w:color w:themeColor="text1" w:val="000000"/>
          <w:sz w:val="24"/>
          <w:szCs w:val="24"/>
        </w:rPr>
        <w:t>NumPy, Pandas</w:t>
      </w:r>
      <w:r>
        <w:rPr>
          <w:rFonts w:eastAsia="Times New Roman" w:cs="Times New Roman"/>
          <w:color w:themeColor="text1" w:val="000000"/>
          <w:sz w:val="24"/>
          <w:szCs w:val="24"/>
        </w:rPr>
        <w:t xml:space="preserve">), como via capaz de processar múltiplas dimensões operacionais e gerar </w:t>
      </w:r>
      <w:r>
        <w:rPr>
          <w:rFonts w:eastAsia="Times New Roman" w:cs="Times New Roman"/>
          <w:i/>
          <w:iCs/>
          <w:color w:themeColor="text1" w:val="000000"/>
          <w:sz w:val="24"/>
          <w:szCs w:val="24"/>
        </w:rPr>
        <w:t>dashboards</w:t>
      </w:r>
      <w:r>
        <w:rPr>
          <w:rFonts w:eastAsia="Times New Roman" w:cs="Times New Roman"/>
          <w:color w:themeColor="text1" w:val="000000"/>
          <w:sz w:val="24"/>
          <w:szCs w:val="24"/>
        </w:rPr>
        <w:t xml:space="preserve"> integrados de KPIs.</w:t>
      </w:r>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Em síntese, os achados convergem para uma agenda nítida: a construção de instrumentos computacionais de viabilidade que vinculem indicadores técnicos, econômicos, ambientais e sociais em um único ambiente de apoio à decisão, capazes de executar simulações estocásticas, de operacionalizar a dimensão social mediante indicadores quantificáveis e de serem acessíveis a pequenos e médios piscicultores. Decisivamente, o achado do U-invertido de Wang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implica que esses </w:t>
      </w:r>
      <w:r>
        <w:rPr>
          <w:rFonts w:eastAsia="Times New Roman" w:cs="Times New Roman"/>
          <w:i/>
          <w:iCs/>
          <w:color w:themeColor="text1" w:val="000000"/>
          <w:sz w:val="24"/>
          <w:szCs w:val="24"/>
        </w:rPr>
        <w:t>frameworks</w:t>
      </w:r>
      <w:r>
        <w:rPr>
          <w:rFonts w:eastAsia="Times New Roman" w:cs="Times New Roman"/>
          <w:color w:themeColor="text1" w:val="000000"/>
          <w:sz w:val="24"/>
          <w:szCs w:val="24"/>
        </w:rPr>
        <w:t xml:space="preserve"> não devem ser projetados como maximizadores de eficiência: hão de incorporar limiares explícitos para além dos quais a redução adicional da folga operacional dispara alertas de deterioração ESG, princípio que o EVTEAS-Py operacionaliza no seu amortecedor de sustentabilidade.</w:t>
      </w:r>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160" w:after="0"/>
        <w:jc w:val="both"/>
        <w:rPr>
          <w:rFonts w:ascii="Times New Roman" w:hAnsi="Times New Roman" w:eastAsia="Times New Roman" w:cs="Times New Roman"/>
          <w:color w:themeColor="text1" w:val="000000"/>
          <w:sz w:val="27"/>
          <w:szCs w:val="27"/>
        </w:rPr>
      </w:pPr>
      <w:bookmarkStart w:id="87" w:name="_Toc242269293"/>
      <w:bookmarkStart w:id="88" w:name="_Toc242269212"/>
      <w:bookmarkStart w:id="89" w:name="_Toc242269133"/>
      <w:r>
        <w:rPr>
          <w:rFonts w:eastAsia="Times New Roman" w:cs="Times New Roman"/>
          <w:color w:themeColor="text1" w:val="000000"/>
          <w:sz w:val="27"/>
          <w:szCs w:val="27"/>
        </w:rPr>
        <w:t>2.6.4 Contribuição da RSL para a revisão teórica</w:t>
      </w:r>
      <w:bookmarkEnd w:id="87"/>
      <w:bookmarkEnd w:id="88"/>
      <w:bookmarkEnd w:id="89"/>
    </w:p>
    <w:p>
      <w:pPr>
        <w:pStyle w:val="Normal"/>
        <w:spacing w:lineRule="auto" w:line="360" w:before="0" w:after="0"/>
        <w:ind w:firstLine="720"/>
        <w:jc w:val="both"/>
        <w:rPr>
          <w:rFonts w:ascii="Times New Roman" w:hAnsi="Times New Roman" w:eastAsia="Times New Roman" w:cs="Times New Roman"/>
          <w:color w:themeColor="text1" w:val="000000"/>
          <w:sz w:val="24"/>
          <w:szCs w:val="24"/>
          <w:highlight w:val="yellow"/>
        </w:rPr>
      </w:pPr>
      <w:r>
        <w:rPr>
          <w:rFonts w:eastAsia="Times New Roman" w:cs="Times New Roman"/>
          <w:color w:themeColor="text1" w:val="000000"/>
          <w:sz w:val="24"/>
          <w:szCs w:val="24"/>
        </w:rPr>
        <w:t xml:space="preserve">Shitu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(2024) documentam que apenas 20–30% da ração fornecida é efetivamente absorvida pelos peixes, sendo os 70–80% restantes lançados ao ambiente como amônia, nitrato e matéria orgânica configurando, sob a ótica </w:t>
      </w:r>
      <w:r>
        <w:rPr>
          <w:rFonts w:eastAsia="Times New Roman" w:cs="Times New Roman"/>
          <w:i/>
          <w:iCs/>
          <w:color w:themeColor="text1" w:val="000000"/>
          <w:sz w:val="24"/>
          <w:szCs w:val="24"/>
        </w:rPr>
        <w:t>Lean-Green</w:t>
      </w:r>
      <w:r>
        <w:rPr>
          <w:rFonts w:eastAsia="Times New Roman" w:cs="Times New Roman"/>
          <w:color w:themeColor="text1" w:val="000000"/>
          <w:sz w:val="24"/>
          <w:szCs w:val="24"/>
        </w:rPr>
        <w:t xml:space="preserve">, o maior vetor de desperdício simultâneo da piscicultura. Esses efluentes podem ser reaproveitados no cultivo de microalgas, convertendo o resíduo em biomassa para </w:t>
      </w:r>
      <w:r>
        <w:rPr>
          <w:rFonts w:eastAsia="Times New Roman" w:cs="Times New Roman"/>
          <w:i/>
          <w:iCs/>
          <w:color w:themeColor="text1" w:val="000000"/>
          <w:sz w:val="24"/>
          <w:szCs w:val="24"/>
        </w:rPr>
        <w:t xml:space="preserve">aquafeed </w:t>
      </w:r>
      <w:r>
        <w:rPr>
          <w:rFonts w:eastAsia="Times New Roman" w:cs="Times New Roman"/>
          <w:color w:themeColor="text1" w:val="000000"/>
          <w:sz w:val="24"/>
          <w:szCs w:val="24"/>
        </w:rPr>
        <w:t xml:space="preserve">e biofertilizantes,  de que eliminar o </w:t>
      </w:r>
      <w:r>
        <w:rPr>
          <w:rFonts w:eastAsia="Times New Roman" w:cs="Times New Roman"/>
          <w:i/>
          <w:iCs/>
          <w:color w:themeColor="text1" w:val="000000"/>
          <w:sz w:val="24"/>
          <w:szCs w:val="24"/>
        </w:rPr>
        <w:t xml:space="preserve">desperdício </w:t>
      </w:r>
      <w:r>
        <w:rPr>
          <w:rFonts w:eastAsia="Times New Roman" w:cs="Times New Roman"/>
          <w:color w:themeColor="text1" w:val="000000"/>
          <w:sz w:val="24"/>
          <w:szCs w:val="24"/>
        </w:rPr>
        <w:t xml:space="preserve">ambiental pode gerar retorno econômico mensurável, variável que o EVTEAS-Py pode incorporar no módulo ambiental. </w:t>
      </w:r>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Shitu </w:t>
      </w:r>
      <w:r>
        <w:rPr>
          <w:rFonts w:eastAsia="Times New Roman" w:cs="Times New Roman"/>
          <w:i/>
          <w:iCs/>
          <w:color w:themeColor="text1" w:val="000000"/>
          <w:sz w:val="24"/>
          <w:szCs w:val="24"/>
        </w:rPr>
        <w:t>et al</w:t>
      </w:r>
      <w:r>
        <w:rPr>
          <w:rFonts w:eastAsia="Times New Roman" w:cs="Times New Roman"/>
          <w:color w:themeColor="text1" w:val="000000"/>
          <w:sz w:val="24"/>
          <w:szCs w:val="24"/>
        </w:rPr>
        <w:t>. (2024) apontam que o efluente aquícola não tratado constitui um vetor relevante de degradação ambiental, em razão da presença de nutrientes, sólidos, microrganismos e resíduos químicos oriundos do manejo alimentar, do metabolismo dos organismos cultivados e do uso de insumos terapêuticos. Quando descartados diretamente, podem desencadear eutrofização, redução do oxigênio dissolvido, mortandade de peixes e efeitos adversos à saúde humana. A Figura 5 apresenta de forma sintética esse fluxo de geração e impacto.</w:t>
      </w:r>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Caption"/>
        <w:keepNext w:val="true"/>
        <w:spacing w:lineRule="auto" w:line="360" w:before="0" w:after="0"/>
        <w:jc w:val="center"/>
        <w:rPr>
          <w:rFonts w:ascii="Calibri" w:hAnsi="Calibri" w:cs="Calibri"/>
          <w:color w:val="auto"/>
          <w:sz w:val="20"/>
          <w:szCs w:val="20"/>
        </w:rPr>
      </w:pPr>
      <w:bookmarkStart w:id="90" w:name="_Toc240362126"/>
      <w:bookmarkStart w:id="91" w:name="_Toc231132091"/>
      <w:r>
        <w:rPr>
          <w:rFonts w:cs="Calibri" w:ascii="Calibri" w:hAnsi="Calibri"/>
          <w:color w:val="auto"/>
          <w:sz w:val="20"/>
          <w:szCs w:val="20"/>
        </w:rPr>
        <w:t xml:space="preserve">Figura </w:t>
      </w:r>
      <w:r>
        <w:rPr>
          <w:rFonts w:cs="Calibri" w:ascii="Calibri" w:hAnsi="Calibri"/>
          <w:color w:val="auto"/>
          <w:sz w:val="20"/>
          <w:szCs w:val="20"/>
        </w:rPr>
        <w:fldChar w:fldCharType="begin"/>
      </w:r>
      <w:r>
        <w:rPr>
          <w:sz w:val="20"/>
          <w:szCs w:val="20"/>
          <w:rFonts w:cs="Calibri" w:ascii="Calibri" w:hAnsi="Calibri"/>
          <w:color w:val="auto"/>
        </w:rPr>
        <w:instrText xml:space="preserve"> SEQ Figura \* ARABIC </w:instrText>
      </w:r>
      <w:r>
        <w:rPr>
          <w:sz w:val="20"/>
          <w:szCs w:val="20"/>
          <w:rFonts w:cs="Calibri" w:ascii="Calibri" w:hAnsi="Calibri"/>
          <w:color w:val="auto"/>
        </w:rPr>
        <w:fldChar w:fldCharType="separate"/>
      </w:r>
      <w:r>
        <w:rPr>
          <w:sz w:val="20"/>
          <w:szCs w:val="20"/>
          <w:rFonts w:cs="Calibri" w:ascii="Calibri" w:hAnsi="Calibri"/>
          <w:color w:val="auto"/>
        </w:rPr>
        <w:t>5</w:t>
      </w:r>
      <w:r>
        <w:rPr>
          <w:sz w:val="20"/>
          <w:szCs w:val="20"/>
          <w:rFonts w:cs="Calibri" w:ascii="Calibri" w:hAnsi="Calibri"/>
          <w:color w:val="auto"/>
        </w:rPr>
        <w:fldChar w:fldCharType="end"/>
      </w:r>
      <w:r>
        <w:rPr>
          <w:rFonts w:cs="Calibri" w:ascii="Calibri" w:hAnsi="Calibri"/>
          <w:color w:val="auto"/>
          <w:sz w:val="20"/>
          <w:szCs w:val="20"/>
        </w:rPr>
        <w:t xml:space="preserve"> - Impacto do efluente não tratado da aquicultura no meio ambiente e nos seres humanos</w:t>
      </w:r>
      <w:bookmarkEnd w:id="90"/>
      <w:bookmarkEnd w:id="91"/>
    </w:p>
    <w:p>
      <w:pPr>
        <w:pStyle w:val="Normal"/>
        <w:spacing w:lineRule="auto" w:line="360" w:before="0" w:after="0"/>
        <w:ind w:hanging="993"/>
        <w:jc w:val="center"/>
        <w:rPr>
          <w:rFonts w:ascii="Times New Roman" w:hAnsi="Times New Roman" w:eastAsia="Times New Roman" w:cs="Times New Roman"/>
          <w:color w:themeColor="text1" w:val="000000"/>
          <w:sz w:val="24"/>
          <w:szCs w:val="24"/>
          <w:highlight w:val="yellow"/>
        </w:rPr>
      </w:pPr>
      <w:r>
        <w:rPr/>
        <w:drawing>
          <wp:inline distT="0" distB="0" distL="0" distR="0">
            <wp:extent cx="5886450" cy="3128645"/>
            <wp:effectExtent l="0" t="0" r="0" b="0"/>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18"/>
                    <a:stretch>
                      <a:fillRect/>
                    </a:stretch>
                  </pic:blipFill>
                  <pic:spPr bwMode="auto">
                    <a:xfrm>
                      <a:off x="0" y="0"/>
                      <a:ext cx="5886450" cy="3128645"/>
                    </a:xfrm>
                    <a:prstGeom prst="rect">
                      <a:avLst/>
                    </a:prstGeom>
                  </pic:spPr>
                </pic:pic>
              </a:graphicData>
            </a:graphic>
          </wp:inline>
        </w:drawing>
      </w:r>
    </w:p>
    <w:p>
      <w:pPr>
        <w:pStyle w:val="Normal"/>
        <w:spacing w:lineRule="auto" w:line="360" w:before="0" w:after="0"/>
        <w:jc w:val="center"/>
        <w:rPr>
          <w:rFonts w:ascii="Times New Roman" w:hAnsi="Times New Roman" w:eastAsia="Times New Roman" w:cs="Times New Roman"/>
          <w:color w:themeColor="text1" w:val="000000"/>
          <w:sz w:val="20"/>
          <w:szCs w:val="20"/>
        </w:rPr>
      </w:pPr>
      <w:r>
        <w:rPr>
          <w:rFonts w:eastAsia="Times New Roman" w:cs="Times New Roman"/>
          <w:color w:themeColor="text1" w:val="000000"/>
          <w:sz w:val="20"/>
          <w:szCs w:val="20"/>
        </w:rPr>
        <w:t xml:space="preserve">Fonte: Adaptado de </w:t>
      </w:r>
      <w:r>
        <w:rPr>
          <w:rFonts w:eastAsia="Times New Roman" w:cs="Times New Roman"/>
          <w:i/>
          <w:iCs/>
          <w:color w:themeColor="text1" w:val="000000"/>
          <w:sz w:val="20"/>
          <w:szCs w:val="20"/>
        </w:rPr>
        <w:t>Emmanuel et al. (2024 apud Shitu et al., 2024).</w:t>
      </w:r>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 uso de microalgas em RAS destaca se por realizar a remoção de nutrientes do efluente, o tratamento da água e a geração de biomassa com potencial de reaproveitamento econômico, com o uso de ingredientes em rações. </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Figura 6 sintetiza os principais eixos que compõem essa aplicação, ao abranger desde o impacto ambiental dos efluentes aquícolas até as estratégias de valorização de subprodutos.</w:t>
      </w:r>
    </w:p>
    <w:p>
      <w:pPr>
        <w:pStyle w:val="Caption"/>
        <w:keepNext w:val="true"/>
        <w:spacing w:lineRule="auto" w:line="360" w:before="0" w:after="0"/>
        <w:jc w:val="center"/>
        <w:rPr>
          <w:rFonts w:ascii="Calibri" w:hAnsi="Calibri" w:cs="Calibri"/>
          <w:i w:val="false"/>
          <w:i w:val="false"/>
          <w:iCs w:val="false"/>
          <w:color w:themeColor="text1" w:val="000000"/>
          <w:sz w:val="20"/>
          <w:szCs w:val="20"/>
        </w:rPr>
      </w:pPr>
      <w:bookmarkStart w:id="92" w:name="_Toc240362127"/>
      <w:bookmarkStart w:id="93" w:name="_Toc231132092"/>
      <w:r>
        <w:rPr>
          <w:rFonts w:cs="Calibri" w:ascii="Calibri" w:hAnsi="Calibri"/>
          <w:i w:val="false"/>
          <w:iCs w:val="false"/>
          <w:color w:themeColor="text1" w:val="000000"/>
          <w:sz w:val="20"/>
          <w:szCs w:val="20"/>
        </w:rPr>
        <w:t xml:space="preserve">Figura </w:t>
      </w:r>
      <w:r>
        <w:rPr>
          <w:rFonts w:cs="Calibri" w:ascii="Calibri" w:hAnsi="Calibri"/>
          <w:i w:val="false"/>
          <w:iCs w:val="false"/>
          <w:color w:themeColor="text1" w:val="000000"/>
          <w:sz w:val="20"/>
          <w:szCs w:val="20"/>
        </w:rPr>
        <w:fldChar w:fldCharType="begin"/>
      </w:r>
      <w:r>
        <w:rPr>
          <w:sz w:val="20"/>
          <w:i w:val="false"/>
          <w:szCs w:val="20"/>
          <w:iCs w:val="false"/>
          <w:rFonts w:cs="Calibri" w:ascii="Calibri" w:hAnsi="Calibri"/>
          <w:color w:themeColor="text1" w:val="000000"/>
        </w:rPr>
        <w:instrText xml:space="preserve"> SEQ Figura \* ARABIC </w:instrText>
      </w:r>
      <w:r>
        <w:rPr>
          <w:sz w:val="20"/>
          <w:i w:val="false"/>
          <w:szCs w:val="20"/>
          <w:iCs w:val="false"/>
          <w:rFonts w:cs="Calibri" w:ascii="Calibri" w:hAnsi="Calibri"/>
          <w:color w:themeColor="text1" w:val="000000"/>
        </w:rPr>
        <w:fldChar w:fldCharType="separate"/>
      </w:r>
      <w:r>
        <w:rPr>
          <w:sz w:val="20"/>
          <w:i w:val="false"/>
          <w:szCs w:val="20"/>
          <w:iCs w:val="false"/>
          <w:rFonts w:cs="Calibri" w:ascii="Calibri" w:hAnsi="Calibri"/>
          <w:color w:themeColor="text1" w:val="000000"/>
        </w:rPr>
        <w:t>6</w:t>
      </w:r>
      <w:r>
        <w:rPr>
          <w:sz w:val="20"/>
          <w:i w:val="false"/>
          <w:szCs w:val="20"/>
          <w:iCs w:val="false"/>
          <w:rFonts w:cs="Calibri" w:ascii="Calibri" w:hAnsi="Calibri"/>
          <w:color w:themeColor="text1" w:val="000000"/>
        </w:rPr>
        <w:fldChar w:fldCharType="end"/>
      </w:r>
      <w:r>
        <w:rPr>
          <w:rFonts w:cs="Calibri" w:ascii="Calibri" w:hAnsi="Calibri"/>
          <w:i w:val="false"/>
          <w:iCs w:val="false"/>
          <w:color w:themeColor="text1" w:val="000000"/>
          <w:sz w:val="20"/>
          <w:szCs w:val="20"/>
        </w:rPr>
        <w:t xml:space="preserve"> - Panorama técnico-operacional do uso de </w:t>
      </w:r>
      <w:r>
        <w:rPr>
          <w:rFonts w:cs="Calibri" w:ascii="Calibri" w:hAnsi="Calibri"/>
          <w:color w:themeColor="text1" w:val="000000"/>
          <w:sz w:val="20"/>
          <w:szCs w:val="20"/>
        </w:rPr>
        <w:t>P. tricornutum</w:t>
      </w:r>
      <w:r>
        <w:rPr>
          <w:rFonts w:cs="Calibri" w:ascii="Calibri" w:hAnsi="Calibri"/>
          <w:i w:val="false"/>
          <w:iCs w:val="false"/>
          <w:color w:themeColor="text1" w:val="000000"/>
          <w:sz w:val="20"/>
          <w:szCs w:val="20"/>
        </w:rPr>
        <w:t xml:space="preserve"> na remediação de águas residuais</w:t>
      </w:r>
      <w:bookmarkEnd w:id="92"/>
      <w:bookmarkEnd w:id="93"/>
    </w:p>
    <w:p>
      <w:pPr>
        <w:pStyle w:val="Normal"/>
        <w:spacing w:lineRule="auto" w:line="360" w:before="0" w:after="0"/>
        <w:ind w:hanging="709"/>
        <w:jc w:val="center"/>
        <w:rPr>
          <w:rFonts w:ascii="Times New Roman" w:hAnsi="Times New Roman" w:eastAsia="Times New Roman" w:cs="Times New Roman"/>
          <w:color w:themeColor="text1" w:val="000000"/>
          <w:sz w:val="24"/>
          <w:szCs w:val="24"/>
          <w:highlight w:val="yellow"/>
        </w:rPr>
      </w:pPr>
      <w:r>
        <w:rPr/>
        <w:drawing>
          <wp:inline distT="0" distB="0" distL="0" distR="0">
            <wp:extent cx="6612890" cy="3609975"/>
            <wp:effectExtent l="0" t="0" r="0" b="0"/>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19"/>
                    <a:stretch>
                      <a:fillRect/>
                    </a:stretch>
                  </pic:blipFill>
                  <pic:spPr bwMode="auto">
                    <a:xfrm>
                      <a:off x="0" y="0"/>
                      <a:ext cx="6612890" cy="3609975"/>
                    </a:xfrm>
                    <a:prstGeom prst="rect">
                      <a:avLst/>
                    </a:prstGeom>
                  </pic:spPr>
                </pic:pic>
              </a:graphicData>
            </a:graphic>
          </wp:inline>
        </w:drawing>
      </w:r>
    </w:p>
    <w:p>
      <w:pPr>
        <w:pStyle w:val="Normal"/>
        <w:spacing w:lineRule="auto" w:line="360" w:before="0" w:after="0"/>
        <w:jc w:val="center"/>
        <w:rPr>
          <w:rFonts w:ascii="Times New Roman" w:hAnsi="Times New Roman" w:eastAsia="Times New Roman" w:cs="Times New Roman"/>
          <w:color w:themeColor="text1" w:val="000000"/>
          <w:sz w:val="20"/>
          <w:szCs w:val="20"/>
        </w:rPr>
      </w:pPr>
      <w:r>
        <w:rPr>
          <w:rFonts w:eastAsia="Times New Roman" w:cs="Times New Roman"/>
          <w:color w:themeColor="text1" w:val="000000"/>
          <w:sz w:val="20"/>
          <w:szCs w:val="20"/>
        </w:rPr>
        <w:t>Fonte: Elaboração própria adaptada a partir de Li et al. (2026).</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Essa representação fornece parâmetros técnicos e econômicos, como custos de implantação, taxas de absorção de nutrientes e retorno financeiro da biomassa, que propiciam ao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em Python calcule, de forma integrada, calcular o impacto da adoção dessas tecnologias nos indicadores de viabilidade técnica, econômica, ambiental e social do empreendimento.</w:t>
      </w:r>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Figura 7, apresentada adiante, resume essa lógica ao mostrar de modo esquemático a integração entre o sistema RAS, o tratamento de microalgas, a produção de biomassa algal e o reaproveitamento em uma economia circular. A partir da experiência do autor no Projeto Pescarte existe outro método que há a realização de plantas que absorvem pela raiz os nutrientes que contexto de sistemas de recirculação aquícola (RAS realizados por filtros rizosféricos).</w:t>
      </w:r>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Nos sistemas com algas, a assimilação de nitrogênio e fósforo ocorre principalmente pela biomassa algal em suspensão ou em biofilmes, associada à produção de oxigênio pela fotossíntese, o que favorece a oxidação da matéria orgânica e dos compostos nitrogenados na coluna d’água. Por outro lado, em filtros rizosféricos classificados como filtros com plantas,</w:t>
      </w:r>
      <w:r>
        <w:rPr>
          <w:rFonts w:eastAsia="Times New Roman" w:cs="Times New Roman"/>
          <w:i/>
          <w:iCs/>
          <w:color w:themeColor="text1" w:val="000000"/>
          <w:sz w:val="24"/>
          <w:szCs w:val="24"/>
        </w:rPr>
        <w:t xml:space="preserve"> wetlands</w:t>
      </w:r>
      <w:r>
        <w:rPr>
          <w:rFonts w:eastAsia="Times New Roman" w:cs="Times New Roman"/>
          <w:color w:themeColor="text1" w:val="000000"/>
          <w:sz w:val="24"/>
          <w:szCs w:val="24"/>
        </w:rPr>
        <w:t xml:space="preserve"> ou zonas de raízes, a etapa de biorremediação é intensificada na interface raiz–substrato–microrganismos, na qual ocorre a absorção do nitrato e fosfato pelos vegetais, o que auxilia no processo de biorremediação da água para reuso em sistemas aquícolas (Rezende </w:t>
      </w:r>
      <w:r>
        <w:rPr>
          <w:rFonts w:eastAsia="Times New Roman" w:cs="Times New Roman"/>
          <w:i/>
          <w:iCs/>
          <w:color w:themeColor="text1" w:val="000000"/>
          <w:sz w:val="24"/>
          <w:szCs w:val="24"/>
        </w:rPr>
        <w:t xml:space="preserve">et al., </w:t>
      </w:r>
      <w:r>
        <w:rPr>
          <w:rFonts w:eastAsia="Times New Roman" w:cs="Times New Roman"/>
          <w:color w:themeColor="text1" w:val="000000"/>
          <w:sz w:val="24"/>
          <w:szCs w:val="24"/>
        </w:rPr>
        <w:t>2021, p. 207).</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No contexto da biorremediação, o emprego de microalgas marinha, como a </w:t>
      </w:r>
      <w:r>
        <w:rPr>
          <w:rFonts w:eastAsia="Times New Roman" w:cs="Times New Roman"/>
          <w:i/>
          <w:iCs/>
          <w:color w:themeColor="text1" w:val="000000"/>
          <w:sz w:val="24"/>
          <w:szCs w:val="24"/>
        </w:rPr>
        <w:t>Phaeodactylum tricornutum</w:t>
      </w:r>
      <w:r>
        <w:rPr>
          <w:rFonts w:eastAsia="Times New Roman" w:cs="Times New Roman"/>
          <w:color w:themeColor="text1" w:val="000000"/>
          <w:sz w:val="24"/>
          <w:szCs w:val="24"/>
        </w:rPr>
        <w:t>, destaca-se não apenas pela capacidade de remoção de nutrientes e sólidos suspensos, mas também pela possibilidade de geração de valor agregado por meio da biomassa produzida.</w:t>
      </w:r>
    </w:p>
    <w:p>
      <w:pPr>
        <w:pStyle w:val="Normal"/>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Caption"/>
        <w:keepNext w:val="true"/>
        <w:spacing w:lineRule="auto" w:line="360" w:before="0" w:after="0"/>
        <w:jc w:val="center"/>
        <w:rPr>
          <w:rFonts w:ascii="Calibri" w:hAnsi="Calibri" w:cs="Calibri"/>
          <w:color w:val="auto"/>
          <w:sz w:val="20"/>
          <w:szCs w:val="20"/>
        </w:rPr>
      </w:pPr>
      <w:bookmarkStart w:id="94" w:name="_Toc240362128"/>
      <w:bookmarkStart w:id="95" w:name="_Toc231132093"/>
      <w:r>
        <w:rPr>
          <w:rFonts w:cs="Calibri" w:ascii="Calibri" w:hAnsi="Calibri"/>
          <w:color w:val="auto"/>
          <w:sz w:val="20"/>
          <w:szCs w:val="20"/>
        </w:rPr>
        <w:t xml:space="preserve">Figura </w:t>
      </w:r>
      <w:r>
        <w:rPr>
          <w:rFonts w:cs="Calibri" w:ascii="Calibri" w:hAnsi="Calibri"/>
          <w:color w:val="auto"/>
          <w:sz w:val="20"/>
          <w:szCs w:val="20"/>
        </w:rPr>
        <w:fldChar w:fldCharType="begin"/>
      </w:r>
      <w:r>
        <w:rPr>
          <w:sz w:val="20"/>
          <w:szCs w:val="20"/>
          <w:rFonts w:cs="Calibri" w:ascii="Calibri" w:hAnsi="Calibri"/>
          <w:color w:val="auto"/>
        </w:rPr>
        <w:instrText xml:space="preserve"> SEQ Figura \* ARABIC </w:instrText>
      </w:r>
      <w:r>
        <w:rPr>
          <w:sz w:val="20"/>
          <w:szCs w:val="20"/>
          <w:rFonts w:cs="Calibri" w:ascii="Calibri" w:hAnsi="Calibri"/>
          <w:color w:val="auto"/>
        </w:rPr>
        <w:fldChar w:fldCharType="separate"/>
      </w:r>
      <w:r>
        <w:rPr>
          <w:sz w:val="20"/>
          <w:szCs w:val="20"/>
          <w:rFonts w:cs="Calibri" w:ascii="Calibri" w:hAnsi="Calibri"/>
          <w:color w:val="auto"/>
        </w:rPr>
        <w:t>7</w:t>
      </w:r>
      <w:r>
        <w:rPr>
          <w:sz w:val="20"/>
          <w:szCs w:val="20"/>
          <w:rFonts w:cs="Calibri" w:ascii="Calibri" w:hAnsi="Calibri"/>
          <w:color w:val="auto"/>
        </w:rPr>
        <w:fldChar w:fldCharType="end"/>
      </w:r>
      <w:r>
        <w:rPr>
          <w:rFonts w:cs="Calibri" w:ascii="Calibri" w:hAnsi="Calibri"/>
          <w:color w:val="auto"/>
          <w:sz w:val="20"/>
          <w:szCs w:val="20"/>
        </w:rPr>
        <w:t xml:space="preserve"> - Panorama técnico-operacional do uso de microalgas na remediação de águas residuais em sistema de recirculação aquícola (RAS)</w:t>
      </w:r>
      <w:bookmarkEnd w:id="94"/>
      <w:bookmarkEnd w:id="95"/>
    </w:p>
    <w:p>
      <w:pPr>
        <w:pStyle w:val="Normal"/>
        <w:spacing w:lineRule="auto" w:line="360" w:before="0" w:after="0"/>
        <w:ind w:hanging="284"/>
        <w:jc w:val="center"/>
        <w:rPr>
          <w:rFonts w:ascii="Times New Roman" w:hAnsi="Times New Roman" w:eastAsia="Times New Roman" w:cs="Times New Roman"/>
          <w:color w:themeColor="text1" w:val="000000"/>
          <w:sz w:val="24"/>
          <w:szCs w:val="24"/>
        </w:rPr>
      </w:pPr>
      <w:r>
        <w:rPr/>
        <w:drawing>
          <wp:inline distT="0" distB="0" distL="0" distR="0">
            <wp:extent cx="6276340" cy="3915410"/>
            <wp:effectExtent l="0" t="0" r="0" b="0"/>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20"/>
                    <a:stretch>
                      <a:fillRect/>
                    </a:stretch>
                  </pic:blipFill>
                  <pic:spPr bwMode="auto">
                    <a:xfrm>
                      <a:off x="0" y="0"/>
                      <a:ext cx="6276340" cy="3915410"/>
                    </a:xfrm>
                    <a:prstGeom prst="rect">
                      <a:avLst/>
                    </a:prstGeom>
                  </pic:spPr>
                </pic:pic>
              </a:graphicData>
            </a:graphic>
          </wp:inline>
        </w:drawing>
      </w:r>
    </w:p>
    <w:p>
      <w:pPr>
        <w:pStyle w:val="Normal"/>
        <w:spacing w:lineRule="auto" w:line="360" w:before="0" w:after="0"/>
        <w:jc w:val="center"/>
        <w:rPr>
          <w:rFonts w:ascii="Times New Roman" w:hAnsi="Times New Roman" w:eastAsia="Times New Roman" w:cs="Times New Roman"/>
          <w:color w:themeColor="text1" w:val="000000"/>
          <w:sz w:val="24"/>
          <w:szCs w:val="24"/>
        </w:rPr>
      </w:pPr>
      <w:r>
        <w:rPr>
          <w:rFonts w:eastAsia="Times New Roman" w:cs="Times New Roman"/>
          <w:color w:themeColor="text1" w:val="000000"/>
          <w:sz w:val="20"/>
          <w:szCs w:val="20"/>
        </w:rPr>
        <w:t xml:space="preserve">Fonte: Adaptado de Jakhwal </w:t>
      </w:r>
      <w:r>
        <w:rPr>
          <w:rFonts w:eastAsia="Times New Roman" w:cs="Times New Roman"/>
          <w:i/>
          <w:iCs/>
          <w:color w:themeColor="text1" w:val="000000"/>
          <w:sz w:val="20"/>
          <w:szCs w:val="20"/>
        </w:rPr>
        <w:t>et al.</w:t>
      </w:r>
      <w:r>
        <w:rPr>
          <w:rFonts w:eastAsia="Times New Roman" w:cs="Times New Roman"/>
          <w:color w:themeColor="text1" w:val="000000"/>
          <w:sz w:val="20"/>
          <w:szCs w:val="20"/>
        </w:rPr>
        <w:t xml:space="preserve"> (2024 apud Shitu et al., 2024).</w:t>
      </w:r>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análise dos sistemas IMTA reforça adicionalmente o argumento pela tilápia e por espécies onívoras de baixo impacto. Li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(2026) demonstram que a integração de peixes onívoros com bivalves filtradores como ostras e vieiras pode reduzir as emissões líquidas de N em 17 a 31%, enquanto o sistema kelp-vieira-pepino-do-mar em Sanggou Bay, China, remove anualmente cerca de 28.000 toneladas de carbono e 1.538 toneladas de nitrogênio. </w:t>
      </w:r>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Sob a ótica da cadeia de suprimentos </w:t>
      </w:r>
      <w:r>
        <w:rPr>
          <w:rFonts w:eastAsia="Times New Roman" w:cs="Times New Roman"/>
          <w:i/>
          <w:iCs/>
          <w:color w:themeColor="text1" w:val="000000"/>
          <w:sz w:val="24"/>
          <w:szCs w:val="24"/>
        </w:rPr>
        <w:t xml:space="preserve">Lean-Green, </w:t>
      </w:r>
      <w:r>
        <w:rPr>
          <w:rFonts w:eastAsia="Times New Roman" w:cs="Times New Roman"/>
          <w:color w:themeColor="text1" w:val="000000"/>
          <w:sz w:val="24"/>
          <w:szCs w:val="24"/>
        </w:rPr>
        <w:t>a escolha da espécie cultivada e a composição do sistema produtivo estabelece decisões de </w:t>
      </w:r>
      <w:r>
        <w:rPr>
          <w:rFonts w:eastAsia="Times New Roman" w:cs="Times New Roman"/>
          <w:i/>
          <w:iCs/>
          <w:color w:themeColor="text1" w:val="000000"/>
          <w:sz w:val="24"/>
          <w:szCs w:val="24"/>
        </w:rPr>
        <w:t>green procurement</w:t>
      </w:r>
      <w:r>
        <w:rPr>
          <w:rFonts w:eastAsia="Times New Roman" w:cs="Times New Roman"/>
          <w:color w:themeColor="text1" w:val="000000"/>
          <w:sz w:val="24"/>
          <w:szCs w:val="24"/>
        </w:rPr>
        <w:t>, de alto impacto não só o técnico ou mercadológico, o que justifica a sua inclusão como variável qualificadora de desempenho ambiental no EVTEAS-Py.</w:t>
      </w:r>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Por último a proposição de Li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(2026) de um </w:t>
      </w:r>
      <w:r>
        <w:rPr>
          <w:rFonts w:eastAsia="Times New Roman" w:cs="Times New Roman"/>
          <w:i/>
          <w:iCs/>
          <w:color w:themeColor="text1" w:val="000000"/>
          <w:sz w:val="24"/>
          <w:szCs w:val="24"/>
        </w:rPr>
        <w:t xml:space="preserve">framework </w:t>
      </w:r>
      <w:r>
        <w:rPr>
          <w:rFonts w:eastAsia="Times New Roman" w:cs="Times New Roman"/>
          <w:color w:themeColor="text1" w:val="000000"/>
          <w:sz w:val="24"/>
          <w:szCs w:val="24"/>
        </w:rPr>
        <w:t>de governança multicamadas, com políticas diferenciadas por região, Colaboração interdisciplinar e plataformas de compartilhamento de conhecimento, dialoga diretamente com a dimensão de governança, incorporada no EVTEAS-Py. A inexistência de solução tecnológica única e universalmente eficiente para os diferentes sistemas produtivos e contextos regulatórios apoia a abordagem multicritério do EVTEAS-Py.</w:t>
      </w:r>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Li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(2026, p. 6–8), ao comparar sistematicamente gaiolas, viveiros, RAS e IMTA, mostram que sistemas bem gerenciados, com alto aproveitamento de ração, podem ter carga ambiental próxima ao limite inferior de sua categoria, pois</w:t>
      </w:r>
      <w:r>
        <w:rPr>
          <w:rFonts w:eastAsia="Times New Roman" w:cs="Times New Roman"/>
          <w:i/>
          <w:iCs/>
          <w:color w:themeColor="text1" w:val="000000"/>
          <w:sz w:val="24"/>
          <w:szCs w:val="24"/>
        </w:rPr>
        <w:t xml:space="preserve"> os "controles-chave" (FCR, manejo hídrico e gestão de sedimentos) determinam o desempenho ambiental real. A qualidade da gestão supera, assim, o determinismo tecnológico, o que reforça a premissa Lean de que a eliminação de desperdícios operacionais, como ração não consumida, mortalidade evitável e troca hídrica desnecessária, é o caminho primário para a ecoeficiência na piscicultura.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Figura 8 sintetiza graficamente a articulação entre dimensões externas e internas do empreendimento, ao apontar como fatores de ambiente e mercado se conectam com a cadeia de valor e com o núcleo operacional da produção, e como decisões relativas a insumos, infraestrutura, serviços e gestão repercutem sobre custos, receitas, fluxo de caixa e métricas de retorno como VPL e </w:t>
      </w:r>
      <w:r>
        <w:rPr>
          <w:rFonts w:eastAsia="Times New Roman" w:cs="Times New Roman"/>
          <w:i/>
          <w:iCs/>
          <w:color w:themeColor="text1" w:val="000000"/>
          <w:sz w:val="24"/>
          <w:szCs w:val="24"/>
        </w:rPr>
        <w:t>payback</w:t>
      </w:r>
      <w:r>
        <w:rPr>
          <w:rFonts w:eastAsia="Times New Roman" w:cs="Times New Roman"/>
          <w:color w:themeColor="text1" w:val="000000"/>
          <w:sz w:val="24"/>
          <w:szCs w:val="24"/>
        </w:rPr>
        <w:t>, ao constituir base conceitual para a modelagem do EVTEAS-Py.</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Embora o </w:t>
      </w:r>
      <w:r>
        <w:rPr>
          <w:rFonts w:eastAsia="Times New Roman" w:cs="Times New Roman"/>
          <w:i/>
          <w:iCs/>
          <w:color w:themeColor="text1" w:val="000000"/>
          <w:sz w:val="24"/>
          <w:szCs w:val="24"/>
        </w:rPr>
        <w:t xml:space="preserve">framework </w:t>
      </w:r>
      <w:r>
        <w:rPr>
          <w:rFonts w:eastAsia="Times New Roman" w:cs="Times New Roman"/>
          <w:color w:themeColor="text1" w:val="000000"/>
          <w:sz w:val="24"/>
          <w:szCs w:val="24"/>
        </w:rPr>
        <w:t>de Silva Araújo, Keesman e Goddek (2021) esteja relacionado ao contexto da aquaponia, sua lógica de decomposição sistêmica preserva dimensões centrais mesmo sem o componente vegetal integrado, como o ambiente institucional, o mercado, a cadeia de valor, os insumos críticos, a infraestrutura, os custos operacionais, a receita e os indicadores de retorno financeiro. Dessa forma, a adaptação proposta constitui uma reinterpretação conceitual orientada às especificidades da piscicultura.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Caption"/>
        <w:keepNext w:val="true"/>
        <w:spacing w:lineRule="auto" w:line="360" w:before="0" w:after="0"/>
        <w:jc w:val="center"/>
        <w:rPr>
          <w:rFonts w:ascii="Calibri Light" w:hAnsi="Calibri Light" w:cs="Calibri Light" w:asciiTheme="majorHAnsi" w:cstheme="majorHAnsi" w:hAnsiTheme="majorHAnsi"/>
          <w:color w:val="auto"/>
          <w:sz w:val="20"/>
          <w:szCs w:val="20"/>
        </w:rPr>
      </w:pPr>
      <w:bookmarkStart w:id="96" w:name="_Toc240362129"/>
      <w:r>
        <w:rPr>
          <w:rFonts w:cs="Calibri Light" w:ascii="Calibri Light" w:hAnsi="Calibri Light" w:asciiTheme="majorHAnsi" w:cstheme="majorHAnsi" w:hAnsiTheme="majorHAnsi"/>
          <w:color w:val="auto"/>
          <w:sz w:val="20"/>
          <w:szCs w:val="20"/>
        </w:rPr>
        <w:t xml:space="preserve">Figura </w:t>
      </w:r>
      <w:r>
        <w:rPr>
          <w:rFonts w:cs="Calibri Light" w:ascii="Calibri Light" w:hAnsi="Calibri Light" w:asciiTheme="majorHAnsi" w:cstheme="majorHAnsi" w:hAnsiTheme="majorHAnsi"/>
          <w:color w:val="auto"/>
          <w:sz w:val="20"/>
          <w:szCs w:val="20"/>
        </w:rPr>
        <w:fldChar w:fldCharType="begin"/>
      </w:r>
      <w:r>
        <w:rPr>
          <w:sz w:val="20"/>
          <w:szCs w:val="20"/>
          <w:rFonts w:cs="Calibri Light" w:ascii="Calibri Light" w:hAnsi="Calibri Light"/>
          <w:color w:val="auto"/>
        </w:rPr>
        <w:instrText xml:space="preserve"> SEQ Figura \* ARABIC </w:instrText>
      </w:r>
      <w:r>
        <w:rPr>
          <w:sz w:val="20"/>
          <w:szCs w:val="20"/>
          <w:rFonts w:cs="Calibri Light" w:ascii="Calibri Light" w:hAnsi="Calibri Light"/>
          <w:color w:val="auto"/>
        </w:rPr>
        <w:fldChar w:fldCharType="separate"/>
      </w:r>
      <w:r>
        <w:rPr>
          <w:sz w:val="20"/>
          <w:szCs w:val="20"/>
          <w:rFonts w:cs="Calibri Light" w:ascii="Calibri Light" w:hAnsi="Calibri Light"/>
          <w:color w:val="auto"/>
        </w:rPr>
        <w:t>8</w:t>
      </w:r>
      <w:r>
        <w:rPr>
          <w:sz w:val="20"/>
          <w:szCs w:val="20"/>
          <w:rFonts w:cs="Calibri Light" w:ascii="Calibri Light" w:hAnsi="Calibri Light"/>
          <w:color w:val="auto"/>
        </w:rPr>
        <w:fldChar w:fldCharType="end"/>
      </w:r>
      <w:r>
        <w:rPr>
          <w:rFonts w:cs="Calibri Light" w:ascii="Calibri Light" w:hAnsi="Calibri Light" w:asciiTheme="majorHAnsi" w:cstheme="majorHAnsi" w:hAnsiTheme="majorHAnsi"/>
          <w:color w:val="auto"/>
          <w:sz w:val="20"/>
          <w:szCs w:val="20"/>
        </w:rPr>
        <w:t xml:space="preserve"> - Adaptação de framework esquemático de viabilidade para piscicultura</w:t>
      </w:r>
      <w:bookmarkEnd w:id="96"/>
    </w:p>
    <w:p>
      <w:pPr>
        <w:pStyle w:val="Normal"/>
        <w:spacing w:lineRule="auto" w:line="360" w:before="0" w:after="0"/>
        <w:ind w:hanging="709"/>
        <w:jc w:val="center"/>
        <w:rPr>
          <w:rFonts w:ascii="Times New Roman" w:hAnsi="Times New Roman" w:eastAsia="Times New Roman" w:cs="Times New Roman"/>
          <w:color w:themeColor="text1" w:val="000000"/>
          <w:sz w:val="24"/>
          <w:szCs w:val="24"/>
        </w:rPr>
      </w:pPr>
      <w:r>
        <w:rPr/>
        <w:drawing>
          <wp:inline distT="0" distB="0" distL="0" distR="0">
            <wp:extent cx="6819265" cy="3722370"/>
            <wp:effectExtent l="0" t="0" r="0" b="0"/>
            <wp:docPr id="1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
                    <pic:cNvPicPr>
                      <a:picLocks noChangeAspect="1" noChangeArrowheads="1"/>
                    </pic:cNvPicPr>
                  </pic:nvPicPr>
                  <pic:blipFill>
                    <a:blip r:embed="rId21"/>
                    <a:stretch>
                      <a:fillRect/>
                    </a:stretch>
                  </pic:blipFill>
                  <pic:spPr bwMode="auto">
                    <a:xfrm>
                      <a:off x="0" y="0"/>
                      <a:ext cx="6819265" cy="3722370"/>
                    </a:xfrm>
                    <a:prstGeom prst="rect">
                      <a:avLst/>
                    </a:prstGeom>
                  </pic:spPr>
                </pic:pic>
              </a:graphicData>
            </a:graphic>
          </wp:inline>
        </w:drawing>
      </w:r>
    </w:p>
    <w:p>
      <w:pPr>
        <w:pStyle w:val="Normal"/>
        <w:spacing w:lineRule="auto" w:line="360" w:before="0" w:after="0"/>
        <w:ind w:firstLine="708"/>
        <w:jc w:val="center"/>
        <w:rPr>
          <w:rFonts w:ascii="Calibri Light" w:hAnsi="Calibri Light" w:eastAsia="Times New Roman" w:cs="Calibri Light" w:asciiTheme="majorHAnsi" w:cstheme="majorHAnsi" w:hAnsiTheme="majorHAnsi"/>
          <w:color w:themeColor="text1" w:val="000000"/>
          <w:sz w:val="16"/>
          <w:szCs w:val="16"/>
        </w:rPr>
      </w:pPr>
      <w:r>
        <w:rPr>
          <w:rFonts w:eastAsia="Times New Roman" w:cs="Calibri Light" w:ascii="Calibri Light" w:hAnsi="Calibri Light" w:asciiTheme="majorHAnsi" w:cstheme="majorHAnsi" w:hAnsiTheme="majorHAnsi"/>
          <w:color w:themeColor="text1" w:val="000000"/>
          <w:sz w:val="16"/>
          <w:szCs w:val="16"/>
        </w:rPr>
        <w:t>Fonte: Adaptado de Silva Araújo, Keesman e Goddek (2021), elaborado pelo autor (2026).</w:t>
      </w:r>
    </w:p>
    <w:p>
      <w:pPr>
        <w:pStyle w:val="Normal"/>
        <w:spacing w:lineRule="auto" w:line="360" w:before="0" w:after="0"/>
        <w:ind w:firstLine="708"/>
        <w:jc w:val="both"/>
        <w:rPr>
          <w:rFonts w:ascii="Times New Roman" w:hAnsi="Times New Roman" w:eastAsia="Times New Roman" w:cs="Times New Roman"/>
          <w:color w:themeColor="text1" w:val="000000"/>
          <w:sz w:val="20"/>
          <w:szCs w:val="20"/>
        </w:rPr>
      </w:pPr>
      <w:r>
        <w:rPr>
          <w:rFonts w:eastAsia="Times New Roman" w:cs="Times New Roman"/>
          <w:color w:themeColor="text1" w:val="000000"/>
          <w:sz w:val="24"/>
          <w:szCs w:val="24"/>
        </w:rPr>
        <w:t>A Figura 9, adaptada de Ellen MacArthur Foundation (2024), ilustra a evolução dos modelos de organização dos fluxos de materiais na gestão da cadeia de suprimentos: da economia linear, baseada na lógica “extrair–produzir–usar–descartar”, passando pela economia de reciclagem, que reaproveita materiais pós-consumo de forma limitada, até a economia circular produtos, componentes e materiais em uso pelo maior tempo possível por meio de retorno, reparo , reutilização e reciclagem, reduzindo a extração de recursos e a geração de resíduos.</w:t>
      </w:r>
    </w:p>
    <w:p>
      <w:pPr>
        <w:pStyle w:val="Caption"/>
        <w:keepNext w:val="true"/>
        <w:spacing w:lineRule="auto" w:line="360" w:before="0" w:after="0"/>
        <w:jc w:val="center"/>
        <w:rPr>
          <w:rFonts w:ascii="Calibri" w:hAnsi="Calibri" w:cs="Calibri" w:asciiTheme="minorHAnsi" w:cstheme="minorHAnsi" w:hAnsiTheme="minorHAnsi"/>
          <w:color w:themeColor="text1" w:val="000000"/>
          <w:sz w:val="20"/>
          <w:szCs w:val="20"/>
        </w:rPr>
      </w:pPr>
      <w:bookmarkStart w:id="97" w:name="_Toc240362130"/>
      <w:r>
        <w:rPr>
          <w:rFonts w:cs="Calibri" w:ascii="Calibri" w:hAnsi="Calibri" w:asciiTheme="minorHAnsi" w:cstheme="minorHAnsi" w:hAnsiTheme="minorHAnsi"/>
          <w:color w:themeColor="text1" w:val="000000"/>
          <w:sz w:val="20"/>
          <w:szCs w:val="20"/>
        </w:rPr>
        <w:t xml:space="preserve">Figura </w:t>
      </w:r>
      <w:r>
        <w:rPr>
          <w:rFonts w:cs="Calibri" w:ascii="Calibri" w:hAnsi="Calibri" w:asciiTheme="minorHAnsi" w:cstheme="minorHAnsi" w:hAnsiTheme="minorHAnsi"/>
          <w:color w:themeColor="text1" w:val="000000"/>
          <w:sz w:val="20"/>
          <w:szCs w:val="20"/>
        </w:rPr>
        <w:fldChar w:fldCharType="begin"/>
      </w:r>
      <w:r>
        <w:rPr>
          <w:sz w:val="20"/>
          <w:szCs w:val="20"/>
          <w:rFonts w:cs="Calibri" w:ascii="Calibri" w:hAnsi="Calibri"/>
          <w:color w:themeColor="text1" w:val="000000"/>
        </w:rPr>
        <w:instrText xml:space="preserve"> SEQ Figura \* ARABIC </w:instrText>
      </w:r>
      <w:r>
        <w:rPr>
          <w:sz w:val="20"/>
          <w:szCs w:val="20"/>
          <w:rFonts w:cs="Calibri" w:ascii="Calibri" w:hAnsi="Calibri"/>
          <w:color w:themeColor="text1" w:val="000000"/>
        </w:rPr>
        <w:fldChar w:fldCharType="separate"/>
      </w:r>
      <w:r>
        <w:rPr>
          <w:sz w:val="20"/>
          <w:szCs w:val="20"/>
          <w:rFonts w:cs="Calibri" w:ascii="Calibri" w:hAnsi="Calibri"/>
          <w:color w:themeColor="text1" w:val="000000"/>
        </w:rPr>
        <w:t>9</w:t>
      </w:r>
      <w:r>
        <w:rPr>
          <w:sz w:val="20"/>
          <w:szCs w:val="20"/>
          <w:rFonts w:cs="Calibri" w:ascii="Calibri" w:hAnsi="Calibri"/>
          <w:color w:themeColor="text1" w:val="000000"/>
        </w:rPr>
        <w:fldChar w:fldCharType="end"/>
      </w:r>
      <w:r>
        <w:rPr>
          <w:rFonts w:cs="Calibri" w:ascii="Calibri" w:hAnsi="Calibri" w:asciiTheme="minorHAnsi" w:cstheme="minorHAnsi" w:hAnsiTheme="minorHAnsi"/>
          <w:color w:themeColor="text1" w:val="000000"/>
          <w:sz w:val="20"/>
          <w:szCs w:val="20"/>
        </w:rPr>
        <w:t xml:space="preserve"> - Modelos de economia linear, de reciclagem e circular na gestão da cadeia de suprimentos</w:t>
      </w:r>
      <w:bookmarkEnd w:id="97"/>
    </w:p>
    <w:p>
      <w:pPr>
        <w:pStyle w:val="Normal"/>
        <w:spacing w:lineRule="auto" w:line="360" w:before="0" w:after="0"/>
        <w:ind w:hanging="709"/>
        <w:jc w:val="center"/>
        <w:rPr>
          <w:rFonts w:ascii="Times New Roman" w:hAnsi="Times New Roman" w:eastAsia="Times New Roman" w:cs="Times New Roman"/>
          <w:color w:themeColor="text1" w:val="000000"/>
          <w:sz w:val="24"/>
          <w:szCs w:val="24"/>
        </w:rPr>
      </w:pPr>
      <w:r>
        <w:rPr/>
        <w:drawing>
          <wp:inline distT="0" distB="0" distL="0" distR="0">
            <wp:extent cx="6195695" cy="3311525"/>
            <wp:effectExtent l="0" t="0" r="0" b="0"/>
            <wp:docPr id="1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
                    <pic:cNvPicPr>
                      <a:picLocks noChangeAspect="1" noChangeArrowheads="1"/>
                    </pic:cNvPicPr>
                  </pic:nvPicPr>
                  <pic:blipFill>
                    <a:blip r:embed="rId22"/>
                    <a:srcRect l="0" t="0" r="0" b="4241"/>
                    <a:stretch>
                      <a:fillRect/>
                    </a:stretch>
                  </pic:blipFill>
                  <pic:spPr bwMode="auto">
                    <a:xfrm>
                      <a:off x="0" y="0"/>
                      <a:ext cx="6195695" cy="3311525"/>
                    </a:xfrm>
                    <a:prstGeom prst="rect">
                      <a:avLst/>
                    </a:prstGeom>
                  </pic:spPr>
                </pic:pic>
              </a:graphicData>
            </a:graphic>
          </wp:inline>
        </w:drawing>
      </w:r>
    </w:p>
    <w:p>
      <w:pPr>
        <w:pStyle w:val="Normal"/>
        <w:spacing w:lineRule="auto" w:line="360" w:before="0" w:after="0"/>
        <w:ind w:firstLine="708"/>
        <w:rPr>
          <w:rFonts w:ascii="Times New Roman" w:hAnsi="Times New Roman" w:eastAsia="Times New Roman" w:cs="Times New Roman"/>
          <w:color w:themeColor="text1" w:val="000000"/>
          <w:sz w:val="20"/>
          <w:szCs w:val="20"/>
        </w:rPr>
      </w:pPr>
      <w:r>
        <w:rPr>
          <w:rFonts w:eastAsia="Times New Roman" w:cs="Times New Roman"/>
          <w:color w:themeColor="text1" w:val="000000"/>
          <w:sz w:val="20"/>
          <w:szCs w:val="20"/>
        </w:rPr>
        <w:t>Fonte:</w:t>
      </w:r>
      <w:r>
        <w:rPr/>
        <w:t xml:space="preserve"> </w:t>
      </w:r>
      <w:r>
        <w:rPr>
          <w:rFonts w:eastAsia="Times New Roman" w:cs="Times New Roman"/>
          <w:color w:themeColor="text1" w:val="000000"/>
          <w:sz w:val="20"/>
          <w:szCs w:val="20"/>
        </w:rPr>
        <w:t>Elaborado pelo autor (2026), adaptado de Ellen MacArthur Foundation (2024)</w:t>
      </w:r>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Normal"/>
        <w:spacing w:lineRule="auto" w:line="360" w:before="0" w:after="0"/>
        <w:ind w:firstLine="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RSL traduz as macros teorias do Capítulo 2 em parâmetros operacionais identificados entre 2021-2026 e aplicáveis ao código do EVTEAS-Py. A contribuição estrutura-se em três relações fundantes:</w:t>
      </w:r>
    </w:p>
    <w:p>
      <w:pPr>
        <w:pStyle w:val="ListParagraph"/>
        <w:numPr>
          <w:ilvl w:val="0"/>
          <w:numId w:val="8"/>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b/>
          <w:bCs/>
          <w:color w:themeColor="text1" w:val="000000"/>
          <w:sz w:val="24"/>
          <w:szCs w:val="24"/>
        </w:rPr>
        <w:t>Relação técnico-ambiental:</w:t>
      </w:r>
      <w:r>
        <w:rPr>
          <w:rFonts w:eastAsia="Times New Roman" w:cs="Times New Roman"/>
          <w:color w:themeColor="text1" w:val="000000"/>
          <w:sz w:val="24"/>
          <w:szCs w:val="24"/>
        </w:rPr>
        <w:t xml:space="preserve"> Li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(2026) validam o cálculo da FCR não apenas como custo OPEX, mas como base para a Pegada Hídrica Cinza e a emissão de carga orgânica, e Shitu et al. (2024) fundamentam a inclusão de rotas de valorização de efluentes como variáveis explícitas. Mahmood Abd Elkhalik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(2026) reforçam a aderência do </w:t>
      </w:r>
      <w:r>
        <w:rPr>
          <w:rFonts w:eastAsia="Times New Roman" w:cs="Times New Roman"/>
          <w:i/>
          <w:iCs/>
          <w:color w:themeColor="text1" w:val="000000"/>
          <w:sz w:val="24"/>
          <w:szCs w:val="24"/>
        </w:rPr>
        <w:t>Value Stream Mapping</w:t>
      </w:r>
      <w:r>
        <w:rPr>
          <w:rFonts w:eastAsia="Times New Roman" w:cs="Times New Roman"/>
          <w:color w:themeColor="text1" w:val="000000"/>
          <w:sz w:val="24"/>
          <w:szCs w:val="24"/>
        </w:rPr>
        <w:t xml:space="preserve"> à dimensão ambiental, fundamentação que transforma o módulo ambiental do EVTEAS-Py em um VSM computacional capaz de quantificar consumo de água, carga orgânica, emissões de N e P e Pegada Hídrica Cinza. Kumar (2025) complementa ao demonstrar que a transição da economia linear à circular requer reconfiguração integrada de cadeias de valor com produção mais limpa e baixas emissões.</w:t>
      </w:r>
    </w:p>
    <w:p>
      <w:pPr>
        <w:pStyle w:val="ListParagraph"/>
        <w:numPr>
          <w:ilvl w:val="0"/>
          <w:numId w:val="8"/>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b/>
          <w:bCs/>
          <w:color w:themeColor="text1" w:val="000000"/>
          <w:sz w:val="24"/>
          <w:szCs w:val="24"/>
        </w:rPr>
        <w:t xml:space="preserve">Relação econômica e </w:t>
      </w:r>
      <w:r>
        <w:rPr>
          <w:rFonts w:eastAsia="Times New Roman" w:cs="Times New Roman"/>
          <w:b/>
          <w:bCs/>
          <w:i/>
          <w:iCs/>
          <w:color w:themeColor="text1" w:val="000000"/>
          <w:sz w:val="24"/>
          <w:szCs w:val="24"/>
        </w:rPr>
        <w:t>Lean</w:t>
      </w:r>
      <w:r>
        <w:rPr>
          <w:rFonts w:eastAsia="Times New Roman" w:cs="Times New Roman"/>
          <w:b/>
          <w:bCs/>
          <w:color w:themeColor="text1" w:val="000000"/>
          <w:sz w:val="24"/>
          <w:szCs w:val="24"/>
        </w:rPr>
        <w:t>:</w:t>
      </w:r>
      <w:r>
        <w:rPr>
          <w:rFonts w:eastAsia="Times New Roman" w:cs="Times New Roman"/>
          <w:color w:themeColor="text1" w:val="000000"/>
          <w:sz w:val="24"/>
          <w:szCs w:val="24"/>
        </w:rPr>
        <w:t xml:space="preserve"> Darabad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e Wang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fundamentam o algoritmo de simulação financeira, no qual a curva U-invertida deve ser implementada como restrição não-linear, e Silva Araújo, Keesman e Goddek (2021) fornecem a topologia de cálculo (VPL, payback descontado e categorias de investimento), com </w:t>
      </w:r>
      <w:r>
        <w:rPr>
          <w:rFonts w:eastAsia="Times New Roman" w:cs="Times New Roman"/>
          <w:i/>
          <w:iCs/>
          <w:color w:themeColor="text1" w:val="000000"/>
          <w:sz w:val="24"/>
          <w:szCs w:val="24"/>
        </w:rPr>
        <w:t xml:space="preserve">benchmark </w:t>
      </w:r>
      <w:r>
        <w:rPr>
          <w:rFonts w:eastAsia="Times New Roman" w:cs="Times New Roman"/>
          <w:color w:themeColor="text1" w:val="000000"/>
          <w:sz w:val="24"/>
          <w:szCs w:val="24"/>
        </w:rPr>
        <w:t xml:space="preserve">empírico de </w:t>
      </w:r>
      <w:r>
        <w:rPr>
          <w:rFonts w:eastAsia="Times New Roman" w:cs="Times New Roman"/>
          <w:i/>
          <w:iCs/>
          <w:color w:themeColor="text1" w:val="000000"/>
          <w:sz w:val="24"/>
          <w:szCs w:val="24"/>
        </w:rPr>
        <w:t>payback</w:t>
      </w:r>
      <w:r>
        <w:rPr>
          <w:rFonts w:eastAsia="Times New Roman" w:cs="Times New Roman"/>
          <w:color w:themeColor="text1" w:val="000000"/>
          <w:sz w:val="24"/>
          <w:szCs w:val="24"/>
        </w:rPr>
        <w:t xml:space="preserve"> médio de sete anos em aquaponia europeia. Nayal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acrescentam que a redução de custos figura entre os direcionadores mais expressivos para adoção de IoT e TIC, e Mahmood Abd Elkhalik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(2026) fundamentam o mapeamento ferramenta-dimensão: </w:t>
      </w:r>
      <w:r>
        <w:rPr>
          <w:rFonts w:eastAsia="Times New Roman" w:cs="Times New Roman"/>
          <w:i/>
          <w:iCs/>
          <w:color w:themeColor="text1" w:val="000000"/>
          <w:sz w:val="24"/>
          <w:szCs w:val="24"/>
        </w:rPr>
        <w:t>Just-in-Time</w:t>
      </w:r>
      <w:r>
        <w:rPr>
          <w:rFonts w:eastAsia="Times New Roman" w:cs="Times New Roman"/>
          <w:color w:themeColor="text1" w:val="000000"/>
          <w:sz w:val="24"/>
          <w:szCs w:val="24"/>
        </w:rPr>
        <w:t xml:space="preserve"> aplicado à compra e estocagem de ração, Total Productive Maintenance aplicada a bombas, aeradores e RAS, e 5S aplicado aos postos de manejo, cada ferramenta operando com pesos diferenciados sobre os indicadores econômicos 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w:t>
      </w:r>
    </w:p>
    <w:p>
      <w:pPr>
        <w:pStyle w:val="ListParagraph"/>
        <w:numPr>
          <w:ilvl w:val="0"/>
          <w:numId w:val="8"/>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b/>
          <w:bCs/>
          <w:color w:themeColor="text1" w:val="000000"/>
          <w:sz w:val="24"/>
          <w:szCs w:val="24"/>
        </w:rPr>
        <w:t>Eixo social e governança:</w:t>
      </w:r>
      <w:r>
        <w:rPr>
          <w:rFonts w:eastAsia="Times New Roman" w:cs="Times New Roman"/>
          <w:color w:themeColor="text1" w:val="000000"/>
          <w:sz w:val="24"/>
          <w:szCs w:val="24"/>
        </w:rPr>
        <w:t xml:space="preserve"> Koomson (2026) fundamenta a inclusão de indicadores de governança e comunicação ambiental no módulo social, e Wang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consolidam a noção de que práticas </w:t>
      </w:r>
      <w:r>
        <w:rPr>
          <w:rFonts w:eastAsia="Times New Roman" w:cs="Times New Roman"/>
          <w:i/>
          <w:iCs/>
          <w:color w:themeColor="text1" w:val="000000"/>
          <w:sz w:val="24"/>
          <w:szCs w:val="24"/>
        </w:rPr>
        <w:t xml:space="preserve">Lean </w:t>
      </w:r>
      <w:r>
        <w:rPr>
          <w:rFonts w:eastAsia="Times New Roman" w:cs="Times New Roman"/>
          <w:color w:themeColor="text1" w:val="000000"/>
          <w:sz w:val="24"/>
          <w:szCs w:val="24"/>
        </w:rPr>
        <w:t xml:space="preserve">devem ser dimensionadas em intervalo ótimo que preserve a resiliência social. Olivares-Aguilar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(2022) introduzem os sistemas socioecológicos costeiros e os Motivos de Preocupação do IPCC como indicadores de risco climático, e Mahmood Abd Elkhalik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(2026) informam duas decisões arquitetônicas: variáveis institucionais (CONAMA, licenciamento e certificações) como </w:t>
      </w:r>
      <w:r>
        <w:rPr>
          <w:rFonts w:eastAsia="Times New Roman" w:cs="Times New Roman"/>
          <w:i/>
          <w:iCs/>
          <w:color w:themeColor="text1" w:val="000000"/>
          <w:sz w:val="24"/>
          <w:szCs w:val="24"/>
        </w:rPr>
        <w:t>inputs</w:t>
      </w:r>
      <w:r>
        <w:rPr>
          <w:rFonts w:eastAsia="Times New Roman" w:cs="Times New Roman"/>
          <w:color w:themeColor="text1" w:val="000000"/>
          <w:sz w:val="24"/>
          <w:szCs w:val="24"/>
        </w:rPr>
        <w:t xml:space="preserve"> e capacidade adaptativa como expressão computacional de cenários estocásticos. Em conjunto, esses elementos apontam o caráter pioneiro do EVTEAS-Py ao operacionalizar conexões entre tecnologia digital, governança e dimensão social ainda apontadas como abertas pela literatura.</w:t>
      </w:r>
    </w:p>
    <w:p>
      <w:pPr>
        <w:pStyle w:val="Normal"/>
        <w:spacing w:lineRule="auto" w:line="360" w:before="0" w:after="0"/>
        <w:jc w:val="both"/>
        <w:rPr>
          <w:rFonts w:ascii="Times New Roman" w:hAnsi="Times New Roman" w:eastAsia="Times New Roman" w:cs="Times New Roman"/>
          <w:color w:val="EE0000"/>
          <w:sz w:val="24"/>
          <w:szCs w:val="24"/>
        </w:rPr>
      </w:pPr>
      <w:r>
        <w:rPr>
          <w:rFonts w:eastAsia="Times New Roman" w:cs="Times New Roman"/>
          <w:color w:val="EE0000"/>
          <w:sz w:val="24"/>
          <w:szCs w:val="24"/>
        </w:rPr>
      </w:r>
    </w:p>
    <w:p>
      <w:pPr>
        <w:pStyle w:val="Heading2"/>
        <w:spacing w:lineRule="auto" w:line="360" w:before="0" w:after="0"/>
        <w:rPr>
          <w:rFonts w:ascii="Times New Roman" w:hAnsi="Times New Roman" w:eastAsia="Times New Roman" w:cs="Times New Roman"/>
          <w:b/>
          <w:bCs/>
          <w:color w:themeColor="text1" w:val="000000"/>
          <w:sz w:val="28"/>
          <w:szCs w:val="28"/>
        </w:rPr>
      </w:pPr>
      <w:bookmarkStart w:id="98" w:name="_Toc242269294"/>
      <w:bookmarkStart w:id="99" w:name="_Toc242269213"/>
      <w:bookmarkStart w:id="100" w:name="_Toc242269134"/>
      <w:r>
        <w:rPr>
          <w:rFonts w:eastAsia="Times New Roman" w:cs="Times New Roman" w:ascii="Times New Roman" w:hAnsi="Times New Roman"/>
          <w:b/>
          <w:bCs/>
          <w:color w:themeColor="text1" w:val="000000"/>
          <w:sz w:val="28"/>
          <w:szCs w:val="28"/>
        </w:rPr>
        <w:t>2.7 Revisão bibliográfica: livros, artigos relevantes, normas e documentos institucionais</w:t>
      </w:r>
      <w:bookmarkEnd w:id="98"/>
      <w:bookmarkEnd w:id="99"/>
      <w:bookmarkEnd w:id="100"/>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Esse levantamento parte do entendimento de que a revisão sistemática, embora rigorosa na seleção de artigos de periódicos, não substitui a referência a obras clássicas e documentos normativos que fundamentam os construtos teóricos mobilizados. O levantamento foi realizado com material já em posse do autor e com pesquisas apoiadas por inteligência artificial para localizar documentos específicos, como </w:t>
      </w:r>
      <w:r>
        <w:rPr>
          <w:rFonts w:eastAsia="Times New Roman" w:cs="Times New Roman"/>
          <w:i/>
          <w:iCs/>
          <w:color w:themeColor="text1" w:val="000000"/>
          <w:sz w:val="24"/>
          <w:szCs w:val="24"/>
        </w:rPr>
        <w:t>softwares</w:t>
      </w:r>
      <w:r>
        <w:rPr>
          <w:rFonts w:eastAsia="Times New Roman" w:cs="Times New Roman"/>
          <w:color w:themeColor="text1" w:val="000000"/>
          <w:sz w:val="24"/>
          <w:szCs w:val="24"/>
        </w:rPr>
        <w:t xml:space="preserve"> ou </w:t>
      </w:r>
      <w:r>
        <w:rPr>
          <w:rFonts w:eastAsia="Times New Roman" w:cs="Times New Roman"/>
          <w:i/>
          <w:iCs/>
          <w:color w:themeColor="text1" w:val="000000"/>
          <w:sz w:val="24"/>
          <w:szCs w:val="24"/>
        </w:rPr>
        <w:t xml:space="preserve">frameworks </w:t>
      </w:r>
      <w:r>
        <w:rPr>
          <w:rFonts w:eastAsia="Times New Roman" w:cs="Times New Roman"/>
          <w:color w:themeColor="text1" w:val="000000"/>
          <w:sz w:val="24"/>
          <w:szCs w:val="24"/>
        </w:rPr>
        <w:t>em Python.</w:t>
      </w:r>
    </w:p>
    <w:p>
      <w:pPr>
        <w:sectPr>
          <w:headerReference w:type="default" r:id="rId23"/>
          <w:headerReference w:type="first" r:id="rId24"/>
          <w:footerReference w:type="default" r:id="rId25"/>
          <w:footerReference w:type="first" r:id="rId26"/>
          <w:footnotePr>
            <w:numFmt w:val="decimal"/>
          </w:footnotePr>
          <w:type w:val="nextPage"/>
          <w:pgSz w:w="11906" w:h="16838"/>
          <w:pgMar w:left="1134" w:right="1701" w:gutter="0" w:header="708" w:top="1417" w:footer="0" w:bottom="1417"/>
          <w:pgNumType w:fmt="decimal"/>
          <w:formProt w:val="false"/>
          <w:textDirection w:val="lrTb"/>
          <w:docGrid w:type="default" w:linePitch="299" w:charSpace="4096"/>
        </w:sectPr>
        <w:pStyle w:val="Normal"/>
        <w:spacing w:lineRule="auto" w:line="360" w:before="0" w:after="0"/>
        <w:ind w:firstLine="708"/>
        <w:jc w:val="both"/>
        <w:rPr>
          <w:rFonts w:ascii="Calibri Light" w:hAnsi="Calibri Light" w:eastAsia="Times New Roman" w:cs="Calibri Light" w:asciiTheme="majorHAnsi" w:cstheme="majorHAnsi" w:hAnsiTheme="majorHAnsi"/>
          <w:color w:themeColor="text1" w:val="000000"/>
          <w:sz w:val="16"/>
          <w:szCs w:val="16"/>
        </w:rPr>
      </w:pPr>
      <w:r>
        <w:rPr>
          <w:rFonts w:eastAsia="Times New Roman" w:cs="Times New Roman"/>
          <w:color w:themeColor="text1" w:val="000000"/>
          <w:sz w:val="24"/>
          <w:szCs w:val="24"/>
        </w:rPr>
        <w:t xml:space="preserve">O levantamento complementar foi organizado em nove áreas temáticas, cobrindo o espectro teórico-conceitual, técnico-instrumental, normativo-legal e computacional do </w:t>
      </w:r>
      <w:r>
        <w:rPr>
          <w:rFonts w:eastAsia="Times New Roman" w:cs="Times New Roman"/>
          <w:i/>
          <w:iCs/>
          <w:color w:themeColor="text1" w:val="000000"/>
          <w:sz w:val="24"/>
          <w:szCs w:val="24"/>
        </w:rPr>
        <w:t xml:space="preserve">framework </w:t>
      </w:r>
      <w:r>
        <w:rPr>
          <w:rFonts w:eastAsia="Times New Roman" w:cs="Times New Roman"/>
          <w:color w:themeColor="text1" w:val="000000"/>
          <w:sz w:val="24"/>
          <w:szCs w:val="24"/>
        </w:rPr>
        <w:t xml:space="preserve">proposto. A ideia de trabalhar com eixos de pesquisa surge na revisão sistemática da literatura e depois é reorganizada na revisão bibliográfica. </w:t>
      </w:r>
    </w:p>
    <w:p>
      <w:pPr>
        <w:pStyle w:val="Normal"/>
        <w:spacing w:lineRule="auto" w:line="360" w:before="0" w:after="0"/>
        <w:jc w:val="both"/>
        <w:rPr>
          <w:rFonts w:ascii="Arial" w:hAnsi="Arial" w:eastAsia="Arial" w:cs="Arial"/>
          <w:color w:themeColor="text1" w:val="000000"/>
          <w:sz w:val="24"/>
          <w:szCs w:val="24"/>
        </w:rPr>
      </w:pPr>
      <w:r>
        <w:rPr>
          <w:rFonts w:eastAsia="Arial" w:cs="Arial" w:ascii="Arial" w:hAnsi="Arial"/>
          <w:color w:themeColor="text1" w:val="000000"/>
          <w:sz w:val="24"/>
          <w:szCs w:val="24"/>
        </w:rPr>
      </w:r>
    </w:p>
    <w:p>
      <w:pPr>
        <w:pStyle w:val="Heading2"/>
        <w:spacing w:lineRule="auto" w:line="360" w:before="0" w:after="0"/>
        <w:rPr>
          <w:rFonts w:ascii="Times New Roman" w:hAnsi="Times New Roman" w:eastAsia="Times New Roman" w:cs="Times New Roman"/>
          <w:b/>
          <w:bCs/>
          <w:color w:themeColor="text1" w:val="000000"/>
          <w:sz w:val="28"/>
          <w:szCs w:val="28"/>
        </w:rPr>
      </w:pPr>
      <w:bookmarkStart w:id="101" w:name="_Toc242269295"/>
      <w:bookmarkStart w:id="102" w:name="_Toc242269214"/>
      <w:bookmarkStart w:id="103" w:name="_Toc242269135"/>
      <w:r>
        <w:rPr>
          <w:rFonts w:eastAsia="Times New Roman" w:cs="Times New Roman" w:ascii="Times New Roman" w:hAnsi="Times New Roman"/>
          <w:b/>
          <w:bCs/>
          <w:color w:themeColor="text1" w:val="000000"/>
          <w:sz w:val="28"/>
          <w:szCs w:val="28"/>
        </w:rPr>
        <w:t xml:space="preserve">2.8 Eixo 1 – </w:t>
      </w:r>
      <w:r>
        <w:rPr>
          <w:rFonts w:eastAsia="Times New Roman" w:cs="Times New Roman" w:ascii="Times New Roman" w:hAnsi="Times New Roman"/>
          <w:b/>
          <w:bCs/>
          <w:i/>
          <w:iCs/>
          <w:color w:themeColor="text1" w:val="000000"/>
          <w:sz w:val="28"/>
          <w:szCs w:val="28"/>
        </w:rPr>
        <w:t xml:space="preserve">Frameworks </w:t>
      </w:r>
      <w:r>
        <w:rPr>
          <w:rFonts w:eastAsia="Times New Roman" w:cs="Times New Roman" w:ascii="Times New Roman" w:hAnsi="Times New Roman"/>
          <w:b/>
          <w:bCs/>
          <w:color w:themeColor="text1" w:val="000000"/>
          <w:sz w:val="28"/>
          <w:szCs w:val="28"/>
        </w:rPr>
        <w:t>aplicados a estudos de viabilidade em aquicultura</w:t>
      </w:r>
      <w:bookmarkEnd w:id="101"/>
      <w:bookmarkEnd w:id="102"/>
      <w:bookmarkEnd w:id="103"/>
    </w:p>
    <w:p>
      <w:pPr>
        <w:pStyle w:val="Normal"/>
        <w:rPr/>
      </w:pPr>
      <w:r>
        <w:rPr/>
      </w:r>
    </w:p>
    <w:p>
      <w:pPr>
        <w:pStyle w:val="Heading3"/>
        <w:spacing w:lineRule="auto" w:line="360" w:before="0" w:after="0"/>
        <w:rPr>
          <w:rFonts w:ascii="Times New Roman" w:hAnsi="Times New Roman" w:eastAsia="Times New Roman" w:cs="Times New Roman"/>
          <w:color w:themeColor="text1" w:val="000000"/>
        </w:rPr>
      </w:pPr>
      <w:bookmarkStart w:id="104" w:name="_Toc242269296"/>
      <w:bookmarkStart w:id="105" w:name="_Toc242269215"/>
      <w:bookmarkStart w:id="106" w:name="_Toc242269136"/>
      <w:r>
        <w:rPr>
          <w:rFonts w:eastAsia="Times New Roman" w:cs="Times New Roman"/>
          <w:color w:themeColor="text1" w:val="000000"/>
        </w:rPr>
        <w:t>2.8.1 O EVTEAS e a tomada de decisão estratégica sustentável</w:t>
      </w:r>
      <w:bookmarkEnd w:id="104"/>
      <w:bookmarkEnd w:id="105"/>
      <w:bookmarkEnd w:id="106"/>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integração da sustentabilidade em decisões estratégicas frequentemente falha por ficar em um campo teórico, declaratório ou restrito a relatórios de conformidade que não dialogam com a operação real, pois há escassez de instrumentos práticos que apoiem os gestores a mensurar, ponderar e priorizar questões de sustentabilidade em cenários reais de investimento (Calabrese </w:t>
      </w:r>
      <w:r>
        <w:rPr>
          <w:rFonts w:eastAsia="Times New Roman" w:cs="Times New Roman"/>
          <w:i/>
          <w:iCs/>
          <w:color w:themeColor="text1" w:val="000000"/>
          <w:sz w:val="24"/>
          <w:szCs w:val="24"/>
        </w:rPr>
        <w:t>et al</w:t>
      </w:r>
      <w:r>
        <w:rPr>
          <w:rFonts w:eastAsia="Times New Roman" w:cs="Times New Roman"/>
          <w:color w:themeColor="text1" w:val="000000"/>
          <w:sz w:val="24"/>
          <w:szCs w:val="24"/>
        </w:rPr>
        <w:t>., 2019). O EVTEAS, surgido como objeto de estudo a partir da experiência do autor, é tradicionalmente realizado como Estudo de Viabilidade Técnica e Econômica (EVTE), com foco em métricas financeiras determinísticas, como o Valor Presente Líquido (VPL) e a Taxa Interna de Retorno (TIR) (Assaf Neto, 2014, p. 378-388). Entretanto, a complexidade dos sistemas produtivos contemporâneos, especialmente na aquicultura, exige uma abordagem holística e multicritério que as planilhas financeiras convencionais têm desafio de capturar de modo dinâmico, pois a gestão estratégica sustentável busca a criação de "valor compartilhado" e enfrenta paralisia decisória diante da incerteza e da ambiguidade dos dados ambientais.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Garnett, Röös e Little (2015) introduzem uma crítica pertinente a esse respeito, ao alertar para o fenômeno da "eficiência obscena". Segundo eles, isso ocorre quando a busca cega por métricas isoladas de produtividade, ignora impactos difusos e externalidades negativas, como o comprometimento do bem-estar animal e a degradação da integridade ecossistêmica a longo prazo. Entende-se com base nisso que, um EVTEAS robusto deve atuar como um filtro ético e técnico, capaz de incorporar valores "subjetivos" na equação de viabilidade, ao bloquear que a eficiência seja um fim em si mesma, mas sim um meio calibrado para atingir a sustentabilidade sistêmica.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Essa complexidade decisória é amplificada em cadeias de suprimentos globais e voláteis, nas quais a competição ocorre entre cadeias inteiras, e não entre empresas isoladas. O EVTEAS enfrenta, então, o dilema estratégico entre "ser enxuto" (</w:t>
      </w:r>
      <w:r>
        <w:rPr>
          <w:rFonts w:eastAsia="Times New Roman" w:cs="Times New Roman"/>
          <w:i/>
          <w:iCs/>
          <w:color w:themeColor="text1" w:val="000000"/>
          <w:sz w:val="24"/>
          <w:szCs w:val="24"/>
        </w:rPr>
        <w:t>Lean</w:t>
      </w:r>
      <w:r>
        <w:rPr>
          <w:rFonts w:eastAsia="Times New Roman" w:cs="Times New Roman"/>
          <w:color w:themeColor="text1" w:val="000000"/>
          <w:sz w:val="24"/>
          <w:szCs w:val="24"/>
        </w:rPr>
        <w:t>) e "ser resiliente" (</w:t>
      </w:r>
      <w:r>
        <w:rPr>
          <w:rFonts w:eastAsia="Times New Roman" w:cs="Times New Roman"/>
          <w:i/>
          <w:iCs/>
          <w:color w:themeColor="text1" w:val="000000"/>
          <w:sz w:val="24"/>
          <w:szCs w:val="24"/>
        </w:rPr>
        <w:t>Responsive</w:t>
      </w:r>
      <w:r>
        <w:rPr>
          <w:rFonts w:eastAsia="Times New Roman" w:cs="Times New Roman"/>
          <w:color w:themeColor="text1" w:val="000000"/>
          <w:sz w:val="24"/>
          <w:szCs w:val="24"/>
        </w:rPr>
        <w:t xml:space="preserve">), ao avaliar a capacidade de resposta da cadeia a incertezas de mercado e riscos biológicos, conforme o conceito de </w:t>
      </w:r>
      <w:r>
        <w:rPr>
          <w:rFonts w:eastAsia="Times New Roman" w:cs="Times New Roman"/>
          <w:i/>
          <w:iCs/>
          <w:color w:themeColor="text1" w:val="000000"/>
          <w:sz w:val="24"/>
          <w:szCs w:val="24"/>
        </w:rPr>
        <w:t xml:space="preserve">Responsive Supply Chain </w:t>
      </w:r>
      <w:r>
        <w:rPr>
          <w:rFonts w:eastAsia="Times New Roman" w:cs="Times New Roman"/>
          <w:color w:themeColor="text1" w:val="000000"/>
          <w:sz w:val="24"/>
          <w:szCs w:val="24"/>
        </w:rPr>
        <w:t>de Gunasekaran, Lai e Cheng (2008).</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Além das dimensões econômica e operacional, a viabilidade social (o "S" do EVTEAS) não pode ser tratada como anexo burocrático. Hurst e Ihlen (2018) defendem que as organizações mapeiem as expectativas sociais e demonstrem, por meio de dados, como suas decisões estratégicas respondem a essas demandas, processo de "fechar o ciclo". Sem ferramentas analíticas que processem esses dados, o EVTEAS falha em garantir a "licença social para operar", necessidade cujas raízes históricas na filantropia estratégica foram revisadas por Janowski (2021) ao analisar o legado de Andrew Carnegie.</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Para equacionar essas múltiplas variáveis: econômicas, biológicas, sociais e estratégicas, as ferramentas tradicionais de gestão mostram-se insuficientes. É neste cenário que a proposição de </w:t>
      </w:r>
      <w:r>
        <w:rPr>
          <w:rFonts w:eastAsia="Times New Roman" w:cs="Times New Roman"/>
          <w:i/>
          <w:iCs/>
          <w:color w:themeColor="text1" w:val="000000"/>
          <w:sz w:val="24"/>
          <w:szCs w:val="24"/>
        </w:rPr>
        <w:t>frameworks</w:t>
      </w:r>
      <w:r>
        <w:rPr>
          <w:rFonts w:eastAsia="Times New Roman" w:cs="Times New Roman"/>
          <w:color w:themeColor="text1" w:val="000000"/>
          <w:sz w:val="24"/>
          <w:szCs w:val="24"/>
        </w:rPr>
        <w:t xml:space="preserve"> computacionais ganha relevância, mesmo que na etapa de planejamento.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 uso de linguagens de programação como Python permite a aplicação de métodos estruturados avançados, difuso citado por Calabrese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(2019), ou simulações, para selecionar e ponderar questões relevantes de sustentabilidade. Isso pode propiciar que o EVTEAS deixe de ser um documento estático, "de gaveta", e se torne uma ferramenta de governança dinâmica, capaz de simular cenários e orientar a tomada de decisão em tempo real frente às perturbações do ambiente externo.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Com apoio de ferramenta de inteligência artificial, foram revisitados trabalhos próximos ao presente estudo, contemplando tanto estudos de viabilidade técnico-econômico-financeira tradicionais quanto </w:t>
      </w:r>
      <w:r>
        <w:rPr>
          <w:rFonts w:eastAsia="Times New Roman" w:cs="Times New Roman"/>
          <w:i/>
          <w:iCs/>
          <w:color w:themeColor="text1" w:val="000000"/>
          <w:sz w:val="24"/>
          <w:szCs w:val="24"/>
        </w:rPr>
        <w:t>frameworks</w:t>
      </w:r>
      <w:r>
        <w:rPr>
          <w:rFonts w:eastAsia="Times New Roman" w:cs="Times New Roman"/>
          <w:color w:themeColor="text1" w:val="000000"/>
          <w:sz w:val="24"/>
          <w:szCs w:val="24"/>
        </w:rPr>
        <w:t xml:space="preserve"> computacionais aplicados à viabilidade de projetos em engenharia e aquicultura.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Destaca-se a monografia de Costa Magalhães (2022), que desenvolveu um sistema web em Python e Django para analisar a viabilidade de unidades industriais, ao integrar cálculos de CAPEX, OPEX, fluxo de caixa e indicadores financeiros como VPL e TIR.</w:t>
      </w:r>
      <w:r>
        <w:rPr>
          <w:color w:themeColor="text1" w:val="000000"/>
        </w:rPr>
        <w:t xml:space="preserve"> </w:t>
      </w:r>
      <w:r>
        <w:rPr>
          <w:rFonts w:eastAsia="Times New Roman" w:cs="Times New Roman"/>
          <w:color w:themeColor="text1" w:val="000000"/>
          <w:sz w:val="24"/>
          <w:szCs w:val="24"/>
        </w:rPr>
        <w:t xml:space="preserve">Embora o foco setorial de Costa Magalhães (2022) esteja voltada à engenharia química, sua arquitetura de </w:t>
      </w:r>
      <w:r>
        <w:rPr>
          <w:rFonts w:eastAsia="Times New Roman" w:cs="Times New Roman"/>
          <w:i/>
          <w:iCs/>
          <w:color w:themeColor="text1" w:val="000000"/>
          <w:sz w:val="24"/>
          <w:szCs w:val="24"/>
        </w:rPr>
        <w:t>software</w:t>
      </w:r>
      <w:r>
        <w:rPr>
          <w:rFonts w:eastAsia="Times New Roman" w:cs="Times New Roman"/>
          <w:color w:themeColor="text1" w:val="000000"/>
          <w:sz w:val="24"/>
          <w:szCs w:val="24"/>
        </w:rPr>
        <w:t>, o uso de orientação a objetos e a implementação de modelos de análise econômica em ambiente web dialogam diretamente com a proposta deste estudo, que também adota Python como base tecnológica.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O EVTEAS-Py expande a lógica de ferramentas como a de Costa Magalhães (2022) ao incorporar dimensões ambientais, sociais e de governança e ao alinhar se a referenciais contemporâneos de sustentabilidade, como os indicadores ESG e as diretrizes da Agenda 2030 da ONU.</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Aponta-se também o t</w:t>
      </w:r>
      <w:r>
        <w:rPr>
          <w:rFonts w:eastAsia="Times New Roman" w:cs="Times New Roman"/>
          <w:i/>
          <w:iCs/>
          <w:color w:themeColor="text1" w:val="000000"/>
          <w:sz w:val="24"/>
          <w:szCs w:val="24"/>
        </w:rPr>
        <w:t>oolbox pyteea</w:t>
      </w:r>
      <w:r>
        <w:rPr>
          <w:rFonts w:eastAsia="Times New Roman" w:cs="Times New Roman"/>
          <w:color w:themeColor="text1" w:val="000000"/>
          <w:sz w:val="24"/>
          <w:szCs w:val="24"/>
        </w:rPr>
        <w:t xml:space="preserve"> (Maier; Weyand, 2025), infraestrutura em Python para análise técnico-econômica e Avaliação de Ciclo de Vida de processos químicos, que integra simulação de processos, modelos de custos, métricas ambientais e rotinas de integração térmica, com interface gráfica que conduz a usuária na configuração e avaliação das análises. O EVTEAS-Py segue direção análoga, porém orientada à piscicultura, com indicadores ESG e </w:t>
      </w:r>
      <w:r>
        <w:rPr>
          <w:rFonts w:eastAsia="Times New Roman" w:cs="Times New Roman"/>
          <w:i/>
          <w:iCs/>
          <w:color w:themeColor="text1" w:val="000000"/>
          <w:sz w:val="24"/>
          <w:szCs w:val="24"/>
        </w:rPr>
        <w:t xml:space="preserve">Lean Green, </w:t>
      </w:r>
      <w:r>
        <w:rPr>
          <w:rFonts w:eastAsia="Times New Roman" w:cs="Times New Roman"/>
          <w:color w:themeColor="text1" w:val="000000"/>
          <w:sz w:val="24"/>
          <w:szCs w:val="24"/>
        </w:rPr>
        <w:t>à realidade de pequenos e médios produtores e com escopo ampliado para além da análise técnica e do ciclo de vida.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Destaca-se ainda o </w:t>
      </w:r>
      <w:r>
        <w:rPr>
          <w:rFonts w:eastAsia="Times New Roman" w:cs="Times New Roman"/>
          <w:i/>
          <w:iCs/>
          <w:color w:themeColor="text1" w:val="000000"/>
          <w:sz w:val="24"/>
          <w:szCs w:val="24"/>
        </w:rPr>
        <w:t>software</w:t>
      </w:r>
      <w:r>
        <w:rPr>
          <w:rFonts w:eastAsia="Times New Roman" w:cs="Times New Roman"/>
          <w:color w:themeColor="text1" w:val="000000"/>
          <w:sz w:val="24"/>
          <w:szCs w:val="24"/>
        </w:rPr>
        <w:t xml:space="preserve"> AQUA+, proposto por Ramos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(2024) como aplicação web voltada ao controle econômico-financeiro de projetos de piscicultura, carcinicultura e ostreicultura, que integra planilhas de custos, fluxo de caixa e indicadores econômicos em uma interface voltada ao produtor rural, ao evidenciar a importância da automatização de cálculos e do acesso a</w:t>
      </w:r>
      <w:r>
        <w:rPr>
          <w:rFonts w:eastAsia="Times New Roman" w:cs="Times New Roman"/>
          <w:i/>
          <w:iCs/>
          <w:color w:themeColor="text1" w:val="000000"/>
          <w:sz w:val="24"/>
          <w:szCs w:val="24"/>
        </w:rPr>
        <w:t xml:space="preserve"> dashboards </w:t>
      </w:r>
      <w:r>
        <w:rPr>
          <w:rFonts w:eastAsia="Times New Roman" w:cs="Times New Roman"/>
          <w:color w:themeColor="text1" w:val="000000"/>
          <w:sz w:val="24"/>
          <w:szCs w:val="24"/>
        </w:rPr>
        <w:t>para a profissionalização da atividade e a inclusão digital de produtores.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 EVTEAS-Py aproxima-se dessa proposta ao automatizar a avaliação de investimentos em piscicultura, porém amplia o escopo ao integrar as dimensões técnica, econômica, ambiental e social, com princípios </w:t>
      </w:r>
      <w:r>
        <w:rPr>
          <w:rFonts w:eastAsia="Times New Roman" w:cs="Times New Roman"/>
          <w:i/>
          <w:iCs/>
          <w:color w:themeColor="text1" w:val="000000"/>
          <w:sz w:val="24"/>
          <w:szCs w:val="24"/>
        </w:rPr>
        <w:t>Lean</w:t>
      </w:r>
      <w:r>
        <w:rPr>
          <w:rFonts w:eastAsia="Times New Roman" w:cs="Times New Roman"/>
          <w:color w:themeColor="text1" w:val="000000"/>
          <w:sz w:val="24"/>
          <w:szCs w:val="24"/>
        </w:rPr>
        <w:t xml:space="preserve"> </w:t>
      </w:r>
      <w:r>
        <w:rPr>
          <w:rFonts w:eastAsia="Times New Roman" w:cs="Times New Roman"/>
          <w:i/>
          <w:iCs/>
          <w:color w:themeColor="text1" w:val="000000"/>
          <w:sz w:val="24"/>
          <w:szCs w:val="24"/>
        </w:rPr>
        <w:t>Green</w:t>
      </w:r>
      <w:r>
        <w:rPr>
          <w:rFonts w:eastAsia="Times New Roman" w:cs="Times New Roman"/>
          <w:color w:themeColor="text1" w:val="000000"/>
          <w:sz w:val="24"/>
          <w:szCs w:val="24"/>
        </w:rPr>
        <w:t>, indicadores ESG e variáveis alinhadas à Agenda 2030, para além da análise estritamente econômico-financeira contemplada no AQUA+.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Identificou-se também o</w:t>
      </w:r>
      <w:r>
        <w:rPr>
          <w:rFonts w:eastAsia="Times New Roman" w:cs="Times New Roman"/>
          <w:i/>
          <w:iCs/>
          <w:color w:themeColor="text1" w:val="000000"/>
          <w:sz w:val="24"/>
          <w:szCs w:val="24"/>
        </w:rPr>
        <w:t xml:space="preserve"> AquaSpace tool</w:t>
      </w:r>
      <w:r>
        <w:rPr>
          <w:rFonts w:eastAsia="Times New Roman" w:cs="Times New Roman"/>
          <w:color w:themeColor="text1" w:val="000000"/>
          <w:sz w:val="24"/>
          <w:szCs w:val="24"/>
        </w:rPr>
        <w:t xml:space="preserve"> (Gimpel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2018), um </w:t>
      </w:r>
      <w:r>
        <w:rPr>
          <w:rFonts w:eastAsia="Times New Roman" w:cs="Times New Roman"/>
          <w:i/>
          <w:iCs/>
          <w:color w:themeColor="text1" w:val="000000"/>
          <w:sz w:val="24"/>
          <w:szCs w:val="24"/>
        </w:rPr>
        <w:t xml:space="preserve">AddIn </w:t>
      </w:r>
      <w:r>
        <w:rPr>
          <w:rFonts w:eastAsia="Times New Roman" w:cs="Times New Roman"/>
          <w:color w:themeColor="text1" w:val="000000"/>
          <w:sz w:val="24"/>
          <w:szCs w:val="24"/>
        </w:rPr>
        <w:t xml:space="preserve">em SIG desenvolvido para apoiar o planejamento espacial da aquicultura em contextos de diversos usos do mar, por meio da análise integrada de 30 indicadores econômicos, ambientais, intersetoriais e socioculturais, voltados à identificação de conflitos, sinergias e </w:t>
      </w:r>
      <w:r>
        <w:rPr>
          <w:rFonts w:eastAsia="Times New Roman" w:cs="Times New Roman"/>
          <w:i/>
          <w:iCs/>
          <w:color w:themeColor="text1" w:val="000000"/>
          <w:sz w:val="24"/>
          <w:szCs w:val="24"/>
        </w:rPr>
        <w:t>trade-offs</w:t>
      </w:r>
      <w:r>
        <w:rPr>
          <w:rFonts w:eastAsia="Times New Roman" w:cs="Times New Roman"/>
          <w:color w:themeColor="text1" w:val="000000"/>
          <w:sz w:val="24"/>
          <w:szCs w:val="24"/>
        </w:rPr>
        <w:t xml:space="preserve"> em diferentes cenários de expansão do setor.</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Apesar de desenvolvido para apoiar na gestão marinha, o </w:t>
      </w:r>
      <w:r>
        <w:rPr>
          <w:rFonts w:eastAsia="Times New Roman" w:cs="Times New Roman"/>
          <w:i/>
          <w:iCs/>
          <w:color w:themeColor="text1" w:val="000000"/>
          <w:sz w:val="24"/>
          <w:szCs w:val="24"/>
        </w:rPr>
        <w:t xml:space="preserve">AquaSpace </w:t>
      </w:r>
      <w:r>
        <w:rPr>
          <w:rFonts w:eastAsia="Times New Roman" w:cs="Times New Roman"/>
          <w:color w:themeColor="text1" w:val="000000"/>
          <w:sz w:val="24"/>
          <w:szCs w:val="24"/>
        </w:rPr>
        <w:t xml:space="preserve">dialoga com o presente trabalho ao interconectar dimensões econômicas, ambientais e sociais para suporte à tomada de decisão, ao passo que o EVTEAS Py adapta essa lógica ao contexto da piscicultura continental, com foco em pequenos e médios produtores, ao incorporar ainda princípios </w:t>
      </w:r>
      <w:r>
        <w:rPr>
          <w:rFonts w:eastAsia="Times New Roman" w:cs="Times New Roman"/>
          <w:i/>
          <w:iCs/>
          <w:color w:themeColor="text1" w:val="000000"/>
          <w:sz w:val="24"/>
          <w:szCs w:val="24"/>
        </w:rPr>
        <w:t>Lean Green</w:t>
      </w:r>
      <w:r>
        <w:rPr>
          <w:rFonts w:eastAsia="Times New Roman" w:cs="Times New Roman"/>
          <w:color w:themeColor="text1" w:val="000000"/>
          <w:sz w:val="24"/>
          <w:szCs w:val="24"/>
        </w:rPr>
        <w:t>, indicadores ESG e variáveis de viabilidade técnica e social em nível de empreendimento.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0" w:after="0"/>
        <w:rPr>
          <w:rFonts w:ascii="Times New Roman" w:hAnsi="Times New Roman" w:eastAsia="Times New Roman" w:cs="Times New Roman"/>
          <w:color w:themeColor="text1" w:val="000000"/>
        </w:rPr>
      </w:pPr>
      <w:bookmarkStart w:id="107" w:name="_Toc242269297"/>
      <w:bookmarkStart w:id="108" w:name="_Toc242269216"/>
      <w:bookmarkStart w:id="109" w:name="_Toc242269137"/>
      <w:r>
        <w:rPr>
          <w:rFonts w:eastAsia="Times New Roman" w:cs="Times New Roman"/>
          <w:color w:themeColor="text1" w:val="000000"/>
        </w:rPr>
        <w:t xml:space="preserve">2.8.2 A administração da produção, objetivos de desempenho para </w:t>
      </w:r>
      <w:r>
        <w:rPr>
          <w:rFonts w:eastAsia="Times New Roman" w:cs="Times New Roman"/>
          <w:i/>
          <w:iCs/>
          <w:color w:themeColor="text1" w:val="000000"/>
        </w:rPr>
        <w:t xml:space="preserve">framework </w:t>
      </w:r>
      <w:r>
        <w:rPr>
          <w:rFonts w:eastAsia="Times New Roman" w:cs="Times New Roman"/>
          <w:color w:themeColor="text1" w:val="000000"/>
        </w:rPr>
        <w:t>computacional</w:t>
      </w:r>
      <w:bookmarkEnd w:id="107"/>
      <w:bookmarkEnd w:id="108"/>
      <w:bookmarkEnd w:id="109"/>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Conforme salientam Slack, Chambers e Johnston (2002) qualquer operação produtiva deve ser avaliada segundo cinco objetivos de desempenho: qualidade, rapidez, confiabilidade, flexibilidade e custo. Nesse sentido,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proposto será desenhado para atuar como um motor de otimização desses objetivos na fase inicial de planejamento.</w:t>
      </w:r>
    </w:p>
    <w:p>
      <w:pPr>
        <w:pStyle w:val="ListParagraph"/>
        <w:numPr>
          <w:ilvl w:val="0"/>
          <w:numId w:val="5"/>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b/>
          <w:bCs/>
          <w:color w:themeColor="text1" w:val="000000"/>
          <w:sz w:val="24"/>
          <w:szCs w:val="24"/>
        </w:rPr>
        <w:t xml:space="preserve">Confiabilidade </w:t>
      </w:r>
      <w:r>
        <w:rPr>
          <w:rFonts w:eastAsia="Times New Roman" w:cs="Times New Roman"/>
          <w:color w:themeColor="text1" w:val="000000"/>
          <w:sz w:val="24"/>
          <w:szCs w:val="24"/>
        </w:rPr>
        <w:t>Ao substituir cálculos manuais propensos a erros, o algoritmo em Python aumentará a confiabilidade dos dados projetados.</w:t>
      </w:r>
    </w:p>
    <w:p>
      <w:pPr>
        <w:pStyle w:val="ListParagraph"/>
        <w:numPr>
          <w:ilvl w:val="0"/>
          <w:numId w:val="5"/>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b/>
          <w:bCs/>
          <w:color w:themeColor="text1" w:val="000000"/>
          <w:sz w:val="24"/>
          <w:szCs w:val="24"/>
        </w:rPr>
        <w:t>Rapidez:</w:t>
      </w:r>
      <w:r>
        <w:rPr>
          <w:rFonts w:eastAsia="Times New Roman" w:cs="Times New Roman"/>
          <w:color w:themeColor="text1" w:val="000000"/>
          <w:sz w:val="24"/>
          <w:szCs w:val="24"/>
        </w:rPr>
        <w:t xml:space="preserve"> rapidez na geração de cenários, o que propiciará ao produtor a tomada de decisões ágeis em mercados voláteis.</w:t>
      </w:r>
    </w:p>
    <w:p>
      <w:pPr>
        <w:pStyle w:val="ListParagraph"/>
        <w:numPr>
          <w:ilvl w:val="0"/>
          <w:numId w:val="5"/>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b/>
          <w:bCs/>
          <w:color w:themeColor="text1" w:val="000000"/>
          <w:sz w:val="24"/>
          <w:szCs w:val="24"/>
        </w:rPr>
        <w:t>Flexibilidade:</w:t>
      </w:r>
      <w:r>
        <w:rPr>
          <w:rFonts w:eastAsia="Times New Roman" w:cs="Times New Roman"/>
          <w:color w:themeColor="text1" w:val="000000"/>
          <w:sz w:val="24"/>
          <w:szCs w:val="24"/>
        </w:rPr>
        <w:t xml:space="preserve"> A estruturação do código permitirá a simulação de diferentes espécies e sistemas de produção e ajustes rápidos frente a mudanças regulatórias ou de mercado.</w:t>
      </w:r>
    </w:p>
    <w:p>
      <w:pPr>
        <w:pStyle w:val="ListParagraph"/>
        <w:numPr>
          <w:ilvl w:val="0"/>
          <w:numId w:val="5"/>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b/>
          <w:bCs/>
          <w:color w:themeColor="text1" w:val="000000"/>
          <w:sz w:val="24"/>
          <w:szCs w:val="24"/>
        </w:rPr>
        <w:t>Qualidade:</w:t>
      </w:r>
      <w:r>
        <w:rPr>
          <w:rFonts w:eastAsia="Times New Roman" w:cs="Times New Roman"/>
          <w:color w:themeColor="text1" w:val="000000"/>
          <w:sz w:val="24"/>
          <w:szCs w:val="24"/>
        </w:rPr>
        <w:t xml:space="preserve">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atuará na qualidade de conformidade do projeto. Ao integrar restrições ambientais e biológicas no código, o sistema assegurará que o produto atenda aos padrões de bem-estar e segurança alimentar.</w:t>
      </w:r>
    </w:p>
    <w:p>
      <w:pPr>
        <w:pStyle w:val="ListParagraph"/>
        <w:numPr>
          <w:ilvl w:val="0"/>
          <w:numId w:val="5"/>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b/>
          <w:bCs/>
          <w:color w:themeColor="text1" w:val="000000"/>
          <w:sz w:val="24"/>
          <w:szCs w:val="24"/>
        </w:rPr>
        <w:t>Custo</w:t>
      </w:r>
      <w:r>
        <w:rPr>
          <w:rFonts w:eastAsia="Times New Roman" w:cs="Times New Roman"/>
          <w:color w:themeColor="text1" w:val="000000"/>
          <w:sz w:val="24"/>
          <w:szCs w:val="24"/>
        </w:rPr>
        <w:t xml:space="preserve">: A viabilidade econômica será tratada não apenas como corte de gastos, entretanto como eficiência de alocação dos recursos.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identificará </w:t>
      </w:r>
      <w:r>
        <w:rPr>
          <w:rFonts w:eastAsia="Times New Roman" w:cs="Times New Roman"/>
          <w:i/>
          <w:iCs/>
          <w:color w:themeColor="text1" w:val="000000"/>
          <w:sz w:val="24"/>
          <w:szCs w:val="24"/>
        </w:rPr>
        <w:t>trade-offs</w:t>
      </w:r>
      <w:r>
        <w:rPr>
          <w:rFonts w:eastAsia="Times New Roman" w:cs="Times New Roman"/>
          <w:color w:themeColor="text1" w:val="000000"/>
          <w:sz w:val="24"/>
          <w:szCs w:val="24"/>
        </w:rPr>
        <w:t xml:space="preserve">, ao permitir que gestor visualize onde a redução de insumos, princípio </w:t>
      </w:r>
      <w:r>
        <w:rPr>
          <w:rFonts w:eastAsia="Times New Roman" w:cs="Times New Roman"/>
          <w:i/>
          <w:iCs/>
          <w:color w:themeColor="text1" w:val="000000"/>
          <w:sz w:val="24"/>
          <w:szCs w:val="24"/>
        </w:rPr>
        <w:t>Lean</w:t>
      </w:r>
      <w:r>
        <w:rPr>
          <w:rFonts w:eastAsia="Times New Roman" w:cs="Times New Roman"/>
          <w:color w:themeColor="text1" w:val="000000"/>
          <w:sz w:val="24"/>
          <w:szCs w:val="24"/>
        </w:rPr>
        <w:t xml:space="preserve">, maximizará a margem de contribuição sem degradar a operação. </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Essa abordagem tecnológica alinhar-se-á à visão de Chiavenato (2022) para quem a eficiência administrativa depende da capacidade de planejar, organizar, dirigir e controlar recursos. O </w:t>
      </w:r>
      <w:r>
        <w:rPr>
          <w:rFonts w:eastAsia="Times New Roman" w:cs="Times New Roman"/>
          <w:i/>
          <w:iCs/>
          <w:color w:themeColor="text1" w:val="000000"/>
          <w:sz w:val="24"/>
          <w:szCs w:val="24"/>
        </w:rPr>
        <w:t xml:space="preserve">framework </w:t>
      </w:r>
      <w:r>
        <w:rPr>
          <w:rFonts w:eastAsia="Times New Roman" w:cs="Times New Roman"/>
          <w:color w:themeColor="text1" w:val="000000"/>
          <w:sz w:val="24"/>
          <w:szCs w:val="24"/>
        </w:rPr>
        <w:t>atuará como um instrumento de controle, ao propiciar que o gestor visualize o comportamento dos recursos antes de empenhá-los.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0" w:after="0"/>
        <w:rPr>
          <w:rFonts w:ascii="Times New Roman" w:hAnsi="Times New Roman" w:eastAsia="Times New Roman" w:cs="Times New Roman"/>
          <w:color w:themeColor="text1" w:val="000000"/>
        </w:rPr>
      </w:pPr>
      <w:bookmarkStart w:id="110" w:name="_Toc242269298"/>
      <w:bookmarkStart w:id="111" w:name="_Toc242269217"/>
      <w:bookmarkStart w:id="112" w:name="_Toc242269138"/>
      <w:r>
        <w:rPr>
          <w:rFonts w:eastAsia="Times New Roman" w:cs="Times New Roman"/>
          <w:color w:themeColor="text1" w:val="000000"/>
        </w:rPr>
        <w:t>2.8.3 Padronização e governança de projetos: A lógica do PMBOK aplicada ao código</w:t>
      </w:r>
      <w:bookmarkEnd w:id="110"/>
      <w:bookmarkEnd w:id="111"/>
      <w:bookmarkEnd w:id="112"/>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O</w:t>
      </w:r>
      <w:r>
        <w:rPr>
          <w:rFonts w:eastAsia="Times New Roman" w:cs="Times New Roman"/>
          <w:i/>
          <w:iCs/>
          <w:color w:themeColor="text1" w:val="000000"/>
          <w:sz w:val="24"/>
          <w:szCs w:val="24"/>
        </w:rPr>
        <w:t xml:space="preserve"> Project Management Institute </w:t>
      </w:r>
      <w:r>
        <w:rPr>
          <w:rFonts w:eastAsia="Times New Roman" w:cs="Times New Roman"/>
          <w:color w:themeColor="text1" w:val="000000"/>
          <w:sz w:val="24"/>
          <w:szCs w:val="24"/>
        </w:rPr>
        <w:t>(PMI, 2021, p.</w:t>
      </w:r>
      <w:r>
        <w:rPr/>
        <w:t xml:space="preserve"> </w:t>
      </w:r>
      <w:r>
        <w:rPr>
          <w:rFonts w:eastAsia="Times New Roman" w:cs="Times New Roman"/>
          <w:color w:themeColor="text1" w:val="000000"/>
          <w:sz w:val="24"/>
          <w:szCs w:val="24"/>
        </w:rPr>
        <w:t>245-246), por meio das diretrizes do Guia PMBOK, preconiza que a gestão de projetos deve focar na entrega de valor e na gestão de restrições. O EVTEAS proposto incorpora a lógica dos "Grupos de Processos" do PMBOK (Iniciação e Planejamento).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O algoritmo dever funcionar como um</w:t>
      </w:r>
      <w:r>
        <w:rPr>
          <w:rFonts w:eastAsia="Times New Roman" w:cs="Times New Roman"/>
          <w:i/>
          <w:iCs/>
          <w:color w:themeColor="text1" w:val="000000"/>
          <w:sz w:val="24"/>
          <w:szCs w:val="24"/>
        </w:rPr>
        <w:t xml:space="preserve"> framework</w:t>
      </w:r>
      <w:r>
        <w:rPr>
          <w:rFonts w:eastAsia="Times New Roman" w:cs="Times New Roman"/>
          <w:color w:themeColor="text1" w:val="000000"/>
          <w:sz w:val="24"/>
          <w:szCs w:val="24"/>
        </w:rPr>
        <w:t xml:space="preserve"> de padronização: ele obriga o usuário a percorrer todas as etapas críticas de levantamento de requisitos, técnicos, econômico-financeiros, ambientais e sociais ao evitar omissões comuns em projetos amadores. A abordagem estruturada do PMBOK fornece a base lógica para o fluxo de dados do programa, ao ratificar que o "artefato" final integridade técnica e sirva como documento de governança confiável para investidores e órgãos reguladores.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0" w:after="0"/>
        <w:rPr>
          <w:rFonts w:ascii="Times New Roman" w:hAnsi="Times New Roman" w:eastAsia="Times New Roman" w:cs="Times New Roman"/>
          <w:color w:themeColor="text1" w:val="000000"/>
        </w:rPr>
      </w:pPr>
      <w:bookmarkStart w:id="113" w:name="_Toc242269299"/>
      <w:bookmarkStart w:id="114" w:name="_Toc242269218"/>
      <w:bookmarkStart w:id="115" w:name="_Toc242269139"/>
      <w:r>
        <w:rPr>
          <w:rFonts w:eastAsia="Times New Roman" w:cs="Times New Roman"/>
          <w:color w:themeColor="text1" w:val="000000"/>
        </w:rPr>
        <w:t>2.8.4</w:t>
      </w:r>
      <w:r>
        <w:rPr>
          <w:rFonts w:eastAsia="Times New Roman" w:cs="Times New Roman"/>
          <w:i/>
          <w:iCs/>
          <w:color w:themeColor="text1" w:val="000000"/>
        </w:rPr>
        <w:t xml:space="preserve"> Data science </w:t>
      </w:r>
      <w:r>
        <w:rPr>
          <w:rFonts w:eastAsia="Times New Roman" w:cs="Times New Roman"/>
          <w:color w:themeColor="text1" w:val="000000"/>
        </w:rPr>
        <w:t xml:space="preserve">e bibliotecas analíticas: o </w:t>
      </w:r>
      <w:r>
        <w:rPr>
          <w:rFonts w:eastAsia="Times New Roman" w:cs="Times New Roman"/>
          <w:i/>
          <w:iCs/>
          <w:color w:themeColor="text1" w:val="000000"/>
        </w:rPr>
        <w:t>framework</w:t>
      </w:r>
      <w:r>
        <w:rPr>
          <w:rFonts w:eastAsia="Times New Roman" w:cs="Times New Roman"/>
          <w:color w:themeColor="text1" w:val="000000"/>
        </w:rPr>
        <w:t xml:space="preserve"> técnico</w:t>
      </w:r>
      <w:bookmarkEnd w:id="113"/>
      <w:bookmarkEnd w:id="114"/>
      <w:bookmarkEnd w:id="115"/>
      <w:r>
        <w:rPr>
          <w:rFonts w:eastAsia="Times New Roman" w:cs="Times New Roman"/>
          <w:color w:themeColor="text1" w:val="000000"/>
        </w:rPr>
        <w:t xml:space="preserve"> </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escolha da linguagem Python fundamenta-se na possibilidade de utilizar um mesmo ambiente para pesquisa, prototipagem e construção de sistemas computacionais aplicados. McKinney (2018, p. 3–5) destaca que o ecossistema Python reúne bibliotecas voltadas à computação numérica e à análise de dados, como NumPy e Pandas. Enquanto o NumPy oferece estruturas eficientes para operações matemáticas, álgebra linear e manipulação de matrizes, o Pandas disponibiliza estruturas flexíveis para organizar dados tabulares, integrar informações provenientes de diferentes fontes e trabalhar com séries temporais. Essas características são compatíveis com o tratamento dos fluxos de caixa e das curvas de crescimento dos peixes utilizados nas análises financeiras e produtivas do EVTEAS.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Complementarmente, a modelagem de riscos e a simulação de cenários probabilísticos como a simulação Monte Carlo dependem de alta performance computacional. Oliphant (2006, p.</w:t>
      </w:r>
      <w:r>
        <w:rPr/>
        <w:t xml:space="preserve"> </w:t>
      </w:r>
      <w:r>
        <w:rPr>
          <w:rFonts w:eastAsia="Times New Roman" w:cs="Times New Roman"/>
          <w:color w:themeColor="text1" w:val="000000"/>
          <w:sz w:val="24"/>
          <w:szCs w:val="24"/>
        </w:rPr>
        <w:t xml:space="preserve">30–31), autor do guia definitivo sobre </w:t>
      </w:r>
      <w:r>
        <w:rPr>
          <w:rFonts w:eastAsia="Times New Roman" w:cs="Times New Roman"/>
          <w:i/>
          <w:iCs/>
          <w:color w:themeColor="text1" w:val="000000"/>
          <w:sz w:val="24"/>
          <w:szCs w:val="24"/>
        </w:rPr>
        <w:t>NumPy</w:t>
      </w:r>
      <w:r>
        <w:rPr>
          <w:rFonts w:eastAsia="Times New Roman" w:cs="Times New Roman"/>
          <w:color w:themeColor="text1" w:val="000000"/>
          <w:sz w:val="24"/>
          <w:szCs w:val="24"/>
        </w:rPr>
        <w:t xml:space="preserve">, demonstra que a computação vetorizada é importante para desenvolver cálculos matriciais complexos. Esses autores justificam a "robustez computacional" do </w:t>
      </w:r>
      <w:r>
        <w:rPr>
          <w:rFonts w:eastAsia="Times New Roman" w:cs="Times New Roman"/>
          <w:i/>
          <w:iCs/>
          <w:color w:themeColor="text1" w:val="000000"/>
          <w:sz w:val="24"/>
          <w:szCs w:val="24"/>
        </w:rPr>
        <w:t xml:space="preserve">framework </w:t>
      </w:r>
      <w:r>
        <w:rPr>
          <w:rFonts w:eastAsia="Times New Roman" w:cs="Times New Roman"/>
          <w:color w:themeColor="text1" w:val="000000"/>
          <w:sz w:val="24"/>
          <w:szCs w:val="24"/>
        </w:rPr>
        <w:t>para processar as variáveis do EVTEAS, superando as planilhas convencionais (</w:t>
      </w:r>
      <w:r>
        <w:rPr>
          <w:rFonts w:eastAsia="Times New Roman" w:cs="Times New Roman"/>
          <w:i/>
          <w:iCs/>
          <w:color w:themeColor="text1" w:val="000000"/>
          <w:sz w:val="24"/>
          <w:szCs w:val="24"/>
        </w:rPr>
        <w:t>Excel</w:t>
      </w:r>
      <w:r>
        <w:rPr>
          <w:rFonts w:eastAsia="Times New Roman" w:cs="Times New Roman"/>
          <w:color w:themeColor="text1" w:val="000000"/>
          <w:sz w:val="24"/>
          <w:szCs w:val="24"/>
        </w:rPr>
        <w:t>), que realizam apenas análises determinísticas e exigem retrabalho a cada novo cenário.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0" w:after="0"/>
        <w:rPr>
          <w:rFonts w:ascii="Times New Roman" w:hAnsi="Times New Roman" w:eastAsia="Times New Roman" w:cs="Times New Roman"/>
          <w:color w:themeColor="text1" w:val="000000"/>
        </w:rPr>
      </w:pPr>
      <w:bookmarkStart w:id="116" w:name="_Toc242269300"/>
      <w:bookmarkStart w:id="117" w:name="_Toc242269219"/>
      <w:bookmarkStart w:id="118" w:name="_Toc242269140"/>
      <w:r>
        <w:rPr>
          <w:rFonts w:eastAsia="Times New Roman" w:cs="Times New Roman"/>
          <w:color w:themeColor="text1" w:val="000000"/>
        </w:rPr>
        <w:t>2.8.5 A Automação de tarefas repetitivas: Python como ferramenta de produtividade</w:t>
      </w:r>
      <w:bookmarkEnd w:id="116"/>
      <w:bookmarkEnd w:id="117"/>
      <w:bookmarkEnd w:id="118"/>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elaboração de um EVTEAS envolve diversos recálculos a cada alteração de variável. Sweigart (2015, p. 1–2, 5–6), em sua obra sobre a automação de tarefas "maçantes" (</w:t>
      </w:r>
      <w:r>
        <w:rPr>
          <w:rFonts w:eastAsia="Times New Roman" w:cs="Times New Roman"/>
          <w:i/>
          <w:iCs/>
          <w:color w:themeColor="text1" w:val="000000"/>
          <w:sz w:val="24"/>
          <w:szCs w:val="24"/>
        </w:rPr>
        <w:t>boring stuff</w:t>
      </w:r>
      <w:r>
        <w:rPr>
          <w:rFonts w:eastAsia="Times New Roman" w:cs="Times New Roman"/>
          <w:color w:themeColor="text1" w:val="000000"/>
          <w:sz w:val="24"/>
          <w:szCs w:val="24"/>
        </w:rPr>
        <w:t>) com Python, aponta que o tempo humano deve ser preservado para atividades criativas e estratégicas, ao delegar à máquina a repetição algorítmica.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utilização de </w:t>
      </w:r>
      <w:r>
        <w:rPr>
          <w:rFonts w:eastAsia="Times New Roman" w:cs="Times New Roman"/>
          <w:i/>
          <w:iCs/>
          <w:color w:themeColor="text1" w:val="000000"/>
          <w:sz w:val="24"/>
          <w:szCs w:val="24"/>
        </w:rPr>
        <w:t xml:space="preserve">scripts </w:t>
      </w:r>
      <w:r>
        <w:rPr>
          <w:rFonts w:eastAsia="Times New Roman" w:cs="Times New Roman"/>
          <w:color w:themeColor="text1" w:val="000000"/>
          <w:sz w:val="24"/>
          <w:szCs w:val="24"/>
        </w:rPr>
        <w:t>em Python propicia a coleta automática de dados e a atualização instantânea de informações sistematizadas ou relatórios. Isso reduz drasticamente a margem de erro humano em tarefas manuais e apoia ao Engenheiro de Produção para focar na interpretação dos cenários, validando a tecnologia como um instrumento de produtividade cognitiva.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0" w:after="0"/>
        <w:rPr>
          <w:rFonts w:ascii="Times New Roman" w:hAnsi="Times New Roman" w:eastAsia="Times New Roman" w:cs="Times New Roman"/>
          <w:color w:themeColor="text1" w:val="000000"/>
        </w:rPr>
      </w:pPr>
      <w:bookmarkStart w:id="119" w:name="_Toc242269301"/>
      <w:bookmarkStart w:id="120" w:name="_Toc242269220"/>
      <w:bookmarkStart w:id="121" w:name="_Toc242269141"/>
      <w:r>
        <w:rPr>
          <w:rFonts w:eastAsia="Times New Roman" w:cs="Times New Roman"/>
          <w:color w:themeColor="text1" w:val="000000"/>
        </w:rPr>
        <w:t xml:space="preserve">2.8.6 Definição de variáveis, indicadores e do </w:t>
      </w:r>
      <w:r>
        <w:rPr>
          <w:rFonts w:eastAsia="Times New Roman" w:cs="Times New Roman"/>
          <w:i/>
          <w:iCs/>
          <w:color w:themeColor="text1" w:val="000000"/>
        </w:rPr>
        <w:t xml:space="preserve">framework </w:t>
      </w:r>
      <w:r>
        <w:rPr>
          <w:rFonts w:eastAsia="Times New Roman" w:cs="Times New Roman"/>
          <w:color w:themeColor="text1" w:val="000000"/>
        </w:rPr>
        <w:t>Evteas-Py</w:t>
      </w:r>
      <w:bookmarkEnd w:id="119"/>
      <w:bookmarkEnd w:id="120"/>
      <w:bookmarkEnd w:id="121"/>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Em sistemas integrados de produção aquícola, Silva Araújo, Keesman e Goddek (2021) observam que a maior parte dos estudos em aquaponia concentra-se no aspecto técnico-operacional, com baixa modelagem de negócio, de gestão de risco e de expectativas de retorno de investidores, o que limita a escalabilidade desses sistemas e ratifica a necessidade de </w:t>
      </w:r>
      <w:r>
        <w:rPr>
          <w:rFonts w:eastAsia="Times New Roman" w:cs="Times New Roman"/>
          <w:i/>
          <w:iCs/>
          <w:color w:themeColor="text1" w:val="000000"/>
          <w:sz w:val="24"/>
          <w:szCs w:val="24"/>
        </w:rPr>
        <w:t xml:space="preserve">frameworks </w:t>
      </w:r>
      <w:r>
        <w:rPr>
          <w:rFonts w:eastAsia="Times New Roman" w:cs="Times New Roman"/>
          <w:color w:themeColor="text1" w:val="000000"/>
          <w:sz w:val="24"/>
          <w:szCs w:val="24"/>
        </w:rPr>
        <w:t>integrados de viabilidade, em linha com a proposta de EVTEAS abordada neste trabalho.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operacionalização do </w:t>
      </w:r>
      <w:r>
        <w:rPr>
          <w:rFonts w:eastAsia="Times New Roman" w:cs="Times New Roman"/>
          <w:i/>
          <w:iCs/>
          <w:color w:themeColor="text1" w:val="000000"/>
          <w:sz w:val="24"/>
          <w:szCs w:val="24"/>
        </w:rPr>
        <w:t xml:space="preserve">framework </w:t>
      </w:r>
      <w:r>
        <w:rPr>
          <w:rFonts w:eastAsia="Times New Roman" w:cs="Times New Roman"/>
          <w:color w:themeColor="text1" w:val="000000"/>
          <w:sz w:val="24"/>
          <w:szCs w:val="24"/>
        </w:rPr>
        <w:t>computacional exige a tradução de conceitos teóricos em variáveis de entrada (</w:t>
      </w:r>
      <w:r>
        <w:rPr>
          <w:rFonts w:eastAsia="Times New Roman" w:cs="Times New Roman"/>
          <w:i/>
          <w:iCs/>
          <w:color w:themeColor="text1" w:val="000000"/>
          <w:sz w:val="24"/>
          <w:szCs w:val="24"/>
        </w:rPr>
        <w:t>inputs</w:t>
      </w:r>
      <w:r>
        <w:rPr>
          <w:rFonts w:eastAsia="Times New Roman" w:cs="Times New Roman"/>
          <w:color w:themeColor="text1" w:val="000000"/>
          <w:sz w:val="24"/>
          <w:szCs w:val="24"/>
        </w:rPr>
        <w:t>) e indicadores de saída (</w:t>
      </w:r>
      <w:r>
        <w:rPr>
          <w:rFonts w:eastAsia="Times New Roman" w:cs="Times New Roman"/>
          <w:i/>
          <w:iCs/>
          <w:color w:themeColor="text1" w:val="000000"/>
          <w:sz w:val="24"/>
          <w:szCs w:val="24"/>
        </w:rPr>
        <w:t>outputs</w:t>
      </w:r>
      <w:r>
        <w:rPr>
          <w:rFonts w:eastAsia="Times New Roman" w:cs="Times New Roman"/>
          <w:color w:themeColor="text1" w:val="000000"/>
          <w:sz w:val="24"/>
          <w:szCs w:val="24"/>
        </w:rPr>
        <w:t>). A seguir, detalham-se os quatro eixos de modelagem do sistema, fundamentados na literatura de Engenharia de Produção e sustentabilidade.</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viabilidade técnica na piscicultura não se limita à simples possibilidade de produzir peixe, mas está associada à eficiência com que os recursos são convertidos em produto, em consonância com os objetivos de desempenho da produção (Slack; Chambers; Johnston, 2002), permitindo que decisões produtivas sejam simuladas antes da alocação efetiva de recursos.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lógica operacional adotada fundamenta-se na aplicação dos princípios da gestão enxuta à piscicultura (Lawrence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2023, p. 15–20), cujo foco reside na maximização da biomassa com a minimização de desperdícios, especialmente aqueles associados ao uso excessivo de ração e às perdas por mortalidade. Assim, o sistema integra variáveis técnicas que permitem calcular capacidade de suporte e produtividade esperada, considerando as restrições biológicas e estruturais destacadas por Carvalho e Rabechini Júnior (2019), no que se refere à limitação de recursos e à necessidade de planejamento integrado.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No plano operacional, o EVTEAS-Py organiza suas entradas (</w:t>
      </w:r>
      <w:r>
        <w:rPr>
          <w:rFonts w:eastAsia="Times New Roman" w:cs="Times New Roman"/>
          <w:i/>
          <w:iCs/>
          <w:color w:themeColor="text1" w:val="000000"/>
          <w:sz w:val="24"/>
          <w:szCs w:val="24"/>
        </w:rPr>
        <w:t>inputs</w:t>
      </w:r>
      <w:r>
        <w:rPr>
          <w:rFonts w:eastAsia="Times New Roman" w:cs="Times New Roman"/>
          <w:color w:themeColor="text1" w:val="000000"/>
          <w:sz w:val="24"/>
          <w:szCs w:val="24"/>
        </w:rPr>
        <w:t>) em três blocos principais. O primeiro refere-se à infraestrutura, contemplando a área total de lâmina d’água, o volume útil dos tanques e o tipo de sistema produtivo (extensivo, semi-intensivo ou superintensivo). O segundo bloco compreende os parâmetros biológicos, como a espécie cultivada (por exemplo, tilápia), o peso inicial dos alevinos (g), o peso final de abate (g) e o ciclo produtivo estimado (dias). O terceiro bloco envolve a eficiência de insumos, incorporando a Taxa de Conversão Alimentar (TCA) esperada e a taxa de mortalidade histórica ou projetada (%) conforme Kubitza (2017).</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partir dessas variáveis, o algoritmo gera indicadores estratégicos (</w:t>
      </w:r>
      <w:r>
        <w:rPr>
          <w:rFonts w:eastAsia="Times New Roman" w:cs="Times New Roman"/>
          <w:i/>
          <w:iCs/>
          <w:color w:themeColor="text1" w:val="000000"/>
          <w:sz w:val="24"/>
          <w:szCs w:val="24"/>
        </w:rPr>
        <w:t>outputs</w:t>
      </w:r>
      <w:r>
        <w:rPr>
          <w:rFonts w:eastAsia="Times New Roman" w:cs="Times New Roman"/>
          <w:color w:themeColor="text1" w:val="000000"/>
          <w:sz w:val="24"/>
          <w:szCs w:val="24"/>
        </w:rPr>
        <w:t xml:space="preserve">) que sustentam a análise de viabilidade técnica. Entre eles destacam-se a produtividade volumétrica, indicador central da eficiência no uso do espaço; a biomassa final estimada, que subsidia o planejamento logístico e comercial; e o consumo total de ração, calculado automaticamente com base na TCA, permitindo previsão de estoques e alinhamento à lógica </w:t>
      </w:r>
      <w:r>
        <w:rPr>
          <w:rFonts w:eastAsia="Times New Roman" w:cs="Times New Roman"/>
          <w:i/>
          <w:iCs/>
          <w:color w:themeColor="text1" w:val="000000"/>
          <w:sz w:val="24"/>
          <w:szCs w:val="24"/>
        </w:rPr>
        <w:t>Lean</w:t>
      </w:r>
      <w:r>
        <w:rPr>
          <w:rFonts w:eastAsia="Times New Roman" w:cs="Times New Roman"/>
          <w:color w:themeColor="text1" w:val="000000"/>
          <w:sz w:val="24"/>
          <w:szCs w:val="24"/>
        </w:rPr>
        <w:t xml:space="preserve"> de redução de desperdícios.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viabilidade econômica no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EVTEAS-Py incorpora a análise dinâmica de investimentos (Casarotto Filho; Kopittke, 2007, p. 103-106; Assaf Neto, 2014, p. 374-388), que considera o valor do dinheiro no tempo, o risco e a comparação entre alternativas de investimento. Assim, diferentemente de planilhas convencionais, o </w:t>
      </w:r>
      <w:r>
        <w:rPr>
          <w:rFonts w:eastAsia="Times New Roman" w:cs="Times New Roman"/>
          <w:i/>
          <w:iCs/>
          <w:color w:themeColor="text1" w:val="000000"/>
          <w:sz w:val="24"/>
          <w:szCs w:val="24"/>
        </w:rPr>
        <w:t>script</w:t>
      </w:r>
      <w:r>
        <w:rPr>
          <w:rFonts w:eastAsia="Times New Roman" w:cs="Times New Roman"/>
          <w:color w:themeColor="text1" w:val="000000"/>
          <w:sz w:val="24"/>
          <w:szCs w:val="24"/>
        </w:rPr>
        <w:t xml:space="preserve"> desenvolvido em Python deverá permitir a simulação de cenários de estresse por meio de análise de sensibilidade, examinando a robustez do empreendimento diante de oscilações de preços, custos e produtividade.</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modelagem econômica estrutura-se com base na segregação entre CAPEX (</w:t>
      </w:r>
      <w:r>
        <w:rPr>
          <w:rFonts w:eastAsia="Times New Roman" w:cs="Times New Roman"/>
          <w:i/>
          <w:iCs/>
          <w:color w:themeColor="text1" w:val="000000"/>
          <w:sz w:val="24"/>
          <w:szCs w:val="24"/>
        </w:rPr>
        <w:t>Capital Expenditures</w:t>
      </w:r>
      <w:r>
        <w:rPr>
          <w:rFonts w:eastAsia="Times New Roman" w:cs="Times New Roman"/>
          <w:color w:themeColor="text1" w:val="000000"/>
          <w:sz w:val="24"/>
          <w:szCs w:val="24"/>
        </w:rPr>
        <w:t>) e OPEX (Operational Expenditures), ao permitir a construção adequada dos fluxos de caixa descontados conforme as boas práticas de estimativas de custos propostas pela AACE International (2020). Essa separação é fundamental para identificar corretamente os investimentos iniciais, os dispêndios operacionais recorrentes e seus impactos ao longo do horizonte de análise.</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No bloco de entradas (</w:t>
      </w:r>
      <w:r>
        <w:rPr>
          <w:rFonts w:eastAsia="Times New Roman" w:cs="Times New Roman"/>
          <w:i/>
          <w:iCs/>
          <w:color w:themeColor="text1" w:val="000000"/>
          <w:sz w:val="24"/>
          <w:szCs w:val="24"/>
        </w:rPr>
        <w:t>inputs</w:t>
      </w:r>
      <w:r>
        <w:rPr>
          <w:rFonts w:eastAsia="Times New Roman" w:cs="Times New Roman"/>
          <w:color w:themeColor="text1" w:val="000000"/>
          <w:sz w:val="24"/>
          <w:szCs w:val="24"/>
        </w:rPr>
        <w:t>), o sistema processa inicialmente o investimento inicial, que engloba a construção de tanques, a aquisição de equipamentos como aeradores e bombas, além dos custos com licenciamento. Em seguida, incorporam-se os custos operacionais, abrangendo despesas com o milheiro de alevinos, ração, energia elétrica, mão de obra e manutenção. Por fim, a estrutura de dados integra variáveis de receitas e parâmetros financeiros, destacando o preço de venda do pescado, as alíquotas fiscais e a Taxa Mínima de Atratividade (TMA).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partir desse processamento, o algoritmo gera indicadores econômicos de saída fundamentais para a tomada de decisão. O Valor Presente Líquido (VPL) considera os fluxos de caixa do projeto descontados pela TMA, ao propiciar comparar alternativas e selecionar aquela que apresenta o melhor resultado econômico (Casarotto Filho; Kopittke, 2007, p. 116). A Taxa Interna de Retorno (TIR), por sua vez, constitui um dos métodos básicos de análise de investimentos e permite confrontar a rentabilidade estimada do projeto com a taxa mínima requerida pelo investidor (Casarotto Filho; Kopittke, 2007, p. 106). Complementarmente, o </w:t>
      </w:r>
      <w:r>
        <w:rPr>
          <w:rFonts w:eastAsia="Times New Roman" w:cs="Times New Roman"/>
          <w:i/>
          <w:iCs/>
          <w:color w:themeColor="text1" w:val="000000"/>
          <w:sz w:val="24"/>
          <w:szCs w:val="24"/>
        </w:rPr>
        <w:t xml:space="preserve">framework </w:t>
      </w:r>
      <w:r>
        <w:rPr>
          <w:rFonts w:eastAsia="Times New Roman" w:cs="Times New Roman"/>
          <w:color w:themeColor="text1" w:val="000000"/>
          <w:sz w:val="24"/>
          <w:szCs w:val="24"/>
        </w:rPr>
        <w:t>calcula o Payback Descontado, que estima o tempo necessário para recuperar o capital investido considerando o valor do dinheiro no tempo, e o Ponto de Equilíbrio, que identifica o nível de produção ou demanda a partir do qual as receitas passam a cobrir os custos e o empreendimento se torna lucrativo (Casarotto Filho; Kopittke, 2007, p. 122</w:t>
        <w:noBreakHyphen/>
        <w:t>123, 251).</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modelagem ambiental do EVTEAS-Py baseia-se na premissa de que a poluição é uma forma de ineficiência de processo.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utiliza dados quantitativos para calcular a ecoeficiência, integrando as abordagens </w:t>
      </w:r>
      <w:r>
        <w:rPr>
          <w:rFonts w:eastAsia="Times New Roman" w:cs="Times New Roman"/>
          <w:i/>
          <w:iCs/>
          <w:color w:themeColor="text1" w:val="000000"/>
          <w:sz w:val="24"/>
          <w:szCs w:val="24"/>
        </w:rPr>
        <w:t>Lean &amp; Green</w:t>
      </w:r>
      <w:r>
        <w:rPr>
          <w:rFonts w:eastAsia="Times New Roman" w:cs="Times New Roman"/>
          <w:color w:themeColor="text1" w:val="000000"/>
          <w:sz w:val="24"/>
          <w:szCs w:val="24"/>
        </w:rPr>
        <w:t>, conforme proposto por Kosasih, Pujawan e Karningsih (2023, p. 2).</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As variáveis devem mensurar os impactos diretos sobre os recursos naturais críticos para a piscicultura e o gerenciamento de resíduos, considerando as exigências do licenciamento ambiental, os padrões de qualidade da água estabelecidos pela Resolução CONAMA nº 357/2005 (Brasil, 2005) e os princípios de gestão ambiental associados à ISO 14001, apresentados por Barbieri (2007, p. 162, 281–303). A modelagem ambiental 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EVTEAS-Py fundamenta-se na metodologia da Avaliação da Pegada Hídrica, </w:t>
      </w:r>
      <w:r>
        <w:rPr>
          <w:rFonts w:eastAsia="Times New Roman" w:cs="Times New Roman"/>
          <w:i/>
          <w:iCs/>
          <w:color w:themeColor="text1" w:val="000000"/>
          <w:sz w:val="24"/>
          <w:szCs w:val="24"/>
        </w:rPr>
        <w:t>Water Footprint Assessment</w:t>
      </w:r>
      <w:r>
        <w:rPr>
          <w:rFonts w:eastAsia="Times New Roman" w:cs="Times New Roman"/>
          <w:color w:themeColor="text1" w:val="000000"/>
          <w:sz w:val="24"/>
          <w:szCs w:val="24"/>
        </w:rPr>
        <w:t xml:space="preserve"> (WFA), conforme Hoekstra (2017). Na piscicultura, torna-se essencial diferenciar a Pegada Hídrica Azul, associada ao consumo de águas superficiais e subterrâneas, da Pegada Hídrica Cinza, que representa o volume de água teoricamente necessário para diluir e assimilar a carga de poluentes gerada pelo sistema produtivo até que a qualidade retorne aos padrões ambientais aceitáveis. Essa distinção permite que o EVTEAS-Py integre, em um mesmo quadro analítico, as dimensões de consumo e de poluição, reforçando a lógica </w:t>
      </w:r>
      <w:r>
        <w:rPr>
          <w:rFonts w:eastAsia="Times New Roman" w:cs="Times New Roman"/>
          <w:i/>
          <w:iCs/>
          <w:color w:themeColor="text1" w:val="000000"/>
          <w:sz w:val="24"/>
          <w:szCs w:val="24"/>
        </w:rPr>
        <w:t>Lean Green</w:t>
      </w:r>
      <w:r>
        <w:rPr>
          <w:rFonts w:eastAsia="Times New Roman" w:cs="Times New Roman"/>
          <w:color w:themeColor="text1" w:val="000000"/>
          <w:sz w:val="24"/>
          <w:szCs w:val="24"/>
        </w:rPr>
        <w:t xml:space="preserve"> segundo a qual a geração de efluentes constitui ineficiência sistêmica e o tratamento e a recirculação são estratégias centrais de eficiência ambiental. Ademais, estudos técnicos aplicados à aquicultura indicam que, em sistemas bem manejados, grande parte da água retorna ao ambiente principalmente por evaporação, estimada em média em 5% ao dia, ao reduzir a necessidade de reposição contínua (Kubitza, 2017).</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No plano operacional, o sistema organiza suas entradas (</w:t>
      </w:r>
      <w:r>
        <w:rPr>
          <w:rFonts w:eastAsia="Times New Roman" w:cs="Times New Roman"/>
          <w:i/>
          <w:iCs/>
          <w:color w:themeColor="text1" w:val="000000"/>
          <w:sz w:val="24"/>
          <w:szCs w:val="24"/>
        </w:rPr>
        <w:t>inputs</w:t>
      </w:r>
      <w:r>
        <w:rPr>
          <w:rFonts w:eastAsia="Times New Roman" w:cs="Times New Roman"/>
          <w:color w:themeColor="text1" w:val="000000"/>
          <w:sz w:val="24"/>
          <w:szCs w:val="24"/>
        </w:rPr>
        <w:t>) ambientais em três blocos principais. O primeiro refere-se à gestão hídrica, incluindo a taxa de renovação de água (% ao dia) e o método de tratamento de efluentes adotado. O segundo contempla a gestão energética, incorporando a fonte de energia utilizada (rede pública, solar ou biomassa) e o consumo específico dos aeradores, elemento determinante tanto para eficiência produtiva quanto para impacto climático. O terceiro bloco abrange critérios de conformidade ambiental, como a distância de Áreas de Preservação Permanente (APP) e o status do licenciamento ambiental.</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partir dessas variáveis, o EVTEAS-Py gera indicadores estratégicos que sustentam a avaliação ambiental do projeto. O Índice de Uso de Água (kg/m³ de peixe) mede a eficiência hídrica por unidade produzida, permitindo comparações entre projetos.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Pegada de Carbono Estimada, utilizada como </w:t>
      </w:r>
      <w:r>
        <w:rPr>
          <w:rFonts w:eastAsia="Times New Roman" w:cs="Times New Roman"/>
          <w:i/>
          <w:iCs/>
          <w:color w:themeColor="text1" w:val="000000"/>
          <w:sz w:val="24"/>
          <w:szCs w:val="24"/>
        </w:rPr>
        <w:t>proxy</w:t>
      </w:r>
      <w:r>
        <w:rPr>
          <w:rFonts w:eastAsia="Times New Roman" w:cs="Times New Roman"/>
          <w:color w:themeColor="text1" w:val="000000"/>
          <w:sz w:val="24"/>
          <w:szCs w:val="24"/>
        </w:rPr>
        <w:t xml:space="preserve">, é calculada com base no consumo energético e nos principais insumos produtivos. Por fim, o </w:t>
      </w:r>
      <w:r>
        <w:rPr>
          <w:rFonts w:eastAsia="Times New Roman" w:cs="Times New Roman"/>
          <w:i/>
          <w:iCs/>
          <w:color w:themeColor="text1" w:val="000000"/>
          <w:sz w:val="24"/>
          <w:szCs w:val="24"/>
        </w:rPr>
        <w:t>Score</w:t>
      </w:r>
      <w:r>
        <w:rPr>
          <w:rFonts w:eastAsia="Times New Roman" w:cs="Times New Roman"/>
          <w:color w:themeColor="text1" w:val="000000"/>
          <w:sz w:val="24"/>
          <w:szCs w:val="24"/>
        </w:rPr>
        <w:t xml:space="preserve"> de Conformidade Ambiental (0–10) é obtido por meio de algoritmo estruturado em </w:t>
      </w:r>
      <w:r>
        <w:rPr>
          <w:rFonts w:eastAsia="Times New Roman" w:cs="Times New Roman"/>
          <w:i/>
          <w:iCs/>
          <w:color w:themeColor="text1" w:val="000000"/>
          <w:sz w:val="24"/>
          <w:szCs w:val="24"/>
        </w:rPr>
        <w:t xml:space="preserve">checklist </w:t>
      </w:r>
      <w:r>
        <w:rPr>
          <w:rFonts w:eastAsia="Times New Roman" w:cs="Times New Roman"/>
          <w:color w:themeColor="text1" w:val="000000"/>
          <w:sz w:val="24"/>
          <w:szCs w:val="24"/>
        </w:rPr>
        <w:t>normativo, considerando diretrizes de órgãos reguladores como IBAMA e CONAMA.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dimensão social representa o eixo mais desafiador de mensuração no </w:t>
      </w:r>
      <w:r>
        <w:rPr>
          <w:rFonts w:eastAsia="Times New Roman" w:cs="Times New Roman"/>
          <w:i/>
          <w:iCs/>
          <w:color w:themeColor="text1" w:val="000000"/>
          <w:sz w:val="24"/>
          <w:szCs w:val="24"/>
        </w:rPr>
        <w:t xml:space="preserve">framework </w:t>
      </w:r>
      <w:r>
        <w:rPr>
          <w:rFonts w:eastAsia="Times New Roman" w:cs="Times New Roman"/>
          <w:color w:themeColor="text1" w:val="000000"/>
          <w:sz w:val="24"/>
          <w:szCs w:val="24"/>
        </w:rPr>
        <w:t>EVTEAS-Py, pois envolve variáveis qualitativas que precisam ser convertidas em métricas estruturadas para subsidiar a tomada de decisão. Conforme Flick (2009, p. 41–49), a integração entre métodos qualitativos e quantitativos fortalece a robustez analítica das pesquisas mistas ao permitir a sistematização de informações subjetivas em categorias comparáveis.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fundamentação teórica também incorpora o conceito de Licença Social para Operar e a centralidade do engajamento de </w:t>
      </w:r>
      <w:r>
        <w:rPr>
          <w:rFonts w:eastAsia="Times New Roman" w:cs="Times New Roman"/>
          <w:i/>
          <w:iCs/>
          <w:color w:themeColor="text1" w:val="000000"/>
          <w:sz w:val="24"/>
          <w:szCs w:val="24"/>
        </w:rPr>
        <w:t>stakeholders</w:t>
      </w:r>
      <w:r>
        <w:rPr>
          <w:rFonts w:eastAsia="Times New Roman" w:cs="Times New Roman"/>
          <w:color w:themeColor="text1" w:val="000000"/>
          <w:sz w:val="24"/>
          <w:szCs w:val="24"/>
        </w:rPr>
        <w:t>, conforme Hurst e Ihlen (2018), que destacam a legitimidade social como ativo estratégico das organizações. Soma-se a essa perspectiva a noção de responsabilidade fiduciária ampliada apresentada por Janowski (2021), segundo a qual projetos devem gerar benefícios sociais tangíveis além do retorno financeiro. Essa abordagem dialoga ainda com os princípios do Ecodesenvolvimento formulados por Sachs (2009, p. 35), que defendem o equilíbrio entre eficiência econômica, justiça social e sustentabilidade ambiental.</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No plano operacional, o sistema em Python processará variáveis sociais estruturadas para compor um “Radar Social”, instrumento sintético destinado a avaliar se o empreendimento promove desenvolvimento local sustentável ou se limita à extração de recursos. Entre as entradas consideradas estarão a geração de emprego, medida pela quantidade de postos de trabalho diretos e pelo percentual de mão de obra local, os critérios de segurança e qualidade, avaliados pela aderência às Normas Regulamentadoras e à existência de programas de capacitação, e a relação com a comunidade, mensurada pela presença de canais formais de comunicação com moradores e pescadores artesanais, classificados como inexistentes, parciais ou consolidados.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partir dessas informações, o algoritmo produzirá indicadores estratégicos como o Índice de Impacto Local, que estima a proporção da massa salarial injetada na economia regional; o Score de Risco Social, que calcula a probabilidade de conflitos com </w:t>
      </w:r>
      <w:r>
        <w:rPr>
          <w:rFonts w:eastAsia="Times New Roman" w:cs="Times New Roman"/>
          <w:i/>
          <w:iCs/>
          <w:color w:themeColor="text1" w:val="000000"/>
          <w:sz w:val="24"/>
          <w:szCs w:val="24"/>
        </w:rPr>
        <w:t>stakeholders</w:t>
      </w:r>
      <w:r>
        <w:rPr>
          <w:rFonts w:eastAsia="Times New Roman" w:cs="Times New Roman"/>
          <w:color w:themeColor="text1" w:val="000000"/>
          <w:sz w:val="24"/>
          <w:szCs w:val="24"/>
        </w:rPr>
        <w:t xml:space="preserve"> com base em parâmetros de engajamento institucional; e o grau de alinhamento aos Objetivos de Desenvolvimento Sustentável, identificando automaticamente quais metas globais são atendidas pelo projeto, como o ODS 8 -Trabalho Decente e Crescimento Econômico.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transformação dos dados brutos (</w:t>
      </w:r>
      <w:r>
        <w:rPr>
          <w:rFonts w:eastAsia="Times New Roman" w:cs="Times New Roman"/>
          <w:i/>
          <w:iCs/>
          <w:color w:themeColor="text1" w:val="000000"/>
          <w:sz w:val="24"/>
          <w:szCs w:val="24"/>
        </w:rPr>
        <w:t>inputs</w:t>
      </w:r>
      <w:r>
        <w:rPr>
          <w:rFonts w:eastAsia="Times New Roman" w:cs="Times New Roman"/>
          <w:color w:themeColor="text1" w:val="000000"/>
          <w:sz w:val="24"/>
          <w:szCs w:val="24"/>
        </w:rPr>
        <w:t xml:space="preserve">) coletados pelo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EVTEAS -Py em informações estratégicas exige a definição rigorosa de Indicadores Chave de Desempenho (</w:t>
      </w:r>
      <w:r>
        <w:rPr>
          <w:rFonts w:eastAsia="Times New Roman" w:cs="Times New Roman"/>
          <w:i/>
          <w:iCs/>
          <w:color w:themeColor="text1" w:val="000000"/>
          <w:sz w:val="24"/>
          <w:szCs w:val="24"/>
        </w:rPr>
        <w:t>Key Performance Indicators</w:t>
      </w:r>
      <w:r>
        <w:rPr>
          <w:rFonts w:eastAsia="Times New Roman" w:cs="Times New Roman"/>
          <w:color w:themeColor="text1" w:val="000000"/>
          <w:sz w:val="24"/>
          <w:szCs w:val="24"/>
        </w:rPr>
        <w:t xml:space="preserve"> - KPIs). Segundo Parmenter (2015), um KPI distingue-se de uma métrica comum por estar intrinsecamente ligado aos objetivos estratégicos da organização, permitindo uma ação corretiva imediata.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No contexto deste estudo, a seleção dos KPIs fundamenta-se na lógica do Balanced Scorecard (BSC) de Kaplan e Norton (1992), adaptada para a realidade da piscicultura sustentável. Assim,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EVTEAS-Py adota a metáfora do "painel de instrumentos de um avião" proposta pelos autores: para a tarefa complexa de navegação, confiar em um único instrumento pode ser fatal.</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Enquanto o BSC tradicional avalia o negócio sob quatro perspectivas importantes, financeira, do cliente, interna e de inovação/aprendizado, o EVTEAS-Py transpõe essa lógica para equilibrar as dimensões Técnica, Econômica, Ambiental e Social.</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literatura de Gestão de Operações (Slack; Chambers; Johnston, 2002) e de Sustentabilidade Industrial fornece o lastro teórico adicional para a composição dos indicadores apresentados no Quadro 5, desenhados para minimizar a sobrecarga de informações ao focar apenas nas medidas mais críticas.</w:t>
      </w:r>
    </w:p>
    <w:p>
      <w:pPr>
        <w:pStyle w:val="Caption"/>
        <w:keepNext w:val="true"/>
        <w:spacing w:lineRule="auto" w:line="360" w:before="0" w:after="0"/>
        <w:jc w:val="center"/>
        <w:rPr>
          <w:rFonts w:ascii="Calibri" w:hAnsi="Calibri" w:cs="Calibri" w:asciiTheme="minorHAnsi" w:cstheme="minorHAnsi" w:hAnsiTheme="minorHAnsi"/>
          <w:color w:val="auto"/>
          <w:sz w:val="20"/>
          <w:szCs w:val="20"/>
        </w:rPr>
      </w:pPr>
      <w:bookmarkStart w:id="122" w:name="_Toc235197272"/>
      <w:r>
        <w:rPr>
          <w:rFonts w:cs="Calibri" w:ascii="Calibri" w:hAnsi="Calibri" w:asciiTheme="minorHAnsi" w:cstheme="minorHAnsi" w:hAnsiTheme="minorHAnsi"/>
          <w:color w:val="auto"/>
          <w:sz w:val="20"/>
          <w:szCs w:val="20"/>
        </w:rPr>
        <w:t xml:space="preserve">Quadro </w:t>
      </w:r>
      <w:r>
        <w:rPr>
          <w:rFonts w:cs="Calibri" w:ascii="Calibri" w:hAnsi="Calibri"/>
          <w:color w:val="auto"/>
          <w:sz w:val="20"/>
          <w:szCs w:val="20"/>
        </w:rPr>
        <w:fldChar w:fldCharType="begin"/>
      </w:r>
      <w:r>
        <w:rPr>
          <w:sz w:val="20"/>
          <w:szCs w:val="20"/>
          <w:rFonts w:cs="Calibri" w:ascii="Calibri" w:hAnsi="Calibri"/>
          <w:color w:val="auto"/>
        </w:rPr>
        <w:instrText xml:space="preserve"> SEQ Quadro \* ARABIC </w:instrText>
      </w:r>
      <w:r>
        <w:rPr>
          <w:sz w:val="20"/>
          <w:szCs w:val="20"/>
          <w:rFonts w:cs="Calibri" w:ascii="Calibri" w:hAnsi="Calibri"/>
          <w:color w:val="auto"/>
        </w:rPr>
        <w:fldChar w:fldCharType="separate"/>
      </w:r>
      <w:r>
        <w:rPr>
          <w:sz w:val="20"/>
          <w:szCs w:val="20"/>
          <w:rFonts w:cs="Calibri" w:ascii="Calibri" w:hAnsi="Calibri"/>
          <w:color w:val="auto"/>
        </w:rPr>
        <w:t>5</w:t>
      </w:r>
      <w:r>
        <w:rPr>
          <w:sz w:val="20"/>
          <w:szCs w:val="20"/>
          <w:rFonts w:cs="Calibri" w:ascii="Calibri" w:hAnsi="Calibri"/>
          <w:color w:val="auto"/>
        </w:rPr>
        <w:fldChar w:fldCharType="end"/>
      </w:r>
      <w:r>
        <w:rPr>
          <w:rFonts w:cs="Calibri" w:ascii="Calibri" w:hAnsi="Calibri" w:asciiTheme="minorHAnsi" w:cstheme="minorHAnsi" w:hAnsiTheme="minorHAnsi"/>
          <w:color w:val="auto"/>
          <w:sz w:val="20"/>
          <w:szCs w:val="20"/>
        </w:rPr>
        <w:t xml:space="preserve"> - Indicadores de performances</w:t>
      </w:r>
      <w:bookmarkEnd w:id="122"/>
    </w:p>
    <w:tbl>
      <w:tblPr>
        <w:tblStyle w:val="1"/>
        <w:tblW w:w="856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0"/>
        <w:gridCol w:w="1818"/>
        <w:gridCol w:w="3815"/>
        <w:gridCol w:w="1807"/>
      </w:tblGrid>
      <w:tr>
        <w:trPr>
          <w:trHeight w:val="395" w:hRule="atLeast"/>
          <w:cnfStyle w:val="100000000000" w:firstRow="1" w:lastRow="0" w:firstColumn="0" w:lastColumn="0" w:oddVBand="0" w:evenVBand="0" w:oddHBand="0" w:evenHBand="0" w:firstRowFirstColumn="0" w:firstRowLastColumn="0" w:lastRowFirstColumn="0" w:lastRowLastColumn="0"/>
        </w:trPr>
        <w:tc>
          <w:tcPr>
            <w:tcW w:w="1120"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tcBorders>
            <w:shd w:color="auto" w:fill="FFFFFF" w:val="clear"/>
          </w:tcPr>
          <w:p>
            <w:pPr>
              <w:pStyle w:val="Normal"/>
              <w:widowControl/>
              <w:suppressAutoHyphens w:val="true"/>
              <w:spacing w:lineRule="auto" w:line="360" w:before="0" w:after="0"/>
              <w:jc w:val="left"/>
              <w:rPr>
                <w:rFonts w:ascii="Calibri" w:hAnsi="Calibri" w:eastAsia="Calibri" w:cs="Calibri"/>
                <w:color w:themeColor="text1" w:val="000000"/>
                <w:sz w:val="20"/>
                <w:szCs w:val="20"/>
              </w:rPr>
            </w:pPr>
            <w:r>
              <w:rPr>
                <w:rFonts w:eastAsia="Calibri" w:cs="Calibri" w:ascii="Calibri" w:hAnsi="Calibri"/>
                <w:b/>
                <w:bCs/>
                <w:color w:themeColor="text1" w:val="000000"/>
                <w:kern w:val="0"/>
                <w:sz w:val="20"/>
                <w:szCs w:val="20"/>
                <w:lang w:val="pt-BR" w:eastAsia="pt-BR" w:bidi="ar-SA"/>
              </w:rPr>
              <w:t>Dimensão</w:t>
            </w:r>
          </w:p>
        </w:tc>
        <w:tc>
          <w:tcPr>
            <w:tcW w:w="1818" w:type="dxa"/>
            <w:tcBorders>
              <w:top w:val="single" w:sz="4" w:space="0" w:color="000000"/>
              <w:bottom w:val="single" w:sz="4" w:space="0" w:color="000000"/>
            </w:tcBorders>
            <w:shd w:color="auto" w:fill="FFFFFF" w:val="clear"/>
          </w:tcPr>
          <w:p>
            <w:pPr>
              <w:pStyle w:val="Normal"/>
              <w:widowControl/>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20"/>
                <w:szCs w:val="20"/>
              </w:rPr>
            </w:pPr>
            <w:r>
              <w:rPr>
                <w:rFonts w:eastAsia="Calibri" w:cs="Calibri" w:ascii="Calibri" w:hAnsi="Calibri"/>
                <w:b/>
                <w:bCs/>
                <w:color w:themeColor="text1" w:val="000000"/>
                <w:kern w:val="0"/>
                <w:sz w:val="20"/>
                <w:szCs w:val="20"/>
                <w:lang w:val="pt-BR" w:eastAsia="pt-BR" w:bidi="ar-SA"/>
              </w:rPr>
              <w:t>KPI (Indicador)</w:t>
            </w:r>
          </w:p>
        </w:tc>
        <w:tc>
          <w:tcPr>
            <w:tcW w:w="3815" w:type="dxa"/>
            <w:tcBorders>
              <w:top w:val="single" w:sz="4" w:space="0" w:color="000000"/>
              <w:bottom w:val="single" w:sz="4" w:space="0" w:color="000000"/>
            </w:tcBorders>
            <w:shd w:color="auto" w:fill="FFFFFF" w:val="clear"/>
          </w:tcPr>
          <w:p>
            <w:pPr>
              <w:pStyle w:val="Normal"/>
              <w:widowControl/>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20"/>
                <w:szCs w:val="20"/>
              </w:rPr>
            </w:pPr>
            <w:r>
              <w:rPr>
                <w:rFonts w:eastAsia="Calibri" w:cs="Calibri" w:ascii="Calibri" w:hAnsi="Calibri"/>
                <w:b/>
                <w:bCs/>
                <w:color w:themeColor="text1" w:val="000000"/>
                <w:kern w:val="0"/>
                <w:sz w:val="20"/>
                <w:szCs w:val="20"/>
                <w:lang w:val="pt-BR" w:eastAsia="pt-BR" w:bidi="ar-SA"/>
              </w:rPr>
              <w:t>Fórmula/Definição Conceitual</w:t>
            </w:r>
          </w:p>
        </w:tc>
        <w:tc>
          <w:tcPr>
            <w:tcW w:w="1807" w:type="dxa"/>
            <w:tcBorders>
              <w:top w:val="single" w:sz="4" w:space="0" w:color="000000"/>
              <w:bottom w:val="single" w:sz="4" w:space="0" w:color="000000"/>
              <w:right w:val="single" w:sz="4" w:space="0" w:color="000000"/>
            </w:tcBorders>
            <w:shd w:color="auto" w:fill="FFFFFF" w:val="clear"/>
          </w:tcPr>
          <w:p>
            <w:pPr>
              <w:pStyle w:val="Normal"/>
              <w:widowControl/>
              <w:suppressAutoHyphens w:val="true"/>
              <w:spacing w:lineRule="auto" w:line="36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20"/>
                <w:szCs w:val="20"/>
              </w:rPr>
            </w:pPr>
            <w:r>
              <w:rPr>
                <w:rFonts w:eastAsia="Calibri" w:cs="Calibri" w:ascii="Calibri" w:hAnsi="Calibri"/>
                <w:b/>
                <w:bCs/>
                <w:color w:themeColor="text1" w:val="000000"/>
                <w:kern w:val="0"/>
                <w:sz w:val="20"/>
                <w:szCs w:val="20"/>
                <w:lang w:val="pt-BR" w:eastAsia="pt-BR" w:bidi="ar-SA"/>
              </w:rPr>
              <w:t>Referencial Teórico</w:t>
            </w:r>
          </w:p>
        </w:tc>
      </w:tr>
      <w:tr>
        <w:trPr>
          <w:trHeight w:val="1421" w:hRule="atLeast"/>
          <w:cnfStyle w:val="000000100000" w:firstRow="0" w:lastRow="0" w:firstColumn="0" w:lastColumn="0" w:oddVBand="0" w:evenVBand="0" w:oddHBand="1" w:evenHBand="0" w:firstRowFirstColumn="0" w:firstRowLastColumn="0" w:lastRowFirstColumn="0" w:lastRowLastColumn="0"/>
        </w:trPr>
        <w:tc>
          <w:tcPr>
            <w:tcW w:w="1120"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CCCCCC" w:val="clear"/>
          </w:tcPr>
          <w:p>
            <w:pPr>
              <w:pStyle w:val="Normal"/>
              <w:widowControl/>
              <w:suppressAutoHyphens w:val="true"/>
              <w:spacing w:lineRule="auto" w:line="360" w:before="0" w:after="0"/>
              <w:jc w:val="left"/>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Técnica</w:t>
            </w:r>
          </w:p>
        </w:tc>
        <w:tc>
          <w:tcPr>
            <w:tcW w:w="1818" w:type="dxa"/>
            <w:tcBorders>
              <w:top w:val="single" w:sz="4" w:space="0" w:color="000000"/>
              <w:left w:val="single" w:sz="4" w:space="0" w:color="000000"/>
              <w:bottom w:val="single" w:sz="4" w:space="0" w:color="000000"/>
              <w:right w:val="single" w:sz="4" w:space="0" w:color="000000"/>
            </w:tcBorders>
            <w:shd w:color="auto" w:fill="CCCCCC" w:val="clear"/>
          </w:tcPr>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lang w:val="en-US"/>
              </w:rPr>
            </w:pPr>
            <w:r>
              <w:rPr>
                <w:rFonts w:eastAsia="Calibri" w:cs="Calibri" w:ascii="Calibri" w:hAnsi="Calibri"/>
                <w:b/>
                <w:bCs/>
                <w:color w:themeColor="text1" w:val="000000"/>
                <w:kern w:val="0"/>
                <w:sz w:val="16"/>
                <w:szCs w:val="16"/>
                <w:lang w:val="en-US" w:eastAsia="pt-BR" w:bidi="ar-SA"/>
              </w:rPr>
              <w:t>OEE Aquícola</w:t>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lang w:val="en-US"/>
              </w:rPr>
            </w:pPr>
            <w:r>
              <w:rPr>
                <w:rFonts w:eastAsia="Calibri" w:cs="Calibri" w:ascii="Calibri" w:hAnsi="Calibri"/>
                <w:color w:themeColor="text1" w:val="000000"/>
                <w:kern w:val="0"/>
                <w:sz w:val="16"/>
                <w:szCs w:val="16"/>
                <w:lang w:val="en-US" w:eastAsia="pt-BR" w:bidi="ar-SA"/>
              </w:rPr>
              <w:br/>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lang w:val="en-US"/>
              </w:rPr>
            </w:pPr>
            <w:r>
              <w:rPr>
                <w:rFonts w:eastAsia="Calibri" w:cs="Calibri" w:ascii="Calibri" w:hAnsi="Calibri"/>
                <w:i/>
                <w:iCs/>
                <w:color w:themeColor="text1" w:val="000000"/>
                <w:kern w:val="0"/>
                <w:sz w:val="16"/>
                <w:szCs w:val="16"/>
                <w:lang w:val="en-US" w:eastAsia="pt-BR" w:bidi="ar-SA"/>
              </w:rPr>
              <w:t>(Overall Equipment Effectiveness)</w:t>
            </w:r>
          </w:p>
        </w:tc>
        <w:tc>
          <w:tcPr>
            <w:tcW w:w="3815" w:type="dxa"/>
            <w:tcBorders>
              <w:top w:val="single" w:sz="4" w:space="0" w:color="000000"/>
              <w:left w:val="single" w:sz="4" w:space="0" w:color="000000"/>
              <w:bottom w:val="single" w:sz="4" w:space="0" w:color="000000"/>
              <w:right w:val="single" w:sz="4" w:space="0" w:color="000000"/>
            </w:tcBorders>
            <w:shd w:color="auto" w:fill="CCCCCC" w:val="clear"/>
          </w:tcPr>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OEE = Disponibilidade × Performance × Qualidade</w:t>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br/>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i/>
                <w:iCs/>
                <w:color w:themeColor="text1" w:val="000000"/>
                <w:kern w:val="0"/>
                <w:sz w:val="16"/>
                <w:szCs w:val="16"/>
                <w:lang w:val="pt-BR" w:eastAsia="pt-BR" w:bidi="ar-SA"/>
              </w:rPr>
              <w:t>(Onde: Disponibilidade = tanques ativos; Performance = crescimento real vs. esperado; Qualidade = taxa de sobrevivência)</w:t>
            </w:r>
          </w:p>
        </w:tc>
        <w:tc>
          <w:tcPr>
            <w:tcW w:w="1807" w:type="dxa"/>
            <w:tcBorders>
              <w:top w:val="single" w:sz="4" w:space="0" w:color="000000"/>
              <w:left w:val="single" w:sz="4" w:space="0" w:color="000000"/>
              <w:bottom w:val="single" w:sz="4" w:space="0" w:color="000000"/>
              <w:right w:val="single" w:sz="4" w:space="0" w:color="000000"/>
            </w:tcBorders>
            <w:shd w:color="auto" w:fill="CCCCCC" w:val="clear"/>
          </w:tcPr>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lang w:val="en-US"/>
              </w:rPr>
            </w:pPr>
            <w:r>
              <w:rPr>
                <w:rFonts w:eastAsia="Calibri" w:cs="Calibri" w:ascii="Calibri" w:hAnsi="Calibri"/>
                <w:color w:themeColor="text1" w:val="000000"/>
                <w:kern w:val="0"/>
                <w:sz w:val="16"/>
                <w:szCs w:val="16"/>
                <w:lang w:val="en-US" w:eastAsia="pt-BR" w:bidi="ar-SA"/>
              </w:rPr>
              <w:t>Nakajima (1988, p. 28);</w:t>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lang w:val="en-US"/>
              </w:rPr>
            </w:pPr>
            <w:r>
              <w:rPr>
                <w:rFonts w:eastAsia="Calibri" w:cs="Calibri" w:ascii="Calibri" w:hAnsi="Calibri"/>
                <w:color w:themeColor="text1" w:val="000000"/>
                <w:kern w:val="0"/>
                <w:sz w:val="16"/>
                <w:szCs w:val="16"/>
                <w:lang w:val="en-US" w:eastAsia="pt-BR" w:bidi="ar-SA"/>
              </w:rPr>
              <w:br/>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en-US" w:eastAsia="pt-BR" w:bidi="ar-SA"/>
              </w:rPr>
              <w:t xml:space="preserve">Lawrence </w:t>
            </w:r>
            <w:r>
              <w:rPr>
                <w:rFonts w:eastAsia="Calibri" w:cs="Calibri" w:ascii="Calibri" w:hAnsi="Calibri"/>
                <w:i/>
                <w:iCs/>
                <w:color w:themeColor="text1" w:val="000000"/>
                <w:kern w:val="0"/>
                <w:sz w:val="16"/>
                <w:szCs w:val="16"/>
                <w:lang w:val="en-US" w:eastAsia="pt-BR" w:bidi="ar-SA"/>
              </w:rPr>
              <w:t xml:space="preserve">et al. </w:t>
            </w:r>
            <w:r>
              <w:rPr>
                <w:rFonts w:eastAsia="Calibri" w:cs="Calibri" w:ascii="Calibri" w:hAnsi="Calibri"/>
                <w:i/>
                <w:iCs/>
                <w:color w:themeColor="text1" w:val="000000"/>
                <w:kern w:val="0"/>
                <w:sz w:val="16"/>
                <w:szCs w:val="16"/>
                <w:lang w:val="pt-BR" w:eastAsia="pt-BR" w:bidi="ar-SA"/>
              </w:rPr>
              <w:t>(</w:t>
            </w:r>
            <w:r>
              <w:rPr>
                <w:rFonts w:eastAsia="Calibri" w:cs="Calibri" w:ascii="Calibri" w:hAnsi="Calibri"/>
                <w:color w:themeColor="text1" w:val="000000"/>
                <w:kern w:val="0"/>
                <w:sz w:val="16"/>
                <w:szCs w:val="16"/>
                <w:lang w:val="pt-BR" w:eastAsia="pt-BR" w:bidi="ar-SA"/>
              </w:rPr>
              <w:t>2023)</w:t>
            </w:r>
          </w:p>
        </w:tc>
      </w:tr>
      <w:tr>
        <w:trPr>
          <w:trHeight w:val="1421" w:hRule="atLeast"/>
        </w:trPr>
        <w:tc>
          <w:tcPr>
            <w:tcW w:w="1120"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left"/>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Técnica</w:t>
            </w:r>
          </w:p>
        </w:tc>
        <w:tc>
          <w:tcPr>
            <w:tcW w:w="181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FCR</w:t>
            </w:r>
          </w:p>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br/>
            </w:r>
          </w:p>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i/>
                <w:iCs/>
                <w:color w:themeColor="text1" w:val="000000"/>
                <w:kern w:val="0"/>
                <w:sz w:val="16"/>
                <w:szCs w:val="16"/>
                <w:lang w:val="pt-BR" w:eastAsia="pt-BR" w:bidi="ar-SA"/>
              </w:rPr>
              <w:t>(Feed Conversion Ratio)</w:t>
            </w:r>
          </w:p>
        </w:tc>
        <w:tc>
          <w:tcPr>
            <w:tcW w:w="381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FCR = Total de Ração Ofertada (kg) / Ganho de Biomassa (kg)</w:t>
            </w:r>
          </w:p>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br/>
            </w:r>
          </w:p>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i/>
                <w:iCs/>
                <w:color w:themeColor="text1" w:val="000000"/>
                <w:kern w:val="0"/>
                <w:sz w:val="16"/>
                <w:szCs w:val="16"/>
                <w:lang w:val="pt-BR" w:eastAsia="pt-BR" w:bidi="ar-SA"/>
              </w:rPr>
              <w:t>(Mede a eficiência direta da transformação de insumo em produto)</w:t>
            </w:r>
          </w:p>
        </w:tc>
        <w:tc>
          <w:tcPr>
            <w:tcW w:w="180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 xml:space="preserve">Lawrence </w:t>
            </w:r>
            <w:r>
              <w:rPr>
                <w:rFonts w:eastAsia="Calibri" w:cs="Calibri" w:ascii="Calibri" w:hAnsi="Calibri"/>
                <w:i/>
                <w:iCs/>
                <w:color w:themeColor="text1" w:val="000000"/>
                <w:kern w:val="0"/>
                <w:sz w:val="16"/>
                <w:szCs w:val="16"/>
                <w:lang w:val="pt-BR" w:eastAsia="pt-BR" w:bidi="ar-SA"/>
              </w:rPr>
              <w:t>et al.</w:t>
            </w:r>
            <w:r>
              <w:rPr>
                <w:rFonts w:eastAsia="Calibri" w:cs="Calibri" w:ascii="Calibri" w:hAnsi="Calibri"/>
                <w:color w:themeColor="text1" w:val="000000"/>
                <w:kern w:val="0"/>
                <w:sz w:val="16"/>
                <w:szCs w:val="16"/>
                <w:lang w:val="pt-BR" w:eastAsia="pt-BR" w:bidi="ar-SA"/>
              </w:rPr>
              <w:t xml:space="preserve"> (2023)</w:t>
            </w:r>
          </w:p>
        </w:tc>
      </w:tr>
      <w:tr>
        <w:trPr>
          <w:trHeight w:val="1273" w:hRule="atLeast"/>
          <w:cnfStyle w:val="000000100000" w:firstRow="0" w:lastRow="0" w:firstColumn="0" w:lastColumn="0" w:oddVBand="0" w:evenVBand="0" w:oddHBand="1" w:evenHBand="0" w:firstRowFirstColumn="0" w:firstRowLastColumn="0" w:lastRowFirstColumn="0" w:lastRowLastColumn="0"/>
        </w:trPr>
        <w:tc>
          <w:tcPr>
            <w:tcW w:w="1120"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CCCCCC" w:val="clear"/>
          </w:tcPr>
          <w:p>
            <w:pPr>
              <w:pStyle w:val="Normal"/>
              <w:widowControl/>
              <w:suppressAutoHyphens w:val="true"/>
              <w:spacing w:lineRule="auto" w:line="360" w:before="0" w:after="0"/>
              <w:jc w:val="left"/>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Econômica</w:t>
            </w:r>
          </w:p>
        </w:tc>
        <w:tc>
          <w:tcPr>
            <w:tcW w:w="1818" w:type="dxa"/>
            <w:tcBorders>
              <w:top w:val="single" w:sz="4" w:space="0" w:color="000000"/>
              <w:left w:val="single" w:sz="4" w:space="0" w:color="000000"/>
              <w:bottom w:val="single" w:sz="4" w:space="0" w:color="000000"/>
              <w:right w:val="single" w:sz="4" w:space="0" w:color="000000"/>
            </w:tcBorders>
            <w:shd w:color="auto" w:fill="CCCCCC" w:val="clear"/>
          </w:tcPr>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lang w:val="en-US"/>
              </w:rPr>
            </w:pPr>
            <w:r>
              <w:rPr>
                <w:rFonts w:eastAsia="Calibri" w:cs="Calibri" w:ascii="Calibri" w:hAnsi="Calibri"/>
                <w:b/>
                <w:bCs/>
                <w:color w:themeColor="text1" w:val="000000"/>
                <w:kern w:val="0"/>
                <w:sz w:val="16"/>
                <w:szCs w:val="16"/>
                <w:lang w:val="en-US" w:eastAsia="pt-BR" w:bidi="ar-SA"/>
              </w:rPr>
              <w:t>ROI Projetado</w:t>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lang w:val="en-US"/>
              </w:rPr>
            </w:pPr>
            <w:r>
              <w:rPr>
                <w:rFonts w:eastAsia="Calibri" w:cs="Calibri" w:ascii="Calibri" w:hAnsi="Calibri"/>
                <w:color w:themeColor="text1" w:val="000000"/>
                <w:kern w:val="0"/>
                <w:sz w:val="16"/>
                <w:szCs w:val="16"/>
                <w:lang w:val="en-US" w:eastAsia="pt-BR" w:bidi="ar-SA"/>
              </w:rPr>
              <w:br/>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lang w:val="en-US"/>
              </w:rPr>
            </w:pPr>
            <w:r>
              <w:rPr>
                <w:rFonts w:eastAsia="Calibri" w:cs="Calibri" w:ascii="Calibri" w:hAnsi="Calibri"/>
                <w:i/>
                <w:iCs/>
                <w:color w:themeColor="text1" w:val="000000"/>
                <w:kern w:val="0"/>
                <w:sz w:val="16"/>
                <w:szCs w:val="16"/>
                <w:lang w:val="en-US" w:eastAsia="pt-BR" w:bidi="ar-SA"/>
              </w:rPr>
              <w:t>(Return on Investment)</w:t>
            </w:r>
          </w:p>
        </w:tc>
        <w:tc>
          <w:tcPr>
            <w:tcW w:w="3815" w:type="dxa"/>
            <w:tcBorders>
              <w:top w:val="single" w:sz="4" w:space="0" w:color="000000"/>
              <w:left w:val="single" w:sz="4" w:space="0" w:color="000000"/>
              <w:bottom w:val="single" w:sz="4" w:space="0" w:color="000000"/>
              <w:right w:val="single" w:sz="4" w:space="0" w:color="000000"/>
            </w:tcBorders>
            <w:shd w:color="auto" w:fill="CCCCCC" w:val="clear"/>
          </w:tcPr>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ROI = [(Receita Estimada - Custo Total) / Investimento Total] × 100</w:t>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br/>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i/>
                <w:iCs/>
                <w:color w:themeColor="text1" w:val="000000"/>
                <w:kern w:val="0"/>
                <w:sz w:val="16"/>
                <w:szCs w:val="16"/>
                <w:lang w:val="pt-BR" w:eastAsia="pt-BR" w:bidi="ar-SA"/>
              </w:rPr>
              <w:t>(Indicador clássico de atratividade financeira)</w:t>
            </w:r>
          </w:p>
        </w:tc>
        <w:tc>
          <w:tcPr>
            <w:tcW w:w="1807" w:type="dxa"/>
            <w:tcBorders>
              <w:top w:val="single" w:sz="4" w:space="0" w:color="000000"/>
              <w:left w:val="single" w:sz="4" w:space="0" w:color="000000"/>
              <w:bottom w:val="single" w:sz="4" w:space="0" w:color="000000"/>
              <w:right w:val="single" w:sz="4" w:space="0" w:color="000000"/>
            </w:tcBorders>
            <w:shd w:color="auto" w:fill="CCCCCC" w:val="clear"/>
          </w:tcPr>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Assaf Neto (2014, p. 129)</w:t>
            </w:r>
          </w:p>
        </w:tc>
      </w:tr>
      <w:tr>
        <w:trPr>
          <w:trHeight w:val="1421" w:hRule="atLeast"/>
        </w:trPr>
        <w:tc>
          <w:tcPr>
            <w:tcW w:w="1120"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left"/>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Econômica</w:t>
            </w:r>
          </w:p>
        </w:tc>
        <w:tc>
          <w:tcPr>
            <w:tcW w:w="181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Margem de Segurança Operacional</w:t>
            </w:r>
          </w:p>
        </w:tc>
        <w:tc>
          <w:tcPr>
            <w:tcW w:w="381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 de Queda Admissível = (Receita Atual - Receita no Ponto de Equilíbrio) / Receita Atual</w:t>
            </w:r>
          </w:p>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br/>
            </w:r>
          </w:p>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i/>
                <w:iCs/>
                <w:color w:themeColor="text1" w:val="000000"/>
                <w:kern w:val="0"/>
                <w:sz w:val="16"/>
                <w:szCs w:val="16"/>
                <w:lang w:val="pt-BR" w:eastAsia="pt-BR" w:bidi="ar-SA"/>
              </w:rPr>
              <w:t>(Mede o quanto as vendas pode cair antes de haver prejuízo)</w:t>
            </w:r>
          </w:p>
        </w:tc>
        <w:tc>
          <w:tcPr>
            <w:tcW w:w="180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Casarotto Filho; Kopittke (2007, p. 122</w:t>
            </w:r>
            <w:r>
              <w:rPr>
                <w:rFonts w:eastAsia="Calibri" w:cs="Cambria Math" w:ascii="Cambria Math" w:hAnsi="Cambria Math"/>
                <w:color w:themeColor="text1" w:val="000000"/>
                <w:kern w:val="0"/>
                <w:sz w:val="16"/>
                <w:szCs w:val="16"/>
                <w:lang w:val="pt-BR" w:eastAsia="pt-BR" w:bidi="ar-SA"/>
              </w:rPr>
              <w:noBreakHyphen/>
            </w:r>
            <w:r>
              <w:rPr>
                <w:rFonts w:eastAsia="Calibri" w:cs="Calibri" w:ascii="Calibri" w:hAnsi="Calibri"/>
                <w:color w:themeColor="text1" w:val="000000"/>
                <w:kern w:val="0"/>
                <w:sz w:val="16"/>
                <w:szCs w:val="16"/>
                <w:lang w:val="pt-BR" w:eastAsia="pt-BR" w:bidi="ar-SA"/>
              </w:rPr>
              <w:t>123, 251)</w:t>
            </w:r>
          </w:p>
        </w:tc>
      </w:tr>
      <w:tr>
        <w:trPr>
          <w:trHeight w:val="1260" w:hRule="atLeast"/>
          <w:cnfStyle w:val="000000100000" w:firstRow="0" w:lastRow="0" w:firstColumn="0" w:lastColumn="0" w:oddVBand="0" w:evenVBand="0" w:oddHBand="1" w:evenHBand="0" w:firstRowFirstColumn="0" w:firstRowLastColumn="0" w:lastRowFirstColumn="0" w:lastRowLastColumn="0"/>
        </w:trPr>
        <w:tc>
          <w:tcPr>
            <w:tcW w:w="1120"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CCCCCC" w:val="clear"/>
          </w:tcPr>
          <w:p>
            <w:pPr>
              <w:pStyle w:val="Normal"/>
              <w:widowControl/>
              <w:suppressAutoHyphens w:val="true"/>
              <w:spacing w:lineRule="auto" w:line="360" w:before="0" w:after="0"/>
              <w:jc w:val="left"/>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Ambiental</w:t>
            </w:r>
          </w:p>
        </w:tc>
        <w:tc>
          <w:tcPr>
            <w:tcW w:w="1818" w:type="dxa"/>
            <w:tcBorders>
              <w:top w:val="single" w:sz="4" w:space="0" w:color="000000"/>
              <w:left w:val="single" w:sz="4" w:space="0" w:color="000000"/>
              <w:bottom w:val="single" w:sz="4" w:space="0" w:color="000000"/>
              <w:right w:val="single" w:sz="4" w:space="0" w:color="000000"/>
            </w:tcBorders>
            <w:shd w:color="auto" w:fill="CCCCCC" w:val="clear"/>
          </w:tcPr>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lang w:val="en-US"/>
              </w:rPr>
            </w:pPr>
            <w:r>
              <w:rPr>
                <w:rFonts w:eastAsia="Calibri" w:cs="Calibri" w:ascii="Calibri" w:hAnsi="Calibri"/>
                <w:b/>
                <w:bCs/>
                <w:color w:themeColor="text1" w:val="000000"/>
                <w:kern w:val="0"/>
                <w:sz w:val="16"/>
                <w:szCs w:val="16"/>
                <w:lang w:val="en-US" w:eastAsia="pt-BR" w:bidi="ar-SA"/>
              </w:rPr>
              <w:t>Pegada Hídrica Azul</w:t>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lang w:val="en-US"/>
              </w:rPr>
            </w:pPr>
            <w:r>
              <w:rPr>
                <w:rFonts w:eastAsia="Calibri" w:cs="Calibri" w:ascii="Calibri" w:hAnsi="Calibri"/>
                <w:color w:themeColor="text1" w:val="000000"/>
                <w:kern w:val="0"/>
                <w:sz w:val="16"/>
                <w:szCs w:val="16"/>
                <w:lang w:val="en-US" w:eastAsia="pt-BR" w:bidi="ar-SA"/>
              </w:rPr>
              <w:br/>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lang w:val="en-US"/>
              </w:rPr>
            </w:pPr>
            <w:r>
              <w:rPr>
                <w:rFonts w:eastAsia="Calibri" w:cs="Calibri" w:ascii="Calibri" w:hAnsi="Calibri"/>
                <w:i/>
                <w:iCs/>
                <w:color w:themeColor="text1" w:val="000000"/>
                <w:kern w:val="0"/>
                <w:sz w:val="16"/>
                <w:szCs w:val="16"/>
                <w:lang w:val="en-US" w:eastAsia="pt-BR" w:bidi="ar-SA"/>
              </w:rPr>
              <w:t>(Blue Water Footprint)</w:t>
            </w:r>
          </w:p>
        </w:tc>
        <w:tc>
          <w:tcPr>
            <w:tcW w:w="3815" w:type="dxa"/>
            <w:tcBorders>
              <w:top w:val="single" w:sz="4" w:space="0" w:color="000000"/>
              <w:left w:val="single" w:sz="4" w:space="0" w:color="000000"/>
              <w:bottom w:val="single" w:sz="4" w:space="0" w:color="000000"/>
              <w:right w:val="single" w:sz="4" w:space="0" w:color="000000"/>
            </w:tcBorders>
            <w:shd w:color="auto" w:fill="CCCCCC" w:val="clear"/>
          </w:tcPr>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PH = Volume de Água Consumido (m³) / Produção de Peixe (ton)</w:t>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br/>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i/>
                <w:iCs/>
                <w:color w:themeColor="text1" w:val="000000"/>
                <w:kern w:val="0"/>
                <w:sz w:val="16"/>
                <w:szCs w:val="16"/>
                <w:lang w:val="pt-BR" w:eastAsia="pt-BR" w:bidi="ar-SA"/>
              </w:rPr>
              <w:t>(Mede a eficiência do uso do recurso hídrico)</w:t>
            </w:r>
          </w:p>
        </w:tc>
        <w:tc>
          <w:tcPr>
            <w:tcW w:w="1807" w:type="dxa"/>
            <w:tcBorders>
              <w:top w:val="single" w:sz="4" w:space="0" w:color="000000"/>
              <w:left w:val="single" w:sz="4" w:space="0" w:color="000000"/>
              <w:bottom w:val="single" w:sz="4" w:space="0" w:color="000000"/>
              <w:right w:val="single" w:sz="4" w:space="0" w:color="000000"/>
            </w:tcBorders>
            <w:shd w:color="auto" w:fill="CCCCCC" w:val="clear"/>
          </w:tcPr>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Hoekstra (2017, p. 3061)</w:t>
              <w:br/>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r>
          </w:p>
        </w:tc>
      </w:tr>
      <w:tr>
        <w:trPr>
          <w:trHeight w:val="1260" w:hRule="atLeast"/>
        </w:trPr>
        <w:tc>
          <w:tcPr>
            <w:tcW w:w="1120"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left"/>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Ambiental</w:t>
            </w:r>
          </w:p>
        </w:tc>
        <w:tc>
          <w:tcPr>
            <w:tcW w:w="181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Índice de Ecoeficiência</w:t>
            </w:r>
          </w:p>
        </w:tc>
        <w:tc>
          <w:tcPr>
            <w:tcW w:w="381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IE = Valor Econômico Adicionado / Impacto Ambiental Agregado</w:t>
            </w:r>
          </w:p>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br/>
            </w:r>
          </w:p>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i/>
                <w:iCs/>
                <w:color w:themeColor="text1" w:val="000000"/>
                <w:kern w:val="0"/>
                <w:sz w:val="16"/>
                <w:szCs w:val="16"/>
                <w:lang w:val="pt-BR" w:eastAsia="pt-BR" w:bidi="ar-SA"/>
              </w:rPr>
              <w:t>(Razão entre o lucro gerado e os resíduos produzidos)</w:t>
            </w:r>
          </w:p>
        </w:tc>
        <w:tc>
          <w:tcPr>
            <w:tcW w:w="180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br/>
            </w:r>
          </w:p>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r>
          </w:p>
        </w:tc>
      </w:tr>
      <w:tr>
        <w:trPr>
          <w:trHeight w:val="1260" w:hRule="atLeast"/>
          <w:cnfStyle w:val="000000100000" w:firstRow="0" w:lastRow="0" w:firstColumn="0" w:lastColumn="0" w:oddVBand="0" w:evenVBand="0" w:oddHBand="1" w:evenHBand="0" w:firstRowFirstColumn="0" w:firstRowLastColumn="0" w:lastRowFirstColumn="0" w:lastRowLastColumn="0"/>
        </w:trPr>
        <w:tc>
          <w:tcPr>
            <w:tcW w:w="1120"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CCCCCC" w:val="clear"/>
          </w:tcPr>
          <w:p>
            <w:pPr>
              <w:pStyle w:val="Normal"/>
              <w:widowControl/>
              <w:suppressAutoHyphens w:val="true"/>
              <w:spacing w:lineRule="auto" w:line="360" w:before="0" w:after="0"/>
              <w:jc w:val="left"/>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Social</w:t>
            </w:r>
          </w:p>
        </w:tc>
        <w:tc>
          <w:tcPr>
            <w:tcW w:w="1818" w:type="dxa"/>
            <w:tcBorders>
              <w:top w:val="single" w:sz="4" w:space="0" w:color="000000"/>
              <w:left w:val="single" w:sz="4" w:space="0" w:color="000000"/>
              <w:bottom w:val="single" w:sz="4" w:space="0" w:color="000000"/>
              <w:right w:val="single" w:sz="4" w:space="0" w:color="000000"/>
            </w:tcBorders>
            <w:shd w:color="auto" w:fill="CCCCCC" w:val="clear"/>
          </w:tcPr>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lang w:val="en-US"/>
              </w:rPr>
            </w:pPr>
            <w:r>
              <w:rPr>
                <w:rFonts w:eastAsia="Calibri" w:cs="Calibri" w:ascii="Calibri" w:hAnsi="Calibri"/>
                <w:b/>
                <w:bCs/>
                <w:color w:themeColor="text1" w:val="000000"/>
                <w:kern w:val="0"/>
                <w:sz w:val="16"/>
                <w:szCs w:val="16"/>
                <w:lang w:val="en-US" w:eastAsia="pt-BR" w:bidi="ar-SA"/>
              </w:rPr>
              <w:t>LSO Score</w:t>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lang w:val="en-US"/>
              </w:rPr>
            </w:pPr>
            <w:r>
              <w:rPr>
                <w:rFonts w:eastAsia="Calibri" w:cs="Calibri" w:ascii="Calibri" w:hAnsi="Calibri"/>
                <w:color w:themeColor="text1" w:val="000000"/>
                <w:kern w:val="0"/>
                <w:sz w:val="16"/>
                <w:szCs w:val="16"/>
                <w:lang w:val="en-US" w:eastAsia="pt-BR" w:bidi="ar-SA"/>
              </w:rPr>
              <w:br/>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lang w:val="en-US"/>
              </w:rPr>
            </w:pPr>
            <w:r>
              <w:rPr>
                <w:rFonts w:eastAsia="Calibri" w:cs="Calibri" w:ascii="Calibri" w:hAnsi="Calibri"/>
                <w:i/>
                <w:iCs/>
                <w:color w:themeColor="text1" w:val="000000"/>
                <w:kern w:val="0"/>
                <w:sz w:val="16"/>
                <w:szCs w:val="16"/>
                <w:lang w:val="en-US" w:eastAsia="pt-BR" w:bidi="ar-SA"/>
              </w:rPr>
              <w:t>(License to Operate)</w:t>
            </w:r>
          </w:p>
        </w:tc>
        <w:tc>
          <w:tcPr>
            <w:tcW w:w="3815" w:type="dxa"/>
            <w:tcBorders>
              <w:top w:val="single" w:sz="4" w:space="0" w:color="000000"/>
              <w:left w:val="single" w:sz="4" w:space="0" w:color="000000"/>
              <w:bottom w:val="single" w:sz="4" w:space="0" w:color="000000"/>
              <w:right w:val="single" w:sz="4" w:space="0" w:color="000000"/>
            </w:tcBorders>
            <w:shd w:color="auto" w:fill="CCCCCC" w:val="clear"/>
          </w:tcPr>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Índice Composto (0 a 100)</w:t>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br/>
            </w:r>
          </w:p>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i/>
                <w:iCs/>
                <w:color w:themeColor="text1" w:val="000000"/>
                <w:kern w:val="0"/>
                <w:sz w:val="16"/>
                <w:szCs w:val="16"/>
                <w:lang w:val="pt-BR" w:eastAsia="pt-BR" w:bidi="ar-SA"/>
              </w:rPr>
              <w:t>(Baseado na frequência de engajamento positivo com stakeholders e ausência de conflitos)</w:t>
            </w:r>
          </w:p>
        </w:tc>
        <w:tc>
          <w:tcPr>
            <w:tcW w:w="1807" w:type="dxa"/>
            <w:tcBorders>
              <w:top w:val="single" w:sz="4" w:space="0" w:color="000000"/>
              <w:left w:val="single" w:sz="4" w:space="0" w:color="000000"/>
              <w:bottom w:val="single" w:sz="4" w:space="0" w:color="000000"/>
              <w:right w:val="single" w:sz="4" w:space="0" w:color="000000"/>
            </w:tcBorders>
            <w:shd w:color="auto" w:fill="CCCCCC" w:val="clear"/>
          </w:tcPr>
          <w:p>
            <w:pPr>
              <w:pStyle w:val="Normal"/>
              <w:widowControl/>
              <w:suppressAutoHyphens w:val="true"/>
              <w:spacing w:lineRule="auto" w:line="36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Hurst e Ihlen (2018, p. 137).</w:t>
            </w:r>
          </w:p>
        </w:tc>
      </w:tr>
      <w:tr>
        <w:trPr>
          <w:trHeight w:val="1260" w:hRule="atLeast"/>
        </w:trPr>
        <w:tc>
          <w:tcPr>
            <w:tcW w:w="1120"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left"/>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Social</w:t>
            </w:r>
          </w:p>
        </w:tc>
        <w:tc>
          <w:tcPr>
            <w:tcW w:w="1818"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Retenção de Valor Local</w:t>
            </w:r>
          </w:p>
        </w:tc>
        <w:tc>
          <w:tcPr>
            <w:tcW w:w="381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b/>
                <w:bCs/>
                <w:color w:themeColor="text1" w:val="000000"/>
                <w:kern w:val="0"/>
                <w:sz w:val="16"/>
                <w:szCs w:val="16"/>
                <w:lang w:val="pt-BR" w:eastAsia="pt-BR" w:bidi="ar-SA"/>
              </w:rPr>
              <w:t>RVL = (Despesas com Mão de Obra e Fornecedores Locais / Custo Operacional Total) × 100</w:t>
            </w:r>
          </w:p>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br/>
            </w:r>
          </w:p>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i/>
                <w:iCs/>
                <w:color w:themeColor="text1" w:val="000000"/>
                <w:kern w:val="0"/>
                <w:sz w:val="16"/>
                <w:szCs w:val="16"/>
                <w:lang w:val="pt-BR" w:eastAsia="pt-BR" w:bidi="ar-SA"/>
              </w:rPr>
              <w:t>(Mede o impacto econômico direto na comunidade)</w:t>
            </w:r>
          </w:p>
        </w:tc>
        <w:tc>
          <w:tcPr>
            <w:tcW w:w="180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Adaptado dos conteúdos GRI 201-1 (GRI, 2016a, p. 560) e GRI 204-1 (GRI, 2016b, p. 597)</w:t>
              <w:br/>
            </w:r>
          </w:p>
          <w:p>
            <w:pPr>
              <w:pStyle w:val="Normal"/>
              <w:widowControl/>
              <w:suppressAutoHyphens w:val="true"/>
              <w:spacing w:lineRule="auto" w:line="36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Calibri" w:cs="Calibri"/>
                <w:color w:themeColor="text1" w:val="000000"/>
                <w:sz w:val="16"/>
                <w:szCs w:val="16"/>
              </w:rPr>
            </w:pPr>
            <w:r>
              <w:rPr>
                <w:rFonts w:eastAsia="Calibri" w:cs="Calibri" w:ascii="Calibri" w:hAnsi="Calibri"/>
                <w:color w:themeColor="text1" w:val="000000"/>
                <w:kern w:val="0"/>
                <w:sz w:val="16"/>
                <w:szCs w:val="16"/>
                <w:lang w:val="pt-BR" w:eastAsia="pt-BR" w:bidi="ar-SA"/>
              </w:rPr>
              <w:t>Sachs (2009, p. 85)</w:t>
            </w:r>
          </w:p>
        </w:tc>
      </w:tr>
    </w:tbl>
    <w:p>
      <w:pPr>
        <w:pStyle w:val="Normal"/>
        <w:spacing w:lineRule="auto" w:line="360" w:before="0" w:after="0"/>
        <w:jc w:val="center"/>
        <w:rPr>
          <w:rFonts w:ascii="Calibri" w:hAnsi="Calibri" w:eastAsia="Calibri" w:cs="Calibri"/>
          <w:color w:themeColor="text1" w:val="000000"/>
          <w:sz w:val="16"/>
          <w:szCs w:val="16"/>
        </w:rPr>
      </w:pPr>
      <w:r>
        <w:rPr>
          <w:rFonts w:eastAsia="Calibri" w:cs="Calibri" w:ascii="Calibri" w:hAnsi="Calibri"/>
          <w:color w:themeColor="text1" w:val="000000"/>
          <w:sz w:val="16"/>
          <w:szCs w:val="16"/>
        </w:rPr>
        <w:t>Fonte: Elaborado pelo autor (2026).</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utilização destes KPIs permite que o </w:t>
      </w:r>
      <w:r>
        <w:rPr>
          <w:rFonts w:eastAsia="Times New Roman" w:cs="Times New Roman"/>
          <w:i/>
          <w:iCs/>
          <w:color w:themeColor="text1" w:val="000000"/>
          <w:sz w:val="24"/>
          <w:szCs w:val="24"/>
        </w:rPr>
        <w:t xml:space="preserve">software </w:t>
      </w:r>
      <w:r>
        <w:rPr>
          <w:rFonts w:eastAsia="Times New Roman" w:cs="Times New Roman"/>
          <w:color w:themeColor="text1" w:val="000000"/>
          <w:sz w:val="24"/>
          <w:szCs w:val="24"/>
        </w:rPr>
        <w:t>em Python não apenas apresente números isolados, mas atue como um mecanismo contra a subtilização. Ao forçar os gestores a considerarem todas as medidas operacionais importantes em conjunto, o painel permite verificar se a melhoria em uma área foi alcançada às custas de outra.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2"/>
        <w:spacing w:lineRule="auto" w:line="360" w:before="0" w:after="0"/>
        <w:rPr>
          <w:rFonts w:ascii="Times New Roman" w:hAnsi="Times New Roman" w:eastAsia="Times New Roman" w:cs="Times New Roman"/>
          <w:b/>
          <w:bCs/>
          <w:color w:themeColor="text1" w:val="000000"/>
          <w:sz w:val="28"/>
          <w:szCs w:val="28"/>
        </w:rPr>
      </w:pPr>
      <w:bookmarkStart w:id="123" w:name="_Toc242269302"/>
      <w:bookmarkStart w:id="124" w:name="_Toc242269221"/>
      <w:bookmarkStart w:id="125" w:name="_Toc242269142"/>
      <w:r>
        <w:rPr>
          <w:rFonts w:eastAsia="Times New Roman" w:cs="Times New Roman" w:ascii="Times New Roman" w:hAnsi="Times New Roman"/>
          <w:b/>
          <w:bCs/>
          <w:color w:themeColor="text1" w:val="000000"/>
          <w:sz w:val="28"/>
          <w:szCs w:val="28"/>
        </w:rPr>
        <w:t>2.9 Eixo 2 – Integração, Lean, Sustentabilidade Ambiental e cadeia de suprimentos</w:t>
      </w:r>
      <w:bookmarkEnd w:id="123"/>
      <w:bookmarkEnd w:id="124"/>
      <w:bookmarkEnd w:id="125"/>
    </w:p>
    <w:p>
      <w:pPr>
        <w:pStyle w:val="Heading3"/>
        <w:spacing w:lineRule="auto" w:line="360" w:before="0" w:after="0"/>
        <w:rPr>
          <w:rFonts w:ascii="Times New Roman" w:hAnsi="Times New Roman" w:eastAsia="Times New Roman" w:cs="Times New Roman"/>
          <w:color w:themeColor="text1" w:val="000000"/>
        </w:rPr>
      </w:pPr>
      <w:bookmarkStart w:id="126" w:name="_Toc242269303"/>
      <w:bookmarkStart w:id="127" w:name="_Toc242269222"/>
      <w:bookmarkStart w:id="128" w:name="_Toc242269143"/>
      <w:r>
        <w:rPr>
          <w:rFonts w:eastAsia="Times New Roman" w:cs="Times New Roman"/>
          <w:color w:themeColor="text1" w:val="000000"/>
        </w:rPr>
        <w:t xml:space="preserve">2.9.1 Gestão </w:t>
      </w:r>
      <w:r>
        <w:rPr>
          <w:rFonts w:eastAsia="Times New Roman" w:cs="Times New Roman"/>
          <w:i/>
          <w:iCs/>
          <w:color w:themeColor="text1" w:val="000000"/>
        </w:rPr>
        <w:t>Lean &amp; Green</w:t>
      </w:r>
      <w:r>
        <w:rPr>
          <w:rFonts w:eastAsia="Times New Roman" w:cs="Times New Roman"/>
          <w:color w:themeColor="text1" w:val="000000"/>
        </w:rPr>
        <w:t>: convergência para a eficiência na piscicultura</w:t>
      </w:r>
      <w:bookmarkEnd w:id="126"/>
      <w:bookmarkEnd w:id="127"/>
      <w:bookmarkEnd w:id="128"/>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filosofia </w:t>
      </w:r>
      <w:r>
        <w:rPr>
          <w:rFonts w:eastAsia="Times New Roman" w:cs="Times New Roman"/>
          <w:i/>
          <w:iCs/>
          <w:color w:themeColor="text1" w:val="000000"/>
          <w:sz w:val="24"/>
          <w:szCs w:val="24"/>
        </w:rPr>
        <w:t>Lean</w:t>
      </w:r>
      <w:r>
        <w:rPr>
          <w:rFonts w:eastAsia="Times New Roman" w:cs="Times New Roman"/>
          <w:color w:themeColor="text1" w:val="000000"/>
          <w:sz w:val="24"/>
          <w:szCs w:val="24"/>
        </w:rPr>
        <w:t xml:space="preserve"> (enxuta), originária do Sistema Toyota de Produção e tradicionalmente focada na eliminação de desperdícios para maximização de valor para o cliente, encontra uma sinergia natural e estratégica com a gestão </w:t>
      </w:r>
      <w:r>
        <w:rPr>
          <w:rFonts w:eastAsia="Times New Roman" w:cs="Times New Roman"/>
          <w:i/>
          <w:iCs/>
          <w:color w:themeColor="text1" w:val="000000"/>
          <w:sz w:val="24"/>
          <w:szCs w:val="24"/>
        </w:rPr>
        <w:t>Green</w:t>
      </w:r>
      <w:r>
        <w:rPr>
          <w:rFonts w:eastAsia="Times New Roman" w:cs="Times New Roman"/>
          <w:color w:themeColor="text1" w:val="000000"/>
          <w:sz w:val="24"/>
          <w:szCs w:val="24"/>
        </w:rPr>
        <w:t xml:space="preserve"> A literatura contemporânea aponta que a poluição e o desperdício ambiental são, frequentemente, manifestações de ineficiência econômica ou desperdício de insumos. (Yokoyama; Oliveira; Futami, 2018). Na pisicultura, setor caracterizado por margens estreitas e elevada dependência de recursos naturais, a aplicação dos princípios de gestão enxuta emerge como elemento central para a sustentabilidade econômica dos empreendimentos. Lawrence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(2023, p. 6–28) destacam que a gestão enxuta na piscicultura visa à criação de fluxos de valor estáveis orientados ao cliente e que a eliminação de desperdícios críticos, como o excesso de ração, o uso ineficiente de água e o consumo energético desnecessário, eleva simultaneamente a lucratividade e a qualidade do pescado, sem necessidade de grandes investimentos estruturais.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Para operacionalizar essa filosofia </w:t>
      </w:r>
      <w:r>
        <w:rPr>
          <w:rFonts w:eastAsia="Times New Roman" w:cs="Times New Roman"/>
          <w:i/>
          <w:iCs/>
          <w:color w:themeColor="text1" w:val="000000"/>
          <w:sz w:val="24"/>
          <w:szCs w:val="24"/>
        </w:rPr>
        <w:t>Lean,</w:t>
      </w:r>
      <w:r>
        <w:rPr>
          <w:rFonts w:eastAsia="Times New Roman" w:cs="Times New Roman"/>
          <w:color w:themeColor="text1" w:val="000000"/>
          <w:sz w:val="24"/>
          <w:szCs w:val="24"/>
        </w:rPr>
        <w:t xml:space="preserve"> o conceito de desperdício na aquicultura, citado pelos autores é categorizado pelo acrônimo </w:t>
      </w:r>
      <w:r>
        <w:rPr>
          <w:rFonts w:eastAsia="Times New Roman" w:cs="Times New Roman"/>
          <w:i/>
          <w:iCs/>
          <w:color w:themeColor="text1" w:val="000000"/>
          <w:sz w:val="24"/>
          <w:szCs w:val="24"/>
        </w:rPr>
        <w:t>DOWNTIME</w:t>
      </w:r>
      <w:r>
        <w:rPr>
          <w:rFonts w:eastAsia="Times New Roman" w:cs="Times New Roman"/>
          <w:color w:themeColor="text1" w:val="000000"/>
          <w:sz w:val="24"/>
          <w:szCs w:val="24"/>
        </w:rPr>
        <w:t xml:space="preserve"> (</w:t>
      </w:r>
      <w:r>
        <w:rPr>
          <w:rFonts w:eastAsia="Times New Roman" w:cs="Times New Roman"/>
          <w:i/>
          <w:iCs/>
          <w:color w:themeColor="text1" w:val="000000"/>
          <w:sz w:val="24"/>
          <w:szCs w:val="24"/>
        </w:rPr>
        <w:t>Defects, Overproduction, Waiting, Non-utilized talent, Transportation, Inventory, Motion, Extra-processing</w:t>
      </w:r>
      <w:r>
        <w:rPr>
          <w:rFonts w:eastAsia="Times New Roman" w:cs="Times New Roman"/>
          <w:color w:themeColor="text1" w:val="000000"/>
          <w:sz w:val="24"/>
          <w:szCs w:val="24"/>
        </w:rPr>
        <w:t xml:space="preserve">). A aplicação deste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revela conexões diretas com a sustentabilidade ambiental.  A seguir observa-se a definição de cada um dos elementos segundo os autores:</w:t>
      </w:r>
    </w:p>
    <w:p>
      <w:pPr>
        <w:pStyle w:val="Normal"/>
        <w:numPr>
          <w:ilvl w:val="0"/>
          <w:numId w:val="1"/>
        </w:numPr>
        <w:spacing w:lineRule="auto" w:line="360" w:before="0" w:after="0"/>
        <w:jc w:val="both"/>
        <w:rPr>
          <w:color w:themeColor="text1" w:val="000000"/>
        </w:rPr>
      </w:pPr>
      <w:r>
        <w:rPr>
          <w:rFonts w:eastAsia="Times New Roman" w:cs="Times New Roman"/>
          <w:b/>
          <w:bCs/>
          <w:color w:themeColor="text1" w:val="000000"/>
          <w:sz w:val="24"/>
          <w:szCs w:val="24"/>
        </w:rPr>
        <w:t>Defeitos (</w:t>
      </w:r>
      <w:r>
        <w:rPr>
          <w:rFonts w:eastAsia="Times New Roman" w:cs="Times New Roman"/>
          <w:b/>
          <w:bCs/>
          <w:i/>
          <w:iCs/>
          <w:color w:themeColor="text1" w:val="000000"/>
          <w:sz w:val="24"/>
          <w:szCs w:val="24"/>
        </w:rPr>
        <w:t>Defects</w:t>
      </w:r>
      <w:r>
        <w:rPr>
          <w:rFonts w:eastAsia="Times New Roman" w:cs="Times New Roman"/>
          <w:b/>
          <w:bCs/>
          <w:color w:themeColor="text1" w:val="000000"/>
          <w:sz w:val="24"/>
          <w:szCs w:val="24"/>
        </w:rPr>
        <w:t>):</w:t>
      </w:r>
      <w:r>
        <w:rPr>
          <w:rFonts w:eastAsia="Times New Roman" w:cs="Times New Roman"/>
          <w:color w:themeColor="text1" w:val="000000"/>
          <w:sz w:val="24"/>
          <w:szCs w:val="24"/>
        </w:rPr>
        <w:t xml:space="preserve"> Mortalidade elevada desperdiça todos os recursos, como ração e oxigênio, investidos no animal.</w:t>
      </w:r>
    </w:p>
    <w:p>
      <w:pPr>
        <w:pStyle w:val="Normal"/>
        <w:numPr>
          <w:ilvl w:val="0"/>
          <w:numId w:val="1"/>
        </w:numPr>
        <w:spacing w:lineRule="auto" w:line="360" w:before="0" w:after="0"/>
        <w:jc w:val="both"/>
        <w:rPr>
          <w:color w:themeColor="text1" w:val="000000"/>
        </w:rPr>
      </w:pPr>
      <w:r>
        <w:rPr>
          <w:rFonts w:eastAsia="Times New Roman" w:cs="Times New Roman"/>
          <w:b/>
          <w:bCs/>
          <w:color w:themeColor="text1" w:val="000000"/>
          <w:sz w:val="24"/>
          <w:szCs w:val="24"/>
        </w:rPr>
        <w:t>Superprodução (</w:t>
      </w:r>
      <w:r>
        <w:rPr>
          <w:rFonts w:eastAsia="Times New Roman" w:cs="Times New Roman"/>
          <w:b/>
          <w:bCs/>
          <w:i/>
          <w:iCs/>
          <w:color w:themeColor="text1" w:val="000000"/>
          <w:sz w:val="24"/>
          <w:szCs w:val="24"/>
        </w:rPr>
        <w:t>Overproduction</w:t>
      </w:r>
      <w:r>
        <w:rPr>
          <w:rFonts w:eastAsia="Times New Roman" w:cs="Times New Roman"/>
          <w:b/>
          <w:bCs/>
          <w:color w:themeColor="text1" w:val="000000"/>
          <w:sz w:val="24"/>
          <w:szCs w:val="24"/>
        </w:rPr>
        <w:t>):</w:t>
      </w:r>
      <w:r>
        <w:rPr>
          <w:rFonts w:eastAsia="Times New Roman" w:cs="Times New Roman"/>
          <w:color w:themeColor="text1" w:val="000000"/>
          <w:sz w:val="24"/>
          <w:szCs w:val="24"/>
        </w:rPr>
        <w:t xml:space="preserve"> Estabelecer uma biomassa além da capacidade de suporte dos tanques leva ao esgotamento de oxigênio e à eutrofização da água, ao caracterizar um desperdício que é, ao mesmo tempo, econômico com redução da conversão alimentar, e ambiental com poluição de efluentes.</w:t>
      </w:r>
    </w:p>
    <w:p>
      <w:pPr>
        <w:pStyle w:val="Normal"/>
        <w:numPr>
          <w:ilvl w:val="0"/>
          <w:numId w:val="1"/>
        </w:numPr>
        <w:spacing w:lineRule="auto" w:line="360" w:before="0" w:after="0"/>
        <w:jc w:val="both"/>
        <w:rPr>
          <w:color w:themeColor="text1" w:val="000000"/>
        </w:rPr>
      </w:pPr>
      <w:r>
        <w:rPr>
          <w:rFonts w:eastAsia="Times New Roman" w:cs="Times New Roman"/>
          <w:b/>
          <w:bCs/>
          <w:color w:themeColor="text1" w:val="000000"/>
          <w:sz w:val="24"/>
          <w:szCs w:val="24"/>
        </w:rPr>
        <w:t>Espera (</w:t>
      </w:r>
      <w:r>
        <w:rPr>
          <w:rFonts w:eastAsia="Times New Roman" w:cs="Times New Roman"/>
          <w:b/>
          <w:bCs/>
          <w:i/>
          <w:iCs/>
          <w:color w:themeColor="text1" w:val="000000"/>
          <w:sz w:val="24"/>
          <w:szCs w:val="24"/>
        </w:rPr>
        <w:t>Waiting</w:t>
      </w:r>
      <w:r>
        <w:rPr>
          <w:rFonts w:eastAsia="Times New Roman" w:cs="Times New Roman"/>
          <w:b/>
          <w:bCs/>
          <w:color w:themeColor="text1" w:val="000000"/>
          <w:sz w:val="24"/>
          <w:szCs w:val="24"/>
        </w:rPr>
        <w:t>):</w:t>
      </w:r>
      <w:r>
        <w:rPr>
          <w:rFonts w:eastAsia="Times New Roman" w:cs="Times New Roman"/>
          <w:color w:themeColor="text1" w:val="000000"/>
          <w:sz w:val="24"/>
          <w:szCs w:val="24"/>
        </w:rPr>
        <w:t xml:space="preserve"> Tempo ocioso de recursos ou pessoas, como o atraso de análises de qualidade da água ou da entrega de ração, o que pode comprometer o cronograma de alimentação e o crescimento dos peixes.</w:t>
      </w:r>
    </w:p>
    <w:p>
      <w:pPr>
        <w:pStyle w:val="Normal"/>
        <w:numPr>
          <w:ilvl w:val="0"/>
          <w:numId w:val="1"/>
        </w:numPr>
        <w:spacing w:lineRule="auto" w:line="360" w:before="0" w:after="0"/>
        <w:jc w:val="both"/>
        <w:rPr>
          <w:color w:themeColor="text1" w:val="000000"/>
        </w:rPr>
      </w:pPr>
      <w:r>
        <w:rPr>
          <w:rFonts w:eastAsia="Times New Roman" w:cs="Times New Roman"/>
          <w:b/>
          <w:bCs/>
          <w:color w:themeColor="text1" w:val="000000"/>
          <w:sz w:val="24"/>
          <w:szCs w:val="24"/>
        </w:rPr>
        <w:t>Talento não utilizado (</w:t>
      </w:r>
      <w:r>
        <w:rPr>
          <w:rFonts w:eastAsia="Times New Roman" w:cs="Times New Roman"/>
          <w:b/>
          <w:bCs/>
          <w:i/>
          <w:iCs/>
          <w:color w:themeColor="text1" w:val="000000"/>
          <w:sz w:val="24"/>
          <w:szCs w:val="24"/>
        </w:rPr>
        <w:t>Non-utilized talent</w:t>
      </w:r>
      <w:r>
        <w:rPr>
          <w:rFonts w:eastAsia="Times New Roman" w:cs="Times New Roman"/>
          <w:b/>
          <w:bCs/>
          <w:color w:themeColor="text1" w:val="000000"/>
          <w:sz w:val="24"/>
          <w:szCs w:val="24"/>
        </w:rPr>
        <w:t>):</w:t>
      </w:r>
      <w:r>
        <w:rPr>
          <w:rFonts w:eastAsia="Times New Roman" w:cs="Times New Roman"/>
          <w:color w:themeColor="text1" w:val="000000"/>
          <w:sz w:val="24"/>
          <w:szCs w:val="24"/>
        </w:rPr>
        <w:t xml:space="preserve"> Acontece quando o conhecimento e a experiência dos operadores de campo são ignorados. Perde-se a identificação precoce de mudanças no comportamento dos peixes ou falhas em equipamentos.</w:t>
      </w:r>
    </w:p>
    <w:p>
      <w:pPr>
        <w:pStyle w:val="Normal"/>
        <w:numPr>
          <w:ilvl w:val="0"/>
          <w:numId w:val="1"/>
        </w:numPr>
        <w:spacing w:lineRule="auto" w:line="360" w:before="0" w:after="0"/>
        <w:jc w:val="both"/>
        <w:rPr>
          <w:color w:themeColor="text1" w:val="000000"/>
        </w:rPr>
      </w:pPr>
      <w:r>
        <w:rPr>
          <w:rFonts w:eastAsia="Times New Roman" w:cs="Times New Roman"/>
          <w:b/>
          <w:bCs/>
          <w:color w:themeColor="text1" w:val="000000"/>
          <w:sz w:val="24"/>
          <w:szCs w:val="24"/>
        </w:rPr>
        <w:t>Transporte (</w:t>
      </w:r>
      <w:r>
        <w:rPr>
          <w:rFonts w:eastAsia="Times New Roman" w:cs="Times New Roman"/>
          <w:b/>
          <w:bCs/>
          <w:i/>
          <w:iCs/>
          <w:color w:themeColor="text1" w:val="000000"/>
          <w:sz w:val="24"/>
          <w:szCs w:val="24"/>
        </w:rPr>
        <w:t>Transportation</w:t>
      </w:r>
      <w:r>
        <w:rPr>
          <w:rFonts w:eastAsia="Times New Roman" w:cs="Times New Roman"/>
          <w:b/>
          <w:bCs/>
          <w:color w:themeColor="text1" w:val="000000"/>
          <w:sz w:val="24"/>
          <w:szCs w:val="24"/>
        </w:rPr>
        <w:t>):</w:t>
      </w:r>
      <w:r>
        <w:rPr>
          <w:rFonts w:eastAsia="Times New Roman" w:cs="Times New Roman"/>
          <w:color w:themeColor="text1" w:val="000000"/>
          <w:sz w:val="24"/>
          <w:szCs w:val="24"/>
        </w:rPr>
        <w:t xml:space="preserve"> Movimentação desnecessária de materiais ou animais. O transporte excessivo de alevinos ou peixes entre tanques gera estresse o que afeta o bem-estar animal, e aumenta o risco de mortalidade, além de consumir energia desnecessária.</w:t>
      </w:r>
    </w:p>
    <w:p>
      <w:pPr>
        <w:pStyle w:val="Normal"/>
        <w:numPr>
          <w:ilvl w:val="0"/>
          <w:numId w:val="1"/>
        </w:numPr>
        <w:spacing w:lineRule="auto" w:line="360" w:before="0" w:after="0"/>
        <w:jc w:val="both"/>
        <w:rPr>
          <w:color w:themeColor="text1" w:val="000000"/>
        </w:rPr>
      </w:pPr>
      <w:r>
        <w:rPr>
          <w:rFonts w:eastAsia="Times New Roman" w:cs="Times New Roman"/>
          <w:b/>
          <w:bCs/>
          <w:color w:themeColor="text1" w:val="000000"/>
          <w:sz w:val="24"/>
          <w:szCs w:val="24"/>
        </w:rPr>
        <w:t>Estoques (</w:t>
      </w:r>
      <w:r>
        <w:rPr>
          <w:rFonts w:eastAsia="Times New Roman" w:cs="Times New Roman"/>
          <w:b/>
          <w:bCs/>
          <w:i/>
          <w:iCs/>
          <w:color w:themeColor="text1" w:val="000000"/>
          <w:sz w:val="24"/>
          <w:szCs w:val="24"/>
        </w:rPr>
        <w:t>Inventory</w:t>
      </w:r>
      <w:r>
        <w:rPr>
          <w:rFonts w:eastAsia="Times New Roman" w:cs="Times New Roman"/>
          <w:b/>
          <w:bCs/>
          <w:color w:themeColor="text1" w:val="000000"/>
          <w:sz w:val="24"/>
          <w:szCs w:val="24"/>
        </w:rPr>
        <w:t>):</w:t>
      </w:r>
      <w:r>
        <w:rPr>
          <w:rFonts w:eastAsia="Times New Roman" w:cs="Times New Roman"/>
          <w:color w:themeColor="text1" w:val="000000"/>
          <w:sz w:val="24"/>
          <w:szCs w:val="24"/>
        </w:rPr>
        <w:t xml:space="preserve"> O armazenamento inadequado de ração leva à perda nutricional e desperdício físico, ao exigir maior extração de recursos naturais para reposição.</w:t>
      </w:r>
    </w:p>
    <w:p>
      <w:pPr>
        <w:pStyle w:val="Normal"/>
        <w:numPr>
          <w:ilvl w:val="0"/>
          <w:numId w:val="1"/>
        </w:numPr>
        <w:spacing w:lineRule="auto" w:line="360" w:before="0" w:after="0"/>
        <w:jc w:val="both"/>
        <w:rPr>
          <w:color w:themeColor="text1" w:val="000000"/>
        </w:rPr>
      </w:pPr>
      <w:r>
        <w:rPr>
          <w:rFonts w:eastAsia="Times New Roman" w:cs="Times New Roman"/>
          <w:b/>
          <w:bCs/>
          <w:color w:themeColor="text1" w:val="000000"/>
          <w:sz w:val="24"/>
          <w:szCs w:val="24"/>
        </w:rPr>
        <w:t>Movimentação (</w:t>
      </w:r>
      <w:r>
        <w:rPr>
          <w:rFonts w:eastAsia="Times New Roman" w:cs="Times New Roman"/>
          <w:b/>
          <w:bCs/>
          <w:i/>
          <w:iCs/>
          <w:color w:themeColor="text1" w:val="000000"/>
          <w:sz w:val="24"/>
          <w:szCs w:val="24"/>
        </w:rPr>
        <w:t>Motion</w:t>
      </w:r>
      <w:r>
        <w:rPr>
          <w:rFonts w:eastAsia="Times New Roman" w:cs="Times New Roman"/>
          <w:b/>
          <w:bCs/>
          <w:color w:themeColor="text1" w:val="000000"/>
          <w:sz w:val="24"/>
          <w:szCs w:val="24"/>
        </w:rPr>
        <w:t>):</w:t>
      </w:r>
      <w:r>
        <w:rPr>
          <w:rFonts w:eastAsia="Times New Roman" w:cs="Times New Roman"/>
          <w:color w:themeColor="text1" w:val="000000"/>
          <w:sz w:val="24"/>
          <w:szCs w:val="24"/>
        </w:rPr>
        <w:t xml:space="preserve"> Movimento desnecessário de pessoas, como um layout que obriga o tratador a longos deslocamentos, gera fadiga e perda de tempo.</w:t>
      </w:r>
    </w:p>
    <w:p>
      <w:pPr>
        <w:pStyle w:val="Normal"/>
        <w:numPr>
          <w:ilvl w:val="0"/>
          <w:numId w:val="1"/>
        </w:numPr>
        <w:spacing w:lineRule="auto" w:line="360" w:before="0" w:after="0"/>
        <w:jc w:val="both"/>
        <w:rPr>
          <w:color w:themeColor="text1" w:val="000000"/>
        </w:rPr>
      </w:pPr>
      <w:r>
        <w:rPr>
          <w:rFonts w:eastAsia="Times New Roman" w:cs="Times New Roman"/>
          <w:b/>
          <w:bCs/>
          <w:color w:themeColor="text1" w:val="000000"/>
          <w:sz w:val="24"/>
          <w:szCs w:val="24"/>
        </w:rPr>
        <w:t>Processamento excessivo (</w:t>
      </w:r>
      <w:r>
        <w:rPr>
          <w:rFonts w:eastAsia="Times New Roman" w:cs="Times New Roman"/>
          <w:b/>
          <w:bCs/>
          <w:i/>
          <w:iCs/>
          <w:color w:themeColor="text1" w:val="000000"/>
          <w:sz w:val="24"/>
          <w:szCs w:val="24"/>
        </w:rPr>
        <w:t>Extra-processing</w:t>
      </w:r>
      <w:r>
        <w:rPr>
          <w:rFonts w:eastAsia="Times New Roman" w:cs="Times New Roman"/>
          <w:b/>
          <w:bCs/>
          <w:color w:themeColor="text1" w:val="000000"/>
          <w:sz w:val="24"/>
          <w:szCs w:val="24"/>
        </w:rPr>
        <w:t>):</w:t>
      </w:r>
      <w:r>
        <w:rPr>
          <w:rFonts w:eastAsia="Times New Roman" w:cs="Times New Roman"/>
          <w:color w:themeColor="text1" w:val="000000"/>
          <w:sz w:val="24"/>
          <w:szCs w:val="24"/>
        </w:rPr>
        <w:t xml:space="preserve"> Etapas que não agregam valor, como aditivos caros sem ganho de performance ou coleta de dados manuais que nunca são analisados.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Para gerenciar essa complexidade e evitar a fragilidade operacional, econômica e ambiental, a tecnologia desempenha um papel habilitador. A integração entre </w:t>
      </w:r>
      <w:r>
        <w:rPr>
          <w:rFonts w:eastAsia="Times New Roman" w:cs="Times New Roman"/>
          <w:i/>
          <w:iCs/>
          <w:color w:themeColor="text1" w:val="000000"/>
          <w:sz w:val="24"/>
          <w:szCs w:val="24"/>
        </w:rPr>
        <w:t>Lean</w:t>
      </w:r>
      <w:r>
        <w:rPr>
          <w:rFonts w:eastAsia="Times New Roman" w:cs="Times New Roman"/>
          <w:color w:themeColor="text1" w:val="000000"/>
          <w:sz w:val="24"/>
          <w:szCs w:val="24"/>
        </w:rPr>
        <w:t xml:space="preserve">, sustentabilidade ambiental e Indústria 4.0, ainda que desafiadora para pequenos produtores devido ao seu custo, pode ser prevista em frameworks computacionais como o proposto, como possibilidade complementar para quem tem recursos disponíveis. Tecnologias como sensores </w:t>
      </w:r>
      <w:r>
        <w:rPr>
          <w:rFonts w:eastAsia="Times New Roman" w:cs="Times New Roman"/>
          <w:i/>
          <w:iCs/>
          <w:color w:themeColor="text1" w:val="000000"/>
          <w:sz w:val="24"/>
          <w:szCs w:val="24"/>
        </w:rPr>
        <w:t>IoT, Big Data</w:t>
      </w:r>
      <w:r>
        <w:rPr>
          <w:rFonts w:eastAsia="Times New Roman" w:cs="Times New Roman"/>
          <w:color w:themeColor="text1" w:val="000000"/>
          <w:sz w:val="24"/>
          <w:szCs w:val="24"/>
        </w:rPr>
        <w:t xml:space="preserve"> e algoritmos de otimização propiciam um monitoramento em tempo real que torna visíveis os desperdícios ambientais outrora ocultos e uma tomada de decisão baseada em dados (</w:t>
      </w:r>
      <w:r>
        <w:rPr>
          <w:rFonts w:eastAsia="Times New Roman" w:cs="Times New Roman"/>
          <w:i/>
          <w:iCs/>
          <w:color w:themeColor="text1" w:val="000000"/>
          <w:sz w:val="24"/>
          <w:szCs w:val="24"/>
        </w:rPr>
        <w:t xml:space="preserve">data-driven) </w:t>
      </w:r>
      <w:r>
        <w:rPr>
          <w:rFonts w:eastAsia="Times New Roman" w:cs="Times New Roman"/>
          <w:color w:themeColor="text1" w:val="000000"/>
          <w:sz w:val="24"/>
          <w:szCs w:val="24"/>
        </w:rPr>
        <w:t>que alinha a eficiência econômica com a responsabilidade ecológica.</w:t>
      </w:r>
    </w:p>
    <w:p>
      <w:pPr>
        <w:pStyle w:val="Normal"/>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b/>
        <w:t xml:space="preserve">Estudos práticos com pequenas e médias empresas manufatureiras demonstram que ferramentas clássicas do </w:t>
      </w:r>
      <w:r>
        <w:rPr>
          <w:rFonts w:eastAsia="Times New Roman" w:cs="Times New Roman"/>
          <w:i/>
          <w:iCs/>
          <w:color w:themeColor="text1" w:val="000000"/>
          <w:sz w:val="24"/>
          <w:szCs w:val="24"/>
        </w:rPr>
        <w:t>Lean</w:t>
      </w:r>
      <w:r>
        <w:rPr>
          <w:rFonts w:eastAsia="Times New Roman" w:cs="Times New Roman"/>
          <w:color w:themeColor="text1" w:val="000000"/>
          <w:sz w:val="24"/>
          <w:szCs w:val="24"/>
        </w:rPr>
        <w:t xml:space="preserve">, como 5S, estoque mínimo, padronização e </w:t>
      </w:r>
      <w:r>
        <w:rPr>
          <w:rFonts w:eastAsia="Times New Roman" w:cs="Times New Roman"/>
          <w:i/>
          <w:iCs/>
          <w:color w:themeColor="text1" w:val="000000"/>
          <w:sz w:val="24"/>
          <w:szCs w:val="24"/>
        </w:rPr>
        <w:t xml:space="preserve">Kaizen, </w:t>
      </w:r>
      <w:r>
        <w:rPr>
          <w:rFonts w:eastAsia="Times New Roman" w:cs="Times New Roman"/>
          <w:color w:themeColor="text1" w:val="000000"/>
          <w:sz w:val="24"/>
          <w:szCs w:val="24"/>
        </w:rPr>
        <w:t xml:space="preserve">articuladas a instrumentos verdes, como a ISO 14001, </w:t>
      </w:r>
      <w:r>
        <w:rPr>
          <w:rFonts w:eastAsia="Times New Roman" w:cs="Times New Roman"/>
          <w:i/>
          <w:iCs/>
          <w:color w:themeColor="text1" w:val="000000"/>
          <w:sz w:val="24"/>
          <w:szCs w:val="24"/>
        </w:rPr>
        <w:t xml:space="preserve">eco-design </w:t>
      </w:r>
      <w:r>
        <w:rPr>
          <w:rFonts w:eastAsia="Times New Roman" w:cs="Times New Roman"/>
          <w:color w:themeColor="text1" w:val="000000"/>
          <w:sz w:val="24"/>
          <w:szCs w:val="24"/>
        </w:rPr>
        <w:t>e gestão de emissões, podem otimizar a cadeia de suprimentos nas dimensões econômica, ambiental e social. Kosasih, Pujawan e Karningsih (2023) abordam, a partir de uma pesquisa com 345 PMEs, que as práticas</w:t>
      </w:r>
      <w:r>
        <w:rPr>
          <w:rFonts w:eastAsia="Times New Roman" w:cs="Times New Roman"/>
          <w:i/>
          <w:iCs/>
          <w:color w:themeColor="text1" w:val="000000"/>
          <w:sz w:val="24"/>
          <w:szCs w:val="24"/>
        </w:rPr>
        <w:t xml:space="preserve"> green, </w:t>
      </w:r>
      <w:r>
        <w:rPr>
          <w:rFonts w:eastAsia="Times New Roman" w:cs="Times New Roman"/>
          <w:color w:themeColor="text1" w:val="000000"/>
          <w:sz w:val="24"/>
          <w:szCs w:val="24"/>
        </w:rPr>
        <w:t xml:space="preserve">mediam o impacto do </w:t>
      </w:r>
      <w:r>
        <w:rPr>
          <w:rFonts w:eastAsia="Times New Roman" w:cs="Times New Roman"/>
          <w:i/>
          <w:iCs/>
          <w:color w:themeColor="text1" w:val="000000"/>
          <w:sz w:val="24"/>
          <w:szCs w:val="24"/>
        </w:rPr>
        <w:t>Lean</w:t>
      </w:r>
      <w:r>
        <w:rPr>
          <w:rFonts w:eastAsia="Times New Roman" w:cs="Times New Roman"/>
          <w:color w:themeColor="text1" w:val="000000"/>
          <w:sz w:val="24"/>
          <w:szCs w:val="24"/>
        </w:rPr>
        <w:t xml:space="preserve"> sobre o desempenho sustentável da cadeia, ratificando a visão de que o </w:t>
      </w:r>
      <w:r>
        <w:rPr>
          <w:rFonts w:eastAsia="Times New Roman" w:cs="Times New Roman"/>
          <w:i/>
          <w:iCs/>
          <w:color w:themeColor="text1" w:val="000000"/>
          <w:sz w:val="24"/>
          <w:szCs w:val="24"/>
        </w:rPr>
        <w:t xml:space="preserve">Lean </w:t>
      </w:r>
      <w:r>
        <w:rPr>
          <w:rFonts w:eastAsia="Times New Roman" w:cs="Times New Roman"/>
          <w:color w:themeColor="text1" w:val="000000"/>
          <w:sz w:val="24"/>
          <w:szCs w:val="24"/>
        </w:rPr>
        <w:t xml:space="preserve">é um antecessor natural do </w:t>
      </w:r>
      <w:r>
        <w:rPr>
          <w:rFonts w:eastAsia="Times New Roman" w:cs="Times New Roman"/>
          <w:i/>
          <w:iCs/>
          <w:color w:themeColor="text1" w:val="000000"/>
          <w:sz w:val="24"/>
          <w:szCs w:val="24"/>
        </w:rPr>
        <w:t xml:space="preserve">green </w:t>
      </w:r>
      <w:r>
        <w:rPr>
          <w:rFonts w:eastAsia="Times New Roman" w:cs="Times New Roman"/>
          <w:color w:themeColor="text1" w:val="000000"/>
          <w:sz w:val="24"/>
          <w:szCs w:val="24"/>
        </w:rPr>
        <w:t xml:space="preserve">quando há intencionalidade estratégica. Na aquicultura, perdas de ração, uso ineficiente ou interrupção de energia e gestão de efluentes em não conformidade são, ao mesmo tempo, desperdícios operacionais e financeiros e impactos ambientais, o que alinha a lógica </w:t>
      </w:r>
      <w:r>
        <w:rPr>
          <w:rFonts w:eastAsia="Times New Roman" w:cs="Times New Roman"/>
          <w:i/>
          <w:iCs/>
          <w:color w:themeColor="text1" w:val="000000"/>
          <w:sz w:val="24"/>
          <w:szCs w:val="24"/>
        </w:rPr>
        <w:t>Lean-Green</w:t>
      </w:r>
      <w:r>
        <w:rPr>
          <w:rFonts w:eastAsia="Times New Roman" w:cs="Times New Roman"/>
          <w:color w:themeColor="text1" w:val="000000"/>
          <w:sz w:val="24"/>
          <w:szCs w:val="24"/>
        </w:rPr>
        <w:t xml:space="preserve"> à necessidade de ecoeficiência.</w:t>
      </w:r>
    </w:p>
    <w:p>
      <w:pPr>
        <w:pStyle w:val="Normal"/>
        <w:spacing w:lineRule="auto" w:line="360" w:before="0" w:after="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0" w:after="0"/>
        <w:rPr>
          <w:rFonts w:ascii="Times New Roman" w:hAnsi="Times New Roman" w:eastAsia="Times New Roman" w:cs="Times New Roman"/>
          <w:color w:themeColor="text1" w:val="000000"/>
        </w:rPr>
      </w:pPr>
      <w:bookmarkStart w:id="129" w:name="_Toc242269304"/>
      <w:bookmarkStart w:id="130" w:name="_Toc242269223"/>
      <w:bookmarkStart w:id="131" w:name="_Toc242269144"/>
      <w:r>
        <w:rPr>
          <w:rFonts w:eastAsia="Times New Roman" w:cs="Times New Roman"/>
          <w:color w:themeColor="text1" w:val="000000"/>
        </w:rPr>
        <w:t>2.9.2 O dilema estratégico: cadeias enxutas (</w:t>
      </w:r>
      <w:r>
        <w:rPr>
          <w:rFonts w:eastAsia="Times New Roman" w:cs="Times New Roman"/>
          <w:i/>
          <w:iCs/>
          <w:color w:themeColor="text1" w:val="000000"/>
        </w:rPr>
        <w:t>Lean</w:t>
      </w:r>
      <w:r>
        <w:rPr>
          <w:rFonts w:eastAsia="Times New Roman" w:cs="Times New Roman"/>
          <w:color w:themeColor="text1" w:val="000000"/>
        </w:rPr>
        <w:t>) versus cadeias responsivas (</w:t>
      </w:r>
      <w:r>
        <w:rPr>
          <w:rFonts w:eastAsia="Times New Roman" w:cs="Times New Roman"/>
          <w:i/>
          <w:iCs/>
          <w:color w:themeColor="text1" w:val="000000"/>
        </w:rPr>
        <w:t>Responsiveness</w:t>
      </w:r>
      <w:r>
        <w:rPr>
          <w:rFonts w:eastAsia="Times New Roman" w:cs="Times New Roman"/>
          <w:color w:themeColor="text1" w:val="000000"/>
        </w:rPr>
        <w:t>)</w:t>
      </w:r>
      <w:bookmarkEnd w:id="129"/>
      <w:bookmarkEnd w:id="130"/>
      <w:bookmarkEnd w:id="131"/>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literatura de operações e logística tradicionalmente orbitou em torno do paradigma da eficiência de custos, focando na minimização de </w:t>
      </w:r>
      <w:r>
        <w:rPr>
          <w:rFonts w:eastAsia="Times New Roman" w:cs="Times New Roman"/>
          <w:i/>
          <w:iCs/>
          <w:color w:themeColor="text1" w:val="000000"/>
          <w:sz w:val="24"/>
          <w:szCs w:val="24"/>
        </w:rPr>
        <w:t>inputs</w:t>
      </w:r>
      <w:r>
        <w:rPr>
          <w:rFonts w:eastAsia="Times New Roman" w:cs="Times New Roman"/>
          <w:color w:themeColor="text1" w:val="000000"/>
          <w:sz w:val="24"/>
          <w:szCs w:val="24"/>
        </w:rPr>
        <w:t xml:space="preserve"> para maximização de </w:t>
      </w:r>
      <w:r>
        <w:rPr>
          <w:rFonts w:eastAsia="Times New Roman" w:cs="Times New Roman"/>
          <w:i/>
          <w:iCs/>
          <w:color w:themeColor="text1" w:val="000000"/>
          <w:sz w:val="24"/>
          <w:szCs w:val="24"/>
        </w:rPr>
        <w:t xml:space="preserve">outputs, </w:t>
      </w:r>
      <w:r>
        <w:rPr>
          <w:rFonts w:eastAsia="Times New Roman" w:cs="Times New Roman"/>
          <w:color w:themeColor="text1" w:val="000000"/>
          <w:sz w:val="24"/>
          <w:szCs w:val="24"/>
        </w:rPr>
        <w:t>conforme contextualizado por Gunasekaran, Lai e Cheng (2008). No entanto, a volatilidade e a complexidade dos mercados globais contemporâneos exigem uma reavaliação sensível desse modelo. Gunasekaran, Lai e Cheng (2008) estabelecem um marco teórico ao argumentarem que a unidade de análise competitiva se deslocou uma vez que a batalha comercial competição moderna não é mais entre empresas isoladas, entretanto entre cadeias de suprimentos inteiras (</w:t>
      </w:r>
      <w:r>
        <w:rPr>
          <w:rFonts w:eastAsia="Times New Roman" w:cs="Times New Roman"/>
          <w:i/>
          <w:iCs/>
          <w:color w:themeColor="text1" w:val="000000"/>
          <w:sz w:val="24"/>
          <w:szCs w:val="24"/>
        </w:rPr>
        <w:t>supply chains</w:t>
      </w:r>
      <w:r>
        <w:rPr>
          <w:rFonts w:eastAsia="Times New Roman" w:cs="Times New Roman"/>
          <w:color w:themeColor="text1" w:val="000000"/>
          <w:sz w:val="24"/>
          <w:szCs w:val="24"/>
        </w:rPr>
        <w:t>). Neste ecossistema interconectado, surge o imperativo da cadeia de suprimentos responsiva (</w:t>
      </w:r>
      <w:r>
        <w:rPr>
          <w:rFonts w:eastAsia="Times New Roman" w:cs="Times New Roman"/>
          <w:i/>
          <w:iCs/>
          <w:color w:themeColor="text1" w:val="000000"/>
          <w:sz w:val="24"/>
          <w:szCs w:val="24"/>
        </w:rPr>
        <w:t>Responsive Supply Chain</w:t>
      </w:r>
      <w:r>
        <w:rPr>
          <w:rFonts w:eastAsia="Times New Roman" w:cs="Times New Roman"/>
          <w:color w:themeColor="text1" w:val="000000"/>
          <w:sz w:val="24"/>
          <w:szCs w:val="24"/>
        </w:rPr>
        <w:t>). Este conceito transcende a dicotomia clássica, ao estabelecer: um híbrido estratégico que equilibre a eficiência de custos do modelo Toyota (</w:t>
      </w:r>
      <w:r>
        <w:rPr>
          <w:rFonts w:eastAsia="Times New Roman" w:cs="Times New Roman"/>
          <w:i/>
          <w:iCs/>
          <w:color w:themeColor="text1" w:val="000000"/>
          <w:sz w:val="24"/>
          <w:szCs w:val="24"/>
        </w:rPr>
        <w:t>Leanness</w:t>
      </w:r>
      <w:r>
        <w:rPr>
          <w:rFonts w:eastAsia="Times New Roman" w:cs="Times New Roman"/>
          <w:color w:themeColor="text1" w:val="000000"/>
          <w:sz w:val="24"/>
          <w:szCs w:val="24"/>
        </w:rPr>
        <w:t>) com a agilidade (</w:t>
      </w:r>
      <w:r>
        <w:rPr>
          <w:rFonts w:eastAsia="Times New Roman" w:cs="Times New Roman"/>
          <w:i/>
          <w:iCs/>
          <w:color w:themeColor="text1" w:val="000000"/>
          <w:sz w:val="24"/>
          <w:szCs w:val="24"/>
        </w:rPr>
        <w:t>Agility</w:t>
      </w:r>
      <w:r>
        <w:rPr>
          <w:rFonts w:eastAsia="Times New Roman" w:cs="Times New Roman"/>
          <w:color w:themeColor="text1" w:val="000000"/>
          <w:sz w:val="24"/>
          <w:szCs w:val="24"/>
        </w:rPr>
        <w:t>) necessária para absorver choques de oferta e demanda e responder tempestivamente a incertezas de mercado por diversos fatores inter-regionais.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Este equilíbrio entre ser "enxuto" e ser "ágil" não é apenas uma questão financeira, mas um fator crítico para a sustentabilidade corporativa a longo prazo. </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Portanto, a elaboração de um EVTEAS para a piscicultura moderna não pode ser um exercício estático de projeção de custos mínimos. O estudo deve incorporar a visão sistêmica de Gunasekaran, Lai e Cheng (2008) sobre responsividade, avaliando não apenas se o projeto é "barato" (eficiente), mas se ele é robusto o suficiente para absorver choques (ágil). O</w:t>
      </w:r>
      <w:r>
        <w:rPr>
          <w:rFonts w:eastAsia="Times New Roman" w:cs="Times New Roman"/>
          <w:i/>
          <w:iCs/>
          <w:color w:themeColor="text1" w:val="000000"/>
          <w:sz w:val="24"/>
          <w:szCs w:val="24"/>
        </w:rPr>
        <w:t xml:space="preserve"> framework</w:t>
      </w:r>
      <w:r>
        <w:rPr>
          <w:rFonts w:eastAsia="Times New Roman" w:cs="Times New Roman"/>
          <w:color w:themeColor="text1" w:val="000000"/>
          <w:sz w:val="24"/>
          <w:szCs w:val="24"/>
        </w:rPr>
        <w:t xml:space="preserve"> computacional proposto neste trabalho visa, assim, integrar a gestão de riscos ESG à viabilidade econômica, calculando o custo da resiliência e evitando as armadilhas da eficiência “obscena” já discutido anteriormente, ao assegurar que o projeto sobreviva não apenas no papel, mas no ambiente dinâmico e incerto da produção real.</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0" w:after="0"/>
        <w:rPr>
          <w:rFonts w:ascii="Times New Roman" w:hAnsi="Times New Roman" w:eastAsia="Times New Roman" w:cs="Times New Roman"/>
          <w:color w:themeColor="text1" w:val="000000"/>
        </w:rPr>
      </w:pPr>
      <w:bookmarkStart w:id="132" w:name="_Toc242269305"/>
      <w:bookmarkStart w:id="133" w:name="_Toc242269224"/>
      <w:bookmarkStart w:id="134" w:name="_Toc242269145"/>
      <w:r>
        <w:rPr>
          <w:rFonts w:eastAsia="Times New Roman" w:cs="Times New Roman"/>
          <w:color w:themeColor="text1" w:val="000000"/>
        </w:rPr>
        <w:t>2.9.3 Competências digitais e a indústria 4.0: O papel da modelagem computacional na agroindústria</w:t>
      </w:r>
      <w:bookmarkEnd w:id="132"/>
      <w:bookmarkEnd w:id="133"/>
      <w:bookmarkEnd w:id="134"/>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transição de modelos produtivos tradicionais para ecossistemas de gestão sustentáveis traz mais responsabilidade do que boas intenções ou declarações de missão corporativa; exige uma robusta capacidade de processamento de dados e modelagem de sistemas complexos.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inserção de ferramentas de Inteligência Artificial e o desenvolvimento de competências digitais no ensino superior e na prática da engenharia, conforme discutido extensivamente por Pinto Jr. e Consonni (2025), deixam de ser uma atualização técnica curricular para se tornarem uma necessidade epistemológica para lidar com a complexidade dos sistemas socioambientais. A "alfabetização de dados" e a fluência em linguagens de programação capacitam o profissional a traduzir problemas do mundo real em modelos solucionáveis, superando a obsolescência das metodologias analógicas.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 desenvolvimento de um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computacional em Python para a elaboração de EVTEAS justifica-se, portanto, pela necessidade de superar as limitações, segundo Felipe e Leismann (2019, p. 96-101), a análise de viabilidade ganha maior precisão decisória quando se comparam métodos determinísticos com abordagens probabilísticas. As planilhas eletrônicas tradicionais falham em capturar a dinamicidade e a incerteza propostas por Calabrese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(2019) como basilares para decisões estratégicas sustentáveis. A modelagem computacional avançada propicia a criação de cenários estocásticos e probabilísticos que integram as incertezas da produção animal com as flutuações econômicas e as demandas dos </w:t>
      </w:r>
      <w:r>
        <w:rPr>
          <w:rFonts w:eastAsia="Times New Roman" w:cs="Times New Roman"/>
          <w:i/>
          <w:iCs/>
          <w:color w:themeColor="text1" w:val="000000"/>
          <w:sz w:val="24"/>
          <w:szCs w:val="24"/>
        </w:rPr>
        <w:t>stakeholders</w:t>
      </w:r>
      <w:r>
        <w:rPr>
          <w:rFonts w:eastAsia="Times New Roman" w:cs="Times New Roman"/>
          <w:color w:themeColor="text1" w:val="000000"/>
          <w:sz w:val="24"/>
          <w:szCs w:val="24"/>
        </w:rPr>
        <w:t>.</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Por fim, a ferramenta computacional atua como o mecanismo de transparência necessário para a governança social. Para cumprir o requisito de "fechar o ciclo" (</w:t>
      </w:r>
      <w:r>
        <w:rPr>
          <w:rFonts w:eastAsia="Times New Roman" w:cs="Times New Roman"/>
          <w:i/>
          <w:iCs/>
          <w:color w:themeColor="text1" w:val="000000"/>
          <w:sz w:val="24"/>
          <w:szCs w:val="24"/>
        </w:rPr>
        <w:t>closing the loop</w:t>
      </w:r>
      <w:r>
        <w:rPr>
          <w:rFonts w:eastAsia="Times New Roman" w:cs="Times New Roman"/>
          <w:color w:themeColor="text1" w:val="000000"/>
          <w:sz w:val="24"/>
          <w:szCs w:val="24"/>
        </w:rPr>
        <w:t xml:space="preserve">) de responsabilidade corporativa proposto por Hurst e Ihlen (2018), a empresa precisa de dados auditáveis e rastreáveis. </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0" w:after="0"/>
        <w:rPr>
          <w:rFonts w:ascii="Times New Roman" w:hAnsi="Times New Roman" w:eastAsia="Times New Roman" w:cs="Times New Roman"/>
          <w:color w:themeColor="text1" w:val="000000"/>
        </w:rPr>
      </w:pPr>
      <w:bookmarkStart w:id="135" w:name="_Toc242269306"/>
      <w:bookmarkStart w:id="136" w:name="_Toc242269225"/>
      <w:bookmarkStart w:id="137" w:name="_Toc242269146"/>
      <w:r>
        <w:rPr>
          <w:rFonts w:eastAsia="Times New Roman" w:cs="Times New Roman"/>
          <w:color w:themeColor="text1" w:val="000000"/>
        </w:rPr>
        <w:t xml:space="preserve">2.9.4 Inovação Schumpeteriana e Eco desenvolvimento: o propósito do </w:t>
      </w:r>
      <w:r>
        <w:rPr>
          <w:rFonts w:eastAsia="Times New Roman" w:cs="Times New Roman"/>
          <w:i/>
          <w:iCs/>
          <w:color w:themeColor="text1" w:val="000000"/>
        </w:rPr>
        <w:t>framework</w:t>
      </w:r>
      <w:bookmarkEnd w:id="135"/>
      <w:bookmarkEnd w:id="136"/>
      <w:bookmarkEnd w:id="137"/>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Por último, a proposição desta ferramenta tecnológica deve ser contextualizada em uma perspectiva macroeconômica. A introdução de um </w:t>
      </w:r>
      <w:r>
        <w:rPr>
          <w:rFonts w:eastAsia="Times New Roman" w:cs="Times New Roman"/>
          <w:i/>
          <w:iCs/>
          <w:color w:themeColor="text1" w:val="000000"/>
          <w:sz w:val="24"/>
          <w:szCs w:val="24"/>
        </w:rPr>
        <w:t xml:space="preserve">software </w:t>
      </w:r>
      <w:r>
        <w:rPr>
          <w:rFonts w:eastAsia="Times New Roman" w:cs="Times New Roman"/>
          <w:color w:themeColor="text1" w:val="000000"/>
          <w:sz w:val="24"/>
          <w:szCs w:val="24"/>
        </w:rPr>
        <w:t>de automação aplicado ao planejamento aquícola pode ser interpretada à luz do processo de “destruição criadora” de Schumpeter, na medida em que introduz um novo método de organização e processamento das informações, substituindo práticas manuais ou fragmentadas por procedimentos automatizados e integrados (Schumpeter, 1961, p. 106).</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 propósito ético deste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fundamenta-se no conceito de Eco desenvolvimento, em que o desenvolvimento genuíno deve harmonizar a viabilidade econômica com a prudência ecológica e a equidade social. Conforme Sachs (2009, p. 29-35), a estratégia para os países tropicais, como o Brasil, deve focar na "moderna civilização de biomassa", aproveitando a abundância de recursos renováveis para promover o desenvolvimento local inclusivo. O autor argumenta que uma tarefa operacional primordial é disponibilizar a biotecnologia moderna, e por extensão, ferramentas de gestão tecnológica como este </w:t>
      </w:r>
      <w:r>
        <w:rPr>
          <w:rFonts w:eastAsia="Times New Roman" w:cs="Times New Roman"/>
          <w:i/>
          <w:iCs/>
          <w:color w:themeColor="text1" w:val="000000"/>
          <w:sz w:val="24"/>
          <w:szCs w:val="24"/>
        </w:rPr>
        <w:t>software</w:t>
      </w:r>
      <w:r>
        <w:rPr>
          <w:rFonts w:eastAsia="Times New Roman" w:cs="Times New Roman"/>
          <w:color w:themeColor="text1" w:val="000000"/>
          <w:sz w:val="24"/>
          <w:szCs w:val="24"/>
        </w:rPr>
        <w:t>, para os pequenos produtores, capacitando-os a participar deste novo paradigma produtivo. A ferramenta, portanto, operacionaliza o conceito do "B ao cubo" (bio-bio-bio), integrando biodiversidade, biomassa e biotecnologia em uma abordagem holística.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Essa pesquisa por um desenvolvimento que não esgote a vida alinhave-se à crítica ontológica proposta por Ailton Krenak (2019) em Ideias para adiar o fim do mundo. O autor alerta para o perigo da narrativa ocidental que separa a “humanidade” da natureza, transformando rios, florestas e animais em meros recursos a serem explorados por um “clube exclusivo” de consumidores. Para Krenak (2019), adiar o fim do mundo exige recriar nossa relação com o entorno, abandonando a lógica de que a terra é uma mercadoria. Essa visão dialoga com a proposta de Sachs (2009, p. 31-32, 80) de superar o mito da "natureza intocada" em favor de um "aproveitamento racional da natureza".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Nesse sentido, o EVTEAS-Py pretende traduzir essa “consciência planetária” em restrições produtivas tangíveis. Ao computar os limites ambientais e sociais antes mesmo do início da operação, o </w:t>
      </w:r>
      <w:r>
        <w:rPr>
          <w:rFonts w:eastAsia="Times New Roman" w:cs="Times New Roman"/>
          <w:i/>
          <w:iCs/>
          <w:color w:themeColor="text1" w:val="000000"/>
          <w:sz w:val="24"/>
          <w:szCs w:val="24"/>
        </w:rPr>
        <w:t xml:space="preserve">software </w:t>
      </w:r>
      <w:r>
        <w:rPr>
          <w:rFonts w:eastAsia="Times New Roman" w:cs="Times New Roman"/>
          <w:color w:themeColor="text1" w:val="000000"/>
          <w:sz w:val="24"/>
          <w:szCs w:val="24"/>
        </w:rPr>
        <w:t>atua para impedir que a aquicultura reproduza a lógica de “comer a terra” denunciada pelo autor, assegurando que a atividade econômica coexista com a biosfera em vez de suprimi-la. Ele permite aplicar na prática o diagrama dos "5-F" (</w:t>
      </w:r>
      <w:r>
        <w:rPr>
          <w:rFonts w:eastAsia="Times New Roman" w:cs="Times New Roman"/>
          <w:i/>
          <w:iCs/>
          <w:color w:themeColor="text1" w:val="000000"/>
          <w:sz w:val="24"/>
          <w:szCs w:val="24"/>
        </w:rPr>
        <w:t>food, feed, fuel, fertilizer, feedstock</w:t>
      </w:r>
      <w:r>
        <w:rPr>
          <w:rFonts w:eastAsia="Times New Roman" w:cs="Times New Roman"/>
          <w:color w:themeColor="text1" w:val="000000"/>
          <w:sz w:val="24"/>
          <w:szCs w:val="24"/>
        </w:rPr>
        <w:t>), ao otimizar o uso da biomassa aquática não apenas para alimento, mas integrando-a em sistemas eco tecnológicos complexos e sustentáveis.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O</w:t>
      </w:r>
      <w:r>
        <w:rPr>
          <w:rFonts w:eastAsia="Times New Roman" w:cs="Times New Roman"/>
          <w:i/>
          <w:iCs/>
          <w:color w:themeColor="text1" w:val="000000"/>
          <w:sz w:val="24"/>
          <w:szCs w:val="24"/>
        </w:rPr>
        <w:t xml:space="preserve"> framework </w:t>
      </w:r>
      <w:r>
        <w:rPr>
          <w:rFonts w:eastAsia="Times New Roman" w:cs="Times New Roman"/>
          <w:color w:themeColor="text1" w:val="000000"/>
          <w:sz w:val="24"/>
          <w:szCs w:val="24"/>
        </w:rPr>
        <w:t>atua como um agente da Agenda 2030, ao operacionalizar os Objetivos de Desenvolvimento Sustentável (ODS) e propiciar que projetos de piscicultura sejam desenhados, desde o dia zero, para serem socialmente inclusivos e ambientalmente responsáveis. Conforme estabelecido pela ONU (2015, p. 1), esse compromisso global visa transformar o modelo de desenvolvimento atual, ao integrar as dimensões econômica, social e ambiental de forma equilibrada e indivisível. Desta forma, a ferramenta contribui para que países tropicais, como o Brasil, realizem o "</w:t>
      </w:r>
      <w:r>
        <w:rPr>
          <w:rFonts w:eastAsia="Times New Roman" w:cs="Times New Roman"/>
          <w:i/>
          <w:iCs/>
          <w:color w:themeColor="text1" w:val="000000"/>
          <w:sz w:val="24"/>
          <w:szCs w:val="24"/>
        </w:rPr>
        <w:t>leapfrogging</w:t>
      </w:r>
      <w:r>
        <w:rPr>
          <w:rFonts w:eastAsia="Times New Roman" w:cs="Times New Roman"/>
          <w:color w:themeColor="text1" w:val="000000"/>
          <w:sz w:val="24"/>
          <w:szCs w:val="24"/>
        </w:rPr>
        <w:t>" (pular etapas) rumo a uma moderna civilização de biomassa, com relevância social, prudência ecológica e viabilidade econômica.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0" w:after="0"/>
        <w:rPr>
          <w:rFonts w:ascii="Times New Roman" w:hAnsi="Times New Roman" w:eastAsia="Times New Roman" w:cs="Times New Roman"/>
          <w:color w:themeColor="text1" w:val="000000"/>
        </w:rPr>
      </w:pPr>
      <w:bookmarkStart w:id="138" w:name="_Toc242269307"/>
      <w:bookmarkStart w:id="139" w:name="_Toc242269226"/>
      <w:bookmarkStart w:id="140" w:name="_Toc242269147"/>
      <w:r>
        <w:rPr>
          <w:rFonts w:eastAsia="Times New Roman" w:cs="Times New Roman"/>
          <w:color w:themeColor="text1" w:val="000000"/>
        </w:rPr>
        <w:t>2.9.5 Estratégia competitiva vs. eficiência operacional</w:t>
      </w:r>
      <w:bookmarkEnd w:id="138"/>
      <w:bookmarkEnd w:id="139"/>
      <w:bookmarkEnd w:id="140"/>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Porter (1996, p. 61), em seu seminal artigo "</w:t>
      </w:r>
      <w:r>
        <w:rPr>
          <w:rFonts w:eastAsia="Times New Roman" w:cs="Times New Roman"/>
          <w:i/>
          <w:iCs/>
          <w:color w:themeColor="text1" w:val="000000"/>
          <w:sz w:val="24"/>
          <w:szCs w:val="24"/>
        </w:rPr>
        <w:t>What is Strategy</w:t>
      </w:r>
      <w:r>
        <w:rPr>
          <w:rFonts w:eastAsia="Times New Roman" w:cs="Times New Roman"/>
          <w:color w:themeColor="text1" w:val="000000"/>
          <w:sz w:val="24"/>
          <w:szCs w:val="24"/>
        </w:rPr>
        <w:t xml:space="preserve">?", diferencia eficácia operacional (fazer as coisas bem, de forma semelhante aos concorrentes) de estratégia (fazer coisas diferentes ou de forma única). O uso de ferramentas </w:t>
      </w:r>
      <w:r>
        <w:rPr>
          <w:rFonts w:eastAsia="Times New Roman" w:cs="Times New Roman"/>
          <w:i/>
          <w:iCs/>
          <w:color w:themeColor="text1" w:val="000000"/>
          <w:sz w:val="24"/>
          <w:szCs w:val="24"/>
        </w:rPr>
        <w:t xml:space="preserve">Lean </w:t>
      </w:r>
      <w:r>
        <w:rPr>
          <w:rFonts w:eastAsia="Times New Roman" w:cs="Times New Roman"/>
          <w:color w:themeColor="text1" w:val="000000"/>
          <w:sz w:val="24"/>
          <w:szCs w:val="24"/>
        </w:rPr>
        <w:t xml:space="preserve">e </w:t>
      </w:r>
      <w:r>
        <w:rPr>
          <w:rFonts w:eastAsia="Times New Roman" w:cs="Times New Roman"/>
          <w:i/>
          <w:iCs/>
          <w:color w:themeColor="text1" w:val="000000"/>
          <w:sz w:val="24"/>
          <w:szCs w:val="24"/>
        </w:rPr>
        <w:t xml:space="preserve">Green </w:t>
      </w:r>
      <w:r>
        <w:rPr>
          <w:rFonts w:eastAsia="Times New Roman" w:cs="Times New Roman"/>
          <w:color w:themeColor="text1" w:val="000000"/>
          <w:sz w:val="24"/>
          <w:szCs w:val="24"/>
        </w:rPr>
        <w:t>melhora a eficácia operacional, mas não garante, por si só, uma posição estratégica sustentável.</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 EVTEAS automatizado atua na eficácia operacional, fornecendo dados precisos de custo e impacto. Contudo, ele habilita a estratégia ao propiciar que o produtor encontre nichos de mercado que concorrentes sem essa visão de dados não conseguem acessar. Assim,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é o alicerce operacional que sustenta a diferenciação estratégica defendida por Porter, permitindo que a piscicultura saia da competição por preço (</w:t>
      </w:r>
      <w:r>
        <w:rPr>
          <w:rFonts w:eastAsia="Times New Roman" w:cs="Times New Roman"/>
          <w:i/>
          <w:iCs/>
          <w:color w:themeColor="text1" w:val="000000"/>
          <w:sz w:val="24"/>
          <w:szCs w:val="24"/>
        </w:rPr>
        <w:t>commodity</w:t>
      </w:r>
      <w:r>
        <w:rPr>
          <w:rFonts w:eastAsia="Times New Roman" w:cs="Times New Roman"/>
          <w:color w:themeColor="text1" w:val="000000"/>
          <w:sz w:val="24"/>
          <w:szCs w:val="24"/>
        </w:rPr>
        <w:t>) para a competição por valor.</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0" w:after="0"/>
        <w:rPr>
          <w:rFonts w:ascii="Times New Roman" w:hAnsi="Times New Roman" w:eastAsia="Times New Roman" w:cs="Times New Roman"/>
          <w:color w:themeColor="text1" w:val="000000"/>
        </w:rPr>
      </w:pPr>
      <w:bookmarkStart w:id="141" w:name="_Toc242269308"/>
      <w:bookmarkStart w:id="142" w:name="_Toc242269227"/>
      <w:bookmarkStart w:id="143" w:name="_Toc242269148"/>
      <w:r>
        <w:rPr>
          <w:rFonts w:eastAsia="Times New Roman" w:cs="Times New Roman"/>
          <w:color w:themeColor="text1" w:val="000000"/>
        </w:rPr>
        <w:t>2.9.6 Estratégias de Postergação na Cadeia de Suprimentos</w:t>
      </w:r>
      <w:bookmarkEnd w:id="141"/>
      <w:bookmarkEnd w:id="142"/>
      <w:bookmarkEnd w:id="143"/>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Na interface entre a biologia e a logística, surge o dilema de quando processar e vender o pescado. Pagh e Cooper (1998, p. 14-15) analisam as estratégias de especulação versus postergação na cadeia de suprimentos. Na piscicultura, a decisão de manter o peixe na água (postergar a colheita) ou despescá-lo imediatamente (especulação de estoque) tem implicações diretas na rentabilidade e na qualidade.</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O algoritmo do EVTEAS deve ser capaz de simular esses cenários logísticos. Ao integrar os conceitos de Pagh e Cooper, a ferramenta pode indicar o momento ótimo de despesca baseando-se não apenas no peso do animal, mas na demanda de mercado em tempo real. Isso conecta a teoria da cadeia de suprimentos responsiva a partir de Gunasekaran, Lai e Cheng (2008) com a tática operacional de postergação, propiciando que o produtor minimize estoques de produto acabado e maximize o frescor, atendendo aos requisitos de uma cadeia ágil.</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2"/>
        <w:spacing w:lineRule="auto" w:line="360" w:before="0" w:after="0"/>
        <w:rPr>
          <w:rFonts w:ascii="Times New Roman" w:hAnsi="Times New Roman" w:eastAsia="Times New Roman" w:cs="Times New Roman"/>
          <w:color w:themeColor="text1" w:val="000000"/>
          <w:sz w:val="28"/>
          <w:szCs w:val="28"/>
        </w:rPr>
      </w:pPr>
      <w:bookmarkStart w:id="144" w:name="_Toc242269309"/>
      <w:bookmarkStart w:id="145" w:name="_Toc242269228"/>
      <w:bookmarkStart w:id="146" w:name="_Toc242269149"/>
      <w:r>
        <w:rPr>
          <w:rFonts w:eastAsia="Times New Roman" w:cs="Times New Roman" w:ascii="Times New Roman" w:hAnsi="Times New Roman"/>
          <w:color w:themeColor="text1" w:val="000000"/>
          <w:sz w:val="28"/>
          <w:szCs w:val="28"/>
        </w:rPr>
        <w:t xml:space="preserve">2.10 Eixo 3 – Desempenho ESG, Responsabilidade Social Corporativa e Engajamento de </w:t>
      </w:r>
      <w:r>
        <w:rPr>
          <w:rFonts w:eastAsia="Times New Roman" w:cs="Times New Roman" w:ascii="Times New Roman" w:hAnsi="Times New Roman"/>
          <w:i/>
          <w:iCs/>
          <w:color w:themeColor="text1" w:val="000000"/>
          <w:sz w:val="28"/>
          <w:szCs w:val="28"/>
        </w:rPr>
        <w:t>Stakeholders</w:t>
      </w:r>
      <w:bookmarkEnd w:id="144"/>
      <w:bookmarkEnd w:id="145"/>
      <w:bookmarkEnd w:id="146"/>
    </w:p>
    <w:p>
      <w:pPr>
        <w:pStyle w:val="Normal"/>
        <w:rPr/>
      </w:pPr>
      <w:r>
        <w:rPr/>
      </w:r>
    </w:p>
    <w:p>
      <w:pPr>
        <w:pStyle w:val="Heading3"/>
        <w:spacing w:lineRule="auto" w:line="360" w:before="0" w:after="0"/>
        <w:rPr>
          <w:rFonts w:ascii="Times New Roman" w:hAnsi="Times New Roman" w:eastAsia="Times New Roman" w:cs="Times New Roman"/>
          <w:color w:themeColor="text1" w:val="000000"/>
        </w:rPr>
      </w:pPr>
      <w:bookmarkStart w:id="147" w:name="_Toc242269310"/>
      <w:bookmarkStart w:id="148" w:name="_Toc242269229"/>
      <w:bookmarkStart w:id="149" w:name="_Toc242269150"/>
      <w:r>
        <w:rPr>
          <w:rFonts w:eastAsia="Times New Roman" w:cs="Times New Roman"/>
          <w:color w:themeColor="text1" w:val="000000"/>
        </w:rPr>
        <w:t>2.10.1 ESG: A evolução da responsabilidade social e o desempenho econômico</w:t>
      </w:r>
      <w:bookmarkEnd w:id="147"/>
      <w:bookmarkEnd w:id="148"/>
      <w:bookmarkEnd w:id="149"/>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O conceito de ESG (</w:t>
      </w:r>
      <w:r>
        <w:rPr>
          <w:rFonts w:eastAsia="Times New Roman" w:cs="Times New Roman"/>
          <w:i/>
          <w:iCs/>
          <w:color w:themeColor="text1" w:val="000000"/>
          <w:sz w:val="24"/>
          <w:szCs w:val="24"/>
        </w:rPr>
        <w:t>Environmental, Social and Governance</w:t>
      </w:r>
      <w:r>
        <w:rPr>
          <w:rFonts w:eastAsia="Times New Roman" w:cs="Times New Roman"/>
          <w:color w:themeColor="text1" w:val="000000"/>
          <w:sz w:val="24"/>
          <w:szCs w:val="24"/>
        </w:rPr>
        <w:t>) representa a maturação contemporânea das práticas de Responsabilidade Social Corporativa (RSC), com raízes filosóficas e práticas remontam à filantropia estratégica do século XIX. Janowski (2021) revisita a contribuição seminal de Andrew Carnegie e seu "Evangelho da Riqueza" (</w:t>
      </w:r>
      <w:r>
        <w:rPr>
          <w:rFonts w:eastAsia="Times New Roman" w:cs="Times New Roman"/>
          <w:i/>
          <w:iCs/>
          <w:color w:themeColor="text1" w:val="000000"/>
          <w:sz w:val="24"/>
          <w:szCs w:val="24"/>
        </w:rPr>
        <w:t>The Gospel of Wealth</w:t>
      </w:r>
      <w:r>
        <w:rPr>
          <w:rFonts w:eastAsia="Times New Roman" w:cs="Times New Roman"/>
          <w:color w:themeColor="text1" w:val="000000"/>
          <w:sz w:val="24"/>
          <w:szCs w:val="24"/>
        </w:rPr>
        <w:t>). Carnegie defendia que o excedente de riqueza fosse administrado como fundo fiduciário para o bem público, ao arguir que a legitimidade do lucro depende do retorno social que ele gera, um princípio que hoje fundamenta a base "Social" e de "Governança" nos critérios ESG modernos.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RSC evoluiu de ações filantrópicas isoladas para o "engajamento" sistêmico com os </w:t>
      </w:r>
      <w:r>
        <w:rPr>
          <w:rFonts w:eastAsia="Times New Roman" w:cs="Times New Roman"/>
          <w:i/>
          <w:iCs/>
          <w:color w:themeColor="text1" w:val="000000"/>
          <w:sz w:val="24"/>
          <w:szCs w:val="24"/>
        </w:rPr>
        <w:t>stakeholders</w:t>
      </w:r>
      <w:r>
        <w:rPr>
          <w:rFonts w:eastAsia="Times New Roman" w:cs="Times New Roman"/>
          <w:color w:themeColor="text1" w:val="000000"/>
          <w:sz w:val="24"/>
          <w:szCs w:val="24"/>
        </w:rPr>
        <w:t>, que, segundo Hurst e Ihlen (2018), constitui um processo de "fechar o ciclo" (</w:t>
      </w:r>
      <w:r>
        <w:rPr>
          <w:rFonts w:eastAsia="Times New Roman" w:cs="Times New Roman"/>
          <w:i/>
          <w:iCs/>
          <w:color w:themeColor="text1" w:val="000000"/>
          <w:sz w:val="24"/>
          <w:szCs w:val="24"/>
        </w:rPr>
        <w:t>closing the loop</w:t>
      </w:r>
      <w:r>
        <w:rPr>
          <w:rFonts w:eastAsia="Times New Roman" w:cs="Times New Roman"/>
          <w:color w:themeColor="text1" w:val="000000"/>
          <w:sz w:val="24"/>
          <w:szCs w:val="24"/>
        </w:rPr>
        <w:t xml:space="preserve">). Isso exige que as organizações: </w:t>
      </w:r>
    </w:p>
    <w:p>
      <w:pPr>
        <w:pStyle w:val="ListParagraph"/>
        <w:numPr>
          <w:ilvl w:val="0"/>
          <w:numId w:val="9"/>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Mapeiem proativamente suas responsabilidades; </w:t>
      </w:r>
    </w:p>
    <w:p>
      <w:pPr>
        <w:pStyle w:val="ListParagraph"/>
        <w:numPr>
          <w:ilvl w:val="0"/>
          <w:numId w:val="9"/>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Escutem as demandas das partes interessadas; e, crucialmente, </w:t>
      </w:r>
    </w:p>
    <w:p>
      <w:pPr>
        <w:pStyle w:val="ListParagraph"/>
        <w:numPr>
          <w:ilvl w:val="0"/>
          <w:numId w:val="9"/>
        </w:numPr>
        <w:spacing w:lineRule="auto" w:line="360" w:before="0" w:after="0"/>
        <w:contextualSpacing/>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Demonstrem como suas decisões estratégicas (como as definidas em um EVTEAS) foram alteradas ou moldadas para responder a essas demandas. Sem essa ferramenta de retroalimentação, a viabilidade social de um projeto é comprometida, que resulta na perda da "licença social para operar".</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Entretanto, a integração entre eficiência operacional e desempenho ESG não é linear, apresentando </w:t>
      </w:r>
      <w:r>
        <w:rPr>
          <w:rFonts w:eastAsia="Times New Roman" w:cs="Times New Roman"/>
          <w:i/>
          <w:iCs/>
          <w:color w:themeColor="text1" w:val="000000"/>
          <w:sz w:val="24"/>
          <w:szCs w:val="24"/>
        </w:rPr>
        <w:t>trade-offs</w:t>
      </w:r>
      <w:r>
        <w:rPr>
          <w:rFonts w:eastAsia="Times New Roman" w:cs="Times New Roman"/>
          <w:color w:themeColor="text1" w:val="000000"/>
          <w:sz w:val="24"/>
          <w:szCs w:val="24"/>
        </w:rPr>
        <w:t xml:space="preserve"> complexos que desafiam a gestão tradicional. </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Na pisicultura, a “eficiência obscena” (Garnett; Röös; Little, 2015) poderia significar operar com densidades de estocagem no limite biológico, onde qualquer falha de equipamento resulta em mortalidade em massa e desastre ambiental.</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Desse modo, um EVTEAS contemporâneo não deve buscar a maximização cega de indicadores financeiros ou operacionais. Ele deve funcionar como uma ferramenta de otimização multicritério capaz de identificar o "ponto ótimo" de operação prévia à priori considerando a possibilidade da zona no topo da curva do "U-invertido". A modelagem algorítmica (Osório, 2025, p. 70-73) propiocia calcular esse equilíbrio de forma automatizada e ratificar se o projeto é enxuto o suficiente para ser competitivo, alinhado às práticas </w:t>
      </w:r>
      <w:r>
        <w:rPr>
          <w:rFonts w:eastAsia="Times New Roman" w:cs="Times New Roman"/>
          <w:i/>
          <w:iCs/>
          <w:color w:themeColor="text1" w:val="000000"/>
          <w:sz w:val="24"/>
          <w:szCs w:val="24"/>
        </w:rPr>
        <w:t>Lean Green</w:t>
      </w:r>
      <w:r>
        <w:rPr>
          <w:rFonts w:eastAsia="Times New Roman" w:cs="Times New Roman"/>
          <w:color w:themeColor="text1" w:val="000000"/>
          <w:sz w:val="24"/>
          <w:szCs w:val="24"/>
        </w:rPr>
        <w:t xml:space="preserve"> (Kosasih; Pujawan; Karningsih, 2023, p. 2), mas robusto o suficiente para ser sustentável técnica, econômica, ambiental e socialmente.</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0" w:after="0"/>
        <w:rPr>
          <w:rFonts w:ascii="Times New Roman" w:hAnsi="Times New Roman" w:eastAsia="Times New Roman" w:cs="Times New Roman"/>
          <w:color w:themeColor="text1" w:val="000000"/>
        </w:rPr>
      </w:pPr>
      <w:bookmarkStart w:id="150" w:name="_Toc242269311"/>
      <w:bookmarkStart w:id="151" w:name="_Toc242269230"/>
      <w:bookmarkStart w:id="152" w:name="_Toc242269151"/>
      <w:r>
        <w:rPr>
          <w:rFonts w:eastAsia="Times New Roman" w:cs="Times New Roman"/>
          <w:color w:themeColor="text1" w:val="000000"/>
        </w:rPr>
        <w:t>2.10.2 Interseção teórica: O ponto de convergência entre EVTEAS</w:t>
      </w:r>
      <w:r>
        <w:rPr>
          <w:rFonts w:eastAsia="Times New Roman" w:cs="Times New Roman"/>
          <w:i/>
          <w:iCs/>
          <w:color w:themeColor="text1" w:val="000000"/>
        </w:rPr>
        <w:t>, Lean-Green</w:t>
      </w:r>
      <w:r>
        <w:rPr>
          <w:rFonts w:eastAsia="Times New Roman" w:cs="Times New Roman"/>
          <w:color w:themeColor="text1" w:val="000000"/>
        </w:rPr>
        <w:t xml:space="preserve"> e ESG</w:t>
      </w:r>
      <w:bookmarkEnd w:id="150"/>
      <w:bookmarkEnd w:id="151"/>
      <w:bookmarkEnd w:id="152"/>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interseção teórica central deste trabalho reside na premissa de que a viabilidade sustentável de um projeto contemporâneo de piscicultura não pode ser dissociada da eficiência operacional, da responsabilidade corporativa e da capacidade de resposta a um mercado volátil.</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conceitual desta pesquisa estrutura-se, portanto, em três eixos de convergência, operacionalizados pela tecnologia: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aplicação de princípios </w:t>
      </w:r>
      <w:r>
        <w:rPr>
          <w:rFonts w:eastAsia="Times New Roman" w:cs="Times New Roman"/>
          <w:i/>
          <w:iCs/>
          <w:color w:themeColor="text1" w:val="000000"/>
          <w:sz w:val="24"/>
          <w:szCs w:val="24"/>
        </w:rPr>
        <w:t>Lean</w:t>
      </w:r>
      <w:r>
        <w:rPr>
          <w:rFonts w:eastAsia="Times New Roman" w:cs="Times New Roman"/>
          <w:color w:themeColor="text1" w:val="000000"/>
          <w:sz w:val="24"/>
          <w:szCs w:val="24"/>
        </w:rPr>
        <w:t xml:space="preserve"> na fase de  estudos preliminares e inínicio de planejamento propicia projetar sistemas que surgem eficientes, ao evitar o desperdício de capital despendido (CAPEX) e capital operacional despendido (OPEX) sensível na aquicultura, como apontado por Lawrence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(2023). No entanto, a eficiência de custos isolada não ratifica a sobrevivência. Desse modo, considerando a "responsividade" de Gunasekaran, Lai e Cheng (2008), o EVTEAS deve também avaliar a "responsividade" do projeto, sua capacidade de reagir a mudanças rápidas de demanda e fornecimento. Desse modo, a viabilidade econômica neste estudo é definida como o equilíbrio entre a minimização de desperdícios (</w:t>
      </w:r>
      <w:r>
        <w:rPr>
          <w:rFonts w:eastAsia="Times New Roman" w:cs="Times New Roman"/>
          <w:i/>
          <w:iCs/>
          <w:color w:themeColor="text1" w:val="000000"/>
          <w:sz w:val="24"/>
          <w:szCs w:val="24"/>
        </w:rPr>
        <w:t>Lean</w:t>
      </w:r>
      <w:r>
        <w:rPr>
          <w:rFonts w:eastAsia="Times New Roman" w:cs="Times New Roman"/>
          <w:color w:themeColor="text1" w:val="000000"/>
          <w:sz w:val="24"/>
          <w:szCs w:val="24"/>
        </w:rPr>
        <w:t>) e a maximização da agilidade (</w:t>
      </w:r>
      <w:r>
        <w:rPr>
          <w:rFonts w:eastAsia="Times New Roman" w:cs="Times New Roman"/>
          <w:i/>
          <w:iCs/>
          <w:color w:themeColor="text1" w:val="000000"/>
          <w:sz w:val="24"/>
          <w:szCs w:val="24"/>
        </w:rPr>
        <w:t>Agile</w:t>
      </w:r>
      <w:r>
        <w:rPr>
          <w:rFonts w:eastAsia="Times New Roman" w:cs="Times New Roman"/>
          <w:color w:themeColor="text1" w:val="000000"/>
          <w:sz w:val="24"/>
          <w:szCs w:val="24"/>
        </w:rPr>
        <w:t>), ao evitar tanto o excesso de “gordura” quanto a “magreza” operacional que leva à fragilidade em respostas às ameaças externas não controláveis.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dimensão ambiental do EVTEAS deixa de ser uma mera exigência legal para se tornar um motor de competitividade. Ela é fortalecida pelas práticas de </w:t>
      </w:r>
      <w:r>
        <w:rPr>
          <w:rFonts w:eastAsia="Times New Roman" w:cs="Times New Roman"/>
          <w:i/>
          <w:iCs/>
          <w:color w:themeColor="text1" w:val="000000"/>
          <w:sz w:val="24"/>
          <w:szCs w:val="24"/>
        </w:rPr>
        <w:t>Green Manufacturing</w:t>
      </w:r>
      <w:r>
        <w:rPr>
          <w:rFonts w:eastAsia="Times New Roman" w:cs="Times New Roman"/>
          <w:color w:themeColor="text1" w:val="000000"/>
          <w:sz w:val="24"/>
          <w:szCs w:val="24"/>
        </w:rPr>
        <w:t xml:space="preserve"> e pela gestão de riscos exigida pelos critérios ESG. Apesar, a relação entre ser "verde" e ser "enxuto" possui nuances complexas. Sensores e algoritmos permitem monitorar o impacto ambiental em tempo real, transformando a sustentabilidade em um indicador de performance gerenciável, e não apenas uma externalidade teórica.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dimensão social do EVTEAS evolui de um anexo filantrópico para o centro da estratégia de governança. Resgatando as raízes históricas apontadas por Janowski (2021), a responsabilidade social é reafirmada como um dever fiduciário de administrar recursos para o bem comum. Na prática moderna, isso se traduz na obtenção da "licença social para operar".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proposto deve facilitar o "mapeamento de responsabilidades" e o engajamento ativo (</w:t>
      </w:r>
      <w:r>
        <w:rPr>
          <w:rFonts w:eastAsia="Times New Roman" w:cs="Times New Roman"/>
          <w:i/>
          <w:iCs/>
          <w:color w:themeColor="text1" w:val="000000"/>
          <w:sz w:val="24"/>
          <w:szCs w:val="24"/>
        </w:rPr>
        <w:t>closing the loop</w:t>
      </w:r>
      <w:r>
        <w:rPr>
          <w:rFonts w:eastAsia="Times New Roman" w:cs="Times New Roman"/>
          <w:color w:themeColor="text1" w:val="000000"/>
          <w:sz w:val="24"/>
          <w:szCs w:val="24"/>
        </w:rPr>
        <w:t xml:space="preserve">) defendido por Hurst e Ihlen (2018). Isso assegura que o projeto de piscicultura não seja um exterior à comunidade interessada, mas um empreendimento que responde proativamente às expectativas dos </w:t>
      </w:r>
      <w:r>
        <w:rPr>
          <w:rFonts w:eastAsia="Times New Roman" w:cs="Times New Roman"/>
          <w:i/>
          <w:iCs/>
          <w:color w:themeColor="text1" w:val="000000"/>
          <w:sz w:val="24"/>
          <w:szCs w:val="24"/>
        </w:rPr>
        <w:t>stakeholders</w:t>
      </w:r>
      <w:r>
        <w:rPr>
          <w:rFonts w:eastAsia="Times New Roman" w:cs="Times New Roman"/>
          <w:color w:themeColor="text1" w:val="000000"/>
          <w:sz w:val="24"/>
          <w:szCs w:val="24"/>
        </w:rPr>
        <w:t xml:space="preserve"> locais como pescadores, vizinhança, organizações fomentadoras ou órgãos reguladores.</w:t>
      </w:r>
    </w:p>
    <w:p>
      <w:pPr>
        <w:pStyle w:val="Normal"/>
        <w:spacing w:lineRule="auto" w:line="360" w:before="0" w:after="0"/>
        <w:ind w:firstLine="708"/>
        <w:jc w:val="both"/>
        <w:rPr>
          <w:rFonts w:ascii="Times New Roman" w:hAnsi="Times New Roman" w:eastAsia="Times New Roman" w:cs="Times New Roman"/>
          <w:i/>
          <w:i/>
          <w:iCs/>
          <w:color w:themeColor="text1" w:val="000000"/>
          <w:sz w:val="24"/>
          <w:szCs w:val="24"/>
        </w:rPr>
      </w:pPr>
      <w:r>
        <w:rPr>
          <w:rFonts w:eastAsia="Times New Roman" w:cs="Times New Roman"/>
          <w:color w:themeColor="text1" w:val="000000"/>
          <w:sz w:val="24"/>
          <w:szCs w:val="24"/>
        </w:rPr>
        <w:t xml:space="preserve">A complexidade de integrar (1) tecnologia biológica disponível, (2) volatilidade de mercado e indicadores financeiros, (3) restrições ambientais e (4) demandas sociais pode exceder a capacidade de planilhas financeiras tradicionais, ao ocasionar retrabalho, o que justifica a proposição de uma ferramenta em Python. Conforme fundamentado por Osório (2025, p. 70-77) dentro do debate sobre competências digitais e Inteligência Artificial proposto por Pinto Jr. e Consonni (2025), a modelagem computacional atua como um recurso analítico sensível, capaz de converter a incerteza teórica em modelagens probabilísticas.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proposto não deve funcionar só como uma calculadora de Valor Presente Líquido (VPL); e sim como materialização dessa interseção teórica, ao traduzir a complexidade das vertentes EVTEAS-</w:t>
      </w:r>
      <w:r>
        <w:rPr>
          <w:rFonts w:eastAsia="Times New Roman" w:cs="Times New Roman"/>
          <w:i/>
          <w:iCs/>
          <w:color w:themeColor="text1" w:val="000000"/>
          <w:sz w:val="24"/>
          <w:szCs w:val="24"/>
        </w:rPr>
        <w:t>Lean</w:t>
      </w:r>
      <w:r>
        <w:rPr>
          <w:rFonts w:eastAsia="Times New Roman" w:cs="Times New Roman"/>
          <w:color w:themeColor="text1" w:val="000000"/>
          <w:sz w:val="24"/>
          <w:szCs w:val="24"/>
        </w:rPr>
        <w:t xml:space="preserve">-ESG em indicadores práticos de tomada de decisão para o produtor juntamente com os </w:t>
      </w:r>
      <w:r>
        <w:rPr>
          <w:rFonts w:eastAsia="Times New Roman" w:cs="Times New Roman"/>
          <w:i/>
          <w:iCs/>
          <w:color w:themeColor="text1" w:val="000000"/>
          <w:sz w:val="24"/>
          <w:szCs w:val="24"/>
        </w:rPr>
        <w:t>stakeholders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0" w:after="0"/>
        <w:rPr>
          <w:rFonts w:ascii="Times New Roman" w:hAnsi="Times New Roman" w:eastAsia="Times New Roman" w:cs="Times New Roman"/>
          <w:color w:themeColor="text1" w:val="000000"/>
        </w:rPr>
      </w:pPr>
      <w:bookmarkStart w:id="153" w:name="_Toc242269312"/>
      <w:bookmarkStart w:id="154" w:name="_Toc242269231"/>
      <w:bookmarkStart w:id="155" w:name="_Toc242269152"/>
      <w:r>
        <w:rPr>
          <w:rFonts w:eastAsia="Times New Roman" w:cs="Times New Roman"/>
          <w:color w:themeColor="text1" w:val="000000"/>
        </w:rPr>
        <w:t>2.10.3 A gestão contemporânea: a ciência e a arte da decisão</w:t>
      </w:r>
      <w:bookmarkEnd w:id="153"/>
      <w:bookmarkEnd w:id="154"/>
      <w:bookmarkEnd w:id="155"/>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introdução de modelos matemáticos rígidos não elimina a necessidade da intuição gerencial. Motta (2004) define a gestão contemporânea como a fusão entre a ciência (técnica, dados, métodos) e a arte (intuição, negociação, política). O dirigente moderno não é um mero tecnocrata; ele tem de interpretar os sinais fracos do ambiente que não estão nas planilhas ou dados brutos.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 referencial teórico deste trabalho, portanto, posiciona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em Python como o componente de "ciência" que dá suporte à "arte" de ser dirigente. A ferramenta computacional oferece a base racional e quantitativa necessária para reduzir a incerteza, mas a decisão final sobre a implementação do projeto de piscicultura, considerando riscos políticos e relacionamentos comunitários, permanece uma prerrogativa humana, alinhada à visão humanista de Motta, a ser exercida pelos produtores em negociação com as partes interessadas.</w:t>
      </w:r>
      <w:r>
        <w:br w:type="page"/>
      </w:r>
    </w:p>
    <w:p>
      <w:pPr>
        <w:pStyle w:val="Heading1"/>
        <w:spacing w:lineRule="auto" w:line="360" w:before="0" w:after="0"/>
        <w:rPr>
          <w:rFonts w:ascii="Times New Roman" w:hAnsi="Times New Roman" w:eastAsia="Times New Roman" w:cs="Times New Roman"/>
          <w:b/>
          <w:bCs/>
          <w:color w:themeColor="text1" w:val="000000"/>
          <w:sz w:val="32"/>
          <w:szCs w:val="32"/>
        </w:rPr>
      </w:pPr>
      <w:bookmarkStart w:id="156" w:name="_Toc242269313"/>
      <w:bookmarkStart w:id="157" w:name="_Toc242269232"/>
      <w:bookmarkStart w:id="158" w:name="_Toc242269153"/>
      <w:bookmarkStart w:id="159" w:name="_Toc229596851"/>
      <w:bookmarkStart w:id="160" w:name="_Toc229935456"/>
      <w:r>
        <w:rPr>
          <w:rFonts w:eastAsia="Times New Roman" w:cs="Times New Roman" w:ascii="Times New Roman" w:hAnsi="Times New Roman"/>
          <w:b/>
          <w:bCs/>
          <w:color w:themeColor="text1" w:val="000000"/>
          <w:sz w:val="32"/>
          <w:szCs w:val="32"/>
        </w:rPr>
        <w:t>3 METODOLOGIA DE PESQUISA</w:t>
      </w:r>
      <w:bookmarkEnd w:id="156"/>
      <w:bookmarkEnd w:id="157"/>
      <w:bookmarkEnd w:id="158"/>
      <w:bookmarkEnd w:id="159"/>
      <w:bookmarkEnd w:id="160"/>
    </w:p>
    <w:p>
      <w:pPr>
        <w:pStyle w:val="Normal"/>
        <w:rPr/>
      </w:pPr>
      <w:r>
        <w:rPr/>
      </w:r>
    </w:p>
    <w:p>
      <w:pPr>
        <w:pStyle w:val="Heading2"/>
        <w:spacing w:lineRule="auto" w:line="360" w:before="0" w:after="0"/>
        <w:rPr>
          <w:rFonts w:ascii="Times New Roman" w:hAnsi="Times New Roman" w:eastAsia="Times New Roman" w:cs="Times New Roman"/>
          <w:color w:themeColor="text1" w:val="000000"/>
          <w:sz w:val="28"/>
          <w:szCs w:val="28"/>
        </w:rPr>
      </w:pPr>
      <w:bookmarkStart w:id="161" w:name="_Toc242269314"/>
      <w:bookmarkStart w:id="162" w:name="_Toc242269233"/>
      <w:bookmarkStart w:id="163" w:name="_Toc242269154"/>
      <w:bookmarkStart w:id="164" w:name="_Toc229935457"/>
      <w:r>
        <w:rPr>
          <w:rFonts w:eastAsia="Times New Roman" w:cs="Times New Roman" w:ascii="Times New Roman" w:hAnsi="Times New Roman"/>
          <w:color w:themeColor="text1" w:val="000000"/>
          <w:sz w:val="28"/>
          <w:szCs w:val="28"/>
        </w:rPr>
        <w:t>3.1 Definição do método da pesquisa</w:t>
      </w:r>
      <w:bookmarkEnd w:id="161"/>
      <w:bookmarkEnd w:id="162"/>
      <w:bookmarkEnd w:id="163"/>
      <w:bookmarkEnd w:id="164"/>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 objeto de estudo desta pesquisa, o desenvolvimento de um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computacional em linguagem Python, denominado EVTEAS-Py, destinado à elaboração integrada de Estudos de Viabilidade Técnica, Econômica, Ambiental e Social voltados à piscicultura, transcende a manipulação algorítmica de variáveis determinísticas, pois se situa na intersecção entre a viabilidade financeira e as relações socioambientais, o engajamento comunitário e o licenciamento social, representados pelas diretrizes ESG e </w:t>
      </w:r>
      <w:r>
        <w:rPr>
          <w:rFonts w:eastAsia="Times New Roman" w:cs="Times New Roman"/>
          <w:i/>
          <w:iCs/>
          <w:color w:themeColor="text1" w:val="000000"/>
          <w:sz w:val="24"/>
          <w:szCs w:val="24"/>
        </w:rPr>
        <w:t>Lean Green</w:t>
      </w:r>
      <w:r>
        <w:rPr>
          <w:rFonts w:eastAsia="Times New Roman" w:cs="Times New Roman"/>
          <w:color w:themeColor="text1" w:val="000000"/>
          <w:sz w:val="24"/>
          <w:szCs w:val="24"/>
        </w:rPr>
        <w:t>.</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natureza da pesquisa classifica-se como aplicada. O objetivo não é apenas entender o motivo de projetos de piscicultura falham ou como as variáveis ESG interagem, mas propor uma solução intervencionista, consubstanciada em um artefato tecnológico, que eleve a eficiência e a sustentabilidade da tomada de decisão.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Quanto à abordagem, a investigação assume caráter qualiquantitativo, pois a pesquisa puramente quantitativa não contempla métodos qualitativos complementares, como a validação por especialistas, seja por questionários ou métodos de inspeção.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Leitão e Prates (2017) asseveram que as abordagens estritamente quantitativas e determinísticas, ao buscarem isolar variáveis para testar hipóteses de causalidade em ambientes frequentemente artificiais, tendem a se afastar das questões e dos problemas autênticos do contexto real de uso. Assim, falham em capturar a experiência de uso e a aceitabilidade social da tecnologia.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Embora os métodos de inspeção de </w:t>
      </w:r>
      <w:r>
        <w:rPr>
          <w:rFonts w:eastAsia="Times New Roman" w:cs="Times New Roman"/>
          <w:i/>
          <w:iCs/>
          <w:color w:themeColor="text1" w:val="000000"/>
          <w:sz w:val="24"/>
          <w:szCs w:val="24"/>
        </w:rPr>
        <w:t>frameworks</w:t>
      </w:r>
      <w:r>
        <w:rPr>
          <w:rFonts w:eastAsia="Times New Roman" w:cs="Times New Roman"/>
          <w:color w:themeColor="text1" w:val="000000"/>
          <w:sz w:val="24"/>
          <w:szCs w:val="24"/>
        </w:rPr>
        <w:t xml:space="preserve"> sigam comumente abordagem quantitativo-experimental, focada em performance, confiabilidade e correspondência com especificações, a área de Interação Humano-Computador (IHC) consolidou métodos de inspeção de base qualitativa, nos quais um avaliador examina sistematicamente a interface e o comportamento do sistema para antecipar problemas de interpretação e de comunicabilidade (Leitão; Prates, 2017). Esses métodos são incorporados nesta pesquisa para avaliar se as premissas econômicas e de sustentabilidade do modelo são transmitidas de forma clara e sem ambiguidades aos tomadores de decisão.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Simultaneamente, a dimensão quantitativa permanece estruturante, pois a modelagem matemática, os indicadores de engenharia econômica, as projeções de produtividade aquícola e as simulações estocásticas demandam rigor lógico-dedutivo e precisão numérica, de modo que a abordagem qualiquantitativa integra esses dois paradigmas.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No que tange aos objetivos, a pesquisa classifica-se como exploratória. A dimensão exploratória manifesta-se na imersão nas lacunas da literatura sobre a integração de métricas </w:t>
      </w:r>
      <w:r>
        <w:rPr>
          <w:rFonts w:eastAsia="Times New Roman" w:cs="Times New Roman"/>
          <w:i/>
          <w:iCs/>
          <w:color w:themeColor="text1" w:val="000000"/>
          <w:sz w:val="24"/>
          <w:szCs w:val="24"/>
        </w:rPr>
        <w:t>Lean Green</w:t>
      </w:r>
      <w:r>
        <w:rPr>
          <w:rFonts w:eastAsia="Times New Roman" w:cs="Times New Roman"/>
          <w:color w:themeColor="text1" w:val="000000"/>
          <w:sz w:val="24"/>
          <w:szCs w:val="24"/>
        </w:rPr>
        <w:t xml:space="preserve"> e ESG em estudos de viabilidade.mapeamento e na documentação sistemática das variáveis técnicas, econômicas, ambientais e sociais que compõem o modelo. </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 procedimento técnico selecionado para viabilizar esta intervenção prescritiva orbita em torno da </w:t>
      </w:r>
      <w:r>
        <w:rPr>
          <w:rFonts w:eastAsia="Times New Roman" w:cs="Times New Roman"/>
          <w:i/>
          <w:iCs/>
          <w:color w:themeColor="text1" w:val="000000"/>
          <w:sz w:val="24"/>
          <w:szCs w:val="24"/>
        </w:rPr>
        <w:t>Design Science Research</w:t>
      </w:r>
      <w:r>
        <w:rPr>
          <w:rFonts w:eastAsia="Times New Roman" w:cs="Times New Roman"/>
          <w:color w:themeColor="text1" w:val="000000"/>
          <w:sz w:val="24"/>
          <w:szCs w:val="24"/>
        </w:rPr>
        <w:t xml:space="preserve"> (DSR), que atua como o método de pesquisa e condutor de todas as atividades. </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complexidade de integrar variáveis exatas (dimensionamento de tanques e viabilidade financeira) com variáveis probabilísticas e qualitativas (licença social para operar e matrizes ESG) inviabiliza a adoção de um único procedimento, motivando a articulação da Pesquisa Bibliográfica com a </w:t>
      </w:r>
      <w:r>
        <w:rPr>
          <w:rFonts w:eastAsia="Times New Roman" w:cs="Times New Roman"/>
          <w:i/>
          <w:iCs/>
          <w:color w:themeColor="text1" w:val="000000"/>
          <w:sz w:val="24"/>
          <w:szCs w:val="24"/>
        </w:rPr>
        <w:t>Design Science Research</w:t>
      </w:r>
      <w:r>
        <w:rPr>
          <w:rFonts w:eastAsia="Times New Roman" w:cs="Times New Roman"/>
          <w:color w:themeColor="text1" w:val="000000"/>
          <w:sz w:val="24"/>
          <w:szCs w:val="24"/>
        </w:rPr>
        <w:t xml:space="preserve"> (DSR), que estrutura o desenvolvimento do artefato em etapas iterativas integradas a procedimentos de verificação e validação.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Normal"/>
        <w:spacing w:lineRule="auto" w:line="360" w:before="0" w:after="0"/>
        <w:jc w:val="both"/>
        <w:rPr>
          <w:rFonts w:ascii="Times New Roman" w:hAnsi="Times New Roman" w:eastAsia="Times New Roman" w:cs="Times New Roman"/>
          <w:b/>
          <w:bCs/>
          <w:sz w:val="24"/>
          <w:szCs w:val="24"/>
          <w:lang w:val="en-US"/>
        </w:rPr>
      </w:pPr>
      <w:r>
        <w:rPr>
          <w:rFonts w:eastAsia="Times New Roman" w:cs="Times New Roman"/>
          <w:b/>
          <w:bCs/>
          <w:sz w:val="24"/>
          <w:szCs w:val="24"/>
          <w:lang w:val="en-US"/>
        </w:rPr>
        <w:t xml:space="preserve">a) </w:t>
      </w:r>
      <w:r>
        <w:rPr>
          <w:rFonts w:eastAsia="Times New Roman" w:cs="Times New Roman"/>
          <w:b/>
          <w:bCs/>
          <w:i/>
          <w:iCs/>
          <w:sz w:val="24"/>
          <w:szCs w:val="24"/>
          <w:lang w:val="en-US"/>
        </w:rPr>
        <w:t>Design Science Research</w:t>
      </w:r>
      <w:r>
        <w:rPr>
          <w:rFonts w:eastAsia="Times New Roman" w:cs="Times New Roman"/>
          <w:b/>
          <w:bCs/>
          <w:sz w:val="24"/>
          <w:szCs w:val="24"/>
          <w:lang w:val="en-US"/>
        </w:rPr>
        <w:t xml:space="preserve"> (DSR)</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Procedimento principal para a estruturação lógica e arquitetural 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EVTEAS-Py, com verificação e validação por especialistas. A DSR é voltada à criação e avaliação de artefatos, como construtos, modelos, métodos e instanciações, que solucionam problemas práticos reais, e atua como método quando o objetivo é construir um artefato ou uma recomendação, ao reduzir a lacuna entre a teoria acadêmica e a prática nas organizações sem abrir mão do rigor (Dresch; Lacerda; Antunes Jr., 2015).</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O desenvolvimento computacional iterativo da DSR permite construir e avaliar um sistema capaz de transformar situações atuais em estados desejáveis, ao processar simulações estocásticas que superam as limitações estáticas das planilhas eletrônicas e gerando soluções generalizáveis para uma classe específica de problemas.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O Quadro 6 resume a classificação metodológica adotada nesta investigação.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Normal"/>
        <w:spacing w:lineRule="auto" w:line="360" w:before="0" w:after="0"/>
        <w:ind w:firstLine="708"/>
        <w:jc w:val="both"/>
        <w:rPr>
          <w:rFonts w:ascii="Times New Roman" w:hAnsi="Times New Roman" w:eastAsia="Times New Roman" w:cs="Times New Roman"/>
          <w:sz w:val="24"/>
          <w:szCs w:val="24"/>
        </w:rPr>
      </w:pPr>
      <w:r>
        <w:rPr>
          <w:rFonts w:eastAsia="Times New Roman" w:cs="Times New Roman"/>
          <w:sz w:val="24"/>
          <w:szCs w:val="24"/>
        </w:rPr>
      </w:r>
    </w:p>
    <w:p>
      <w:pPr>
        <w:pStyle w:val="Caption"/>
        <w:keepNext w:val="true"/>
        <w:spacing w:lineRule="auto" w:line="360" w:before="0" w:after="0"/>
        <w:jc w:val="center"/>
        <w:rPr>
          <w:rFonts w:ascii="Calibri" w:hAnsi="Calibri" w:cs="Calibri" w:asciiTheme="minorHAnsi" w:cstheme="minorHAnsi" w:hAnsiTheme="minorHAnsi"/>
          <w:color w:val="auto"/>
          <w:sz w:val="20"/>
          <w:szCs w:val="20"/>
        </w:rPr>
      </w:pPr>
      <w:bookmarkStart w:id="165" w:name="_Toc235197276"/>
      <w:r>
        <w:rPr>
          <w:rFonts w:cs="Calibri" w:ascii="Calibri" w:hAnsi="Calibri" w:asciiTheme="minorHAnsi" w:cstheme="minorHAnsi" w:hAnsiTheme="minorHAnsi"/>
          <w:color w:val="auto"/>
          <w:sz w:val="20"/>
          <w:szCs w:val="20"/>
        </w:rPr>
        <w:t xml:space="preserve">Quadro </w:t>
      </w:r>
      <w:r>
        <w:rPr>
          <w:rFonts w:cs="Calibri" w:ascii="Calibri" w:hAnsi="Calibri"/>
          <w:color w:val="auto"/>
          <w:sz w:val="20"/>
          <w:szCs w:val="20"/>
        </w:rPr>
        <w:fldChar w:fldCharType="begin"/>
      </w:r>
      <w:r>
        <w:rPr>
          <w:sz w:val="20"/>
          <w:szCs w:val="20"/>
          <w:rFonts w:cs="Calibri" w:ascii="Calibri" w:hAnsi="Calibri"/>
          <w:color w:val="auto"/>
        </w:rPr>
        <w:instrText xml:space="preserve"> SEQ Quadro \* ARABIC </w:instrText>
      </w:r>
      <w:r>
        <w:rPr>
          <w:sz w:val="20"/>
          <w:szCs w:val="20"/>
          <w:rFonts w:cs="Calibri" w:ascii="Calibri" w:hAnsi="Calibri"/>
          <w:color w:val="auto"/>
        </w:rPr>
        <w:fldChar w:fldCharType="separate"/>
      </w:r>
      <w:r>
        <w:rPr>
          <w:sz w:val="20"/>
          <w:szCs w:val="20"/>
          <w:rFonts w:cs="Calibri" w:ascii="Calibri" w:hAnsi="Calibri"/>
          <w:color w:val="auto"/>
        </w:rPr>
        <w:t>6</w:t>
      </w:r>
      <w:r>
        <w:rPr>
          <w:sz w:val="20"/>
          <w:szCs w:val="20"/>
          <w:rFonts w:cs="Calibri" w:ascii="Calibri" w:hAnsi="Calibri"/>
          <w:color w:val="auto"/>
        </w:rPr>
        <w:fldChar w:fldCharType="end"/>
      </w:r>
      <w:r>
        <w:rPr>
          <w:rFonts w:cs="Calibri" w:ascii="Calibri" w:hAnsi="Calibri" w:asciiTheme="minorHAnsi" w:cstheme="minorHAnsi" w:hAnsiTheme="minorHAnsi"/>
          <w:color w:val="auto"/>
          <w:sz w:val="20"/>
          <w:szCs w:val="20"/>
        </w:rPr>
        <w:t xml:space="preserve"> - Classificação metodológica</w:t>
      </w:r>
      <w:bookmarkEnd w:id="165"/>
    </w:p>
    <w:tbl>
      <w:tblPr>
        <w:tblW w:w="9000" w:type="dxa"/>
        <w:jc w:val="center"/>
        <w:tblInd w:w="0" w:type="dxa"/>
        <w:tblLayout w:type="fixed"/>
        <w:tblCellMar>
          <w:top w:w="80" w:type="dxa"/>
          <w:left w:w="120" w:type="dxa"/>
          <w:bottom w:w="80" w:type="dxa"/>
          <w:right w:w="120" w:type="dxa"/>
        </w:tblCellMar>
        <w:tblLook w:val="04a0" w:noHBand="0" w:noVBand="1" w:firstColumn="1" w:lastRow="0" w:lastColumn="0" w:firstRow="1"/>
      </w:tblPr>
      <w:tblGrid>
        <w:gridCol w:w="2998"/>
        <w:gridCol w:w="6001"/>
      </w:tblGrid>
      <w:tr>
        <w:trPr>
          <w:tblHeader w:val="true"/>
        </w:trPr>
        <w:tc>
          <w:tcPr>
            <w:tcW w:w="2998"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360" w:before="0" w:after="0"/>
              <w:jc w:val="center"/>
              <w:rPr>
                <w:rFonts w:ascii="Times New Roman" w:hAnsi="Times New Roman" w:eastAsia="Times New Roman" w:cs="Times New Roman"/>
              </w:rPr>
            </w:pPr>
            <w:r>
              <w:rPr>
                <w:rFonts w:eastAsia="Times New Roman" w:cs="Times New Roman"/>
                <w:b/>
                <w:bCs/>
              </w:rPr>
              <w:t>Método</w:t>
            </w:r>
          </w:p>
        </w:tc>
        <w:tc>
          <w:tcPr>
            <w:tcW w:w="6001"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360" w:before="0" w:after="0"/>
              <w:jc w:val="center"/>
              <w:rPr>
                <w:rFonts w:ascii="Times New Roman" w:hAnsi="Times New Roman" w:eastAsia="Times New Roman" w:cs="Times New Roman"/>
              </w:rPr>
            </w:pPr>
            <w:r>
              <w:rPr>
                <w:rFonts w:eastAsia="Times New Roman" w:cs="Times New Roman"/>
                <w:b/>
                <w:bCs/>
              </w:rPr>
              <w:t>Classificação da Pesquisa</w:t>
            </w:r>
          </w:p>
        </w:tc>
      </w:tr>
      <w:tr>
        <w:trPr/>
        <w:tc>
          <w:tcPr>
            <w:tcW w:w="2998"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Natureza</w:t>
            </w:r>
          </w:p>
        </w:tc>
        <w:tc>
          <w:tcPr>
            <w:tcW w:w="600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Aplicada</w:t>
            </w:r>
          </w:p>
        </w:tc>
      </w:tr>
      <w:tr>
        <w:trPr/>
        <w:tc>
          <w:tcPr>
            <w:tcW w:w="2998"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Abordagem</w:t>
            </w:r>
          </w:p>
        </w:tc>
        <w:tc>
          <w:tcPr>
            <w:tcW w:w="600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Qualiquantitativa</w:t>
            </w:r>
          </w:p>
        </w:tc>
      </w:tr>
      <w:tr>
        <w:trPr/>
        <w:tc>
          <w:tcPr>
            <w:tcW w:w="2998"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Objetivos</w:t>
            </w:r>
          </w:p>
        </w:tc>
        <w:tc>
          <w:tcPr>
            <w:tcW w:w="600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color w:val="EE0000"/>
              </w:rPr>
            </w:pPr>
            <w:r>
              <w:rPr>
                <w:rFonts w:eastAsia="Times New Roman" w:cs="Times New Roman"/>
              </w:rPr>
              <w:t>Exploratório</w:t>
            </w:r>
          </w:p>
        </w:tc>
      </w:tr>
      <w:tr>
        <w:trPr/>
        <w:tc>
          <w:tcPr>
            <w:tcW w:w="2998"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Procedimentos Técnicos</w:t>
            </w:r>
          </w:p>
        </w:tc>
        <w:tc>
          <w:tcPr>
            <w:tcW w:w="600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i/>
                <w:iCs/>
              </w:rPr>
              <w:t>Design Science Research (DSR)</w:t>
            </w:r>
          </w:p>
        </w:tc>
      </w:tr>
    </w:tbl>
    <w:p>
      <w:pPr>
        <w:pStyle w:val="Normal"/>
        <w:spacing w:lineRule="auto" w:line="360" w:before="0" w:after="0"/>
        <w:jc w:val="center"/>
        <w:rPr>
          <w:rFonts w:ascii="Times New Roman" w:hAnsi="Times New Roman" w:eastAsia="Times New Roman" w:cs="Times New Roman"/>
          <w:sz w:val="20"/>
          <w:szCs w:val="20"/>
        </w:rPr>
      </w:pPr>
      <w:r>
        <w:rPr>
          <w:rFonts w:eastAsia="Times New Roman" w:cs="Times New Roman"/>
          <w:sz w:val="20"/>
          <w:szCs w:val="20"/>
        </w:rPr>
        <w:t>Fonte: Elaborado pelo autor</w:t>
      </w:r>
    </w:p>
    <w:p>
      <w:pPr>
        <w:pStyle w:val="Normal"/>
        <w:spacing w:lineRule="auto" w:line="360" w:before="0" w:after="0"/>
        <w:jc w:val="center"/>
        <w:rPr>
          <w:rFonts w:ascii="Times New Roman" w:hAnsi="Times New Roman" w:eastAsia="Times New Roman" w:cs="Times New Roman"/>
          <w:sz w:val="20"/>
          <w:szCs w:val="20"/>
        </w:rPr>
      </w:pPr>
      <w:r>
        <w:rPr>
          <w:rFonts w:eastAsia="Times New Roman" w:cs="Times New Roman"/>
          <w:sz w:val="20"/>
          <w:szCs w:val="20"/>
        </w:rPr>
      </w:r>
    </w:p>
    <w:p>
      <w:pPr>
        <w:pStyle w:val="Heading2"/>
        <w:spacing w:lineRule="auto" w:line="360" w:before="0" w:after="0"/>
        <w:rPr>
          <w:rFonts w:ascii="Times New Roman" w:hAnsi="Times New Roman" w:eastAsia="Times New Roman" w:cs="Times New Roman"/>
          <w:color w:themeColor="text1" w:val="000000"/>
          <w:sz w:val="28"/>
          <w:szCs w:val="28"/>
        </w:rPr>
      </w:pPr>
      <w:bookmarkStart w:id="166" w:name="_Toc242269315"/>
      <w:bookmarkStart w:id="167" w:name="_Toc242269234"/>
      <w:bookmarkStart w:id="168" w:name="_Toc242269155"/>
      <w:bookmarkStart w:id="169" w:name="_Toc229596853"/>
      <w:bookmarkStart w:id="170" w:name="_Toc229935458"/>
      <w:r>
        <w:rPr>
          <w:rFonts w:eastAsia="Times New Roman" w:cs="Times New Roman" w:ascii="Times New Roman" w:hAnsi="Times New Roman"/>
          <w:color w:themeColor="text1" w:val="000000"/>
          <w:sz w:val="28"/>
          <w:szCs w:val="28"/>
        </w:rPr>
        <w:t>3.2 A execução da pesquisa</w:t>
      </w:r>
      <w:bookmarkEnd w:id="166"/>
      <w:bookmarkEnd w:id="167"/>
      <w:bookmarkEnd w:id="168"/>
      <w:bookmarkEnd w:id="169"/>
      <w:bookmarkEnd w:id="170"/>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execução da pesquisa operacionaliza o método definido em fases lógicas e sequenciais, relacionadas aos objetivos do estudo, de modo que o desenvolvimento do artefato computacional seja rastreável e auditável.</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execução divide-se em três fases macro, que se interconectam e retroalimentam de forma iterativa.</w:t>
      </w:r>
    </w:p>
    <w:p>
      <w:pPr>
        <w:pStyle w:val="Normal"/>
        <w:spacing w:lineRule="auto" w:line="360" w:before="0" w:after="0"/>
        <w:ind w:hanging="360" w:left="720"/>
        <w:jc w:val="both"/>
        <w:rPr>
          <w:rFonts w:ascii="Times New Roman" w:hAnsi="Times New Roman" w:eastAsia="Times New Roman" w:cs="Times New Roman"/>
          <w:color w:val="EE0000"/>
          <w:sz w:val="24"/>
          <w:szCs w:val="24"/>
        </w:rPr>
      </w:pPr>
      <w:r>
        <w:rPr>
          <w:rFonts w:eastAsia="Times New Roman" w:cs="Times New Roman"/>
          <w:color w:themeColor="text1" w:val="000000"/>
          <w:sz w:val="24"/>
          <w:szCs w:val="24"/>
        </w:rPr>
        <w:t>•</w:t>
      </w:r>
      <w:r>
        <w:rPr>
          <w:rFonts w:eastAsia="Times New Roman" w:cs="Times New Roman"/>
          <w:color w:themeColor="text1" w:val="000000"/>
          <w:sz w:val="24"/>
          <w:szCs w:val="24"/>
        </w:rPr>
        <w:tab/>
        <w:t xml:space="preserve">A </w:t>
      </w:r>
      <w:r>
        <w:rPr>
          <w:rFonts w:eastAsia="Times New Roman" w:cs="Times New Roman"/>
          <w:b/>
          <w:bCs/>
          <w:color w:themeColor="text1" w:val="000000"/>
          <w:sz w:val="24"/>
          <w:szCs w:val="24"/>
        </w:rPr>
        <w:t>Fase 1: Imersão bilbliográfica</w:t>
      </w:r>
      <w:r>
        <w:rPr>
          <w:rFonts w:eastAsia="Times New Roman" w:cs="Times New Roman"/>
          <w:color w:themeColor="text1" w:val="000000"/>
          <w:sz w:val="24"/>
          <w:szCs w:val="24"/>
        </w:rPr>
        <w:t xml:space="preserve"> está ligada ao objetivo de compreender as demandas do setor de piscicultura e as lacunas teóricas na integração das dimensões ESG, por meio da revisão sistemática da literatura, fornecendo a base de conhecimento para que o </w:t>
      </w:r>
      <w:r>
        <w:rPr>
          <w:rFonts w:eastAsia="Times New Roman" w:cs="Times New Roman"/>
          <w:i/>
          <w:iCs/>
          <w:color w:themeColor="text1" w:val="000000"/>
          <w:sz w:val="24"/>
          <w:szCs w:val="24"/>
        </w:rPr>
        <w:t>design</w:t>
      </w:r>
      <w:r>
        <w:rPr>
          <w:rFonts w:eastAsia="Times New Roman" w:cs="Times New Roman"/>
          <w:color w:themeColor="text1" w:val="000000"/>
          <w:sz w:val="24"/>
          <w:szCs w:val="24"/>
        </w:rPr>
        <w:t xml:space="preserve"> do artefato seja ancorado nas necessidades do mundo real.</w:t>
      </w:r>
    </w:p>
    <w:p>
      <w:pPr>
        <w:pStyle w:val="Normal"/>
        <w:spacing w:lineRule="auto" w:line="360" w:before="0" w:after="0"/>
        <w:ind w:hanging="360" w:left="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w:t>
      </w:r>
      <w:r>
        <w:rPr>
          <w:rFonts w:eastAsia="Times New Roman" w:cs="Times New Roman"/>
          <w:color w:themeColor="text1" w:val="000000"/>
          <w:sz w:val="24"/>
          <w:szCs w:val="24"/>
        </w:rPr>
        <w:tab/>
        <w:t xml:space="preserve">A </w:t>
      </w:r>
      <w:r>
        <w:rPr>
          <w:rFonts w:eastAsia="Times New Roman" w:cs="Times New Roman"/>
          <w:b/>
          <w:bCs/>
          <w:color w:themeColor="text1" w:val="000000"/>
          <w:sz w:val="24"/>
          <w:szCs w:val="24"/>
        </w:rPr>
        <w:t xml:space="preserve">Fase 2: O ciclo da </w:t>
      </w:r>
      <w:r>
        <w:rPr>
          <w:rFonts w:eastAsia="Times New Roman" w:cs="Times New Roman"/>
          <w:b/>
          <w:bCs/>
          <w:i/>
          <w:iCs/>
          <w:color w:themeColor="text1" w:val="000000"/>
          <w:sz w:val="24"/>
          <w:szCs w:val="24"/>
        </w:rPr>
        <w:t>Design Science Research</w:t>
      </w:r>
      <w:r>
        <w:rPr>
          <w:rFonts w:eastAsia="Times New Roman" w:cs="Times New Roman"/>
          <w:b/>
          <w:bCs/>
          <w:color w:themeColor="text1" w:val="000000"/>
          <w:sz w:val="24"/>
          <w:szCs w:val="24"/>
        </w:rPr>
        <w:t xml:space="preserve"> (DSR)</w:t>
      </w:r>
      <w:r>
        <w:rPr>
          <w:rFonts w:eastAsia="Times New Roman" w:cs="Times New Roman"/>
          <w:color w:themeColor="text1" w:val="000000"/>
          <w:sz w:val="24"/>
          <w:szCs w:val="24"/>
        </w:rPr>
        <w:t xml:space="preserve"> distingue-se por seu compromisso prescritivo: projetar artefatos que modifiquem a realidade em direção a um estado desejado, gerando regras tecnológicas generalizáveis (Dresch; Lacerda; Antunes Jr., 2015). Em doze passos, o ciclo articula identificação do problema, sugestão de design, desenvolvimento, avaliação e conclusão, consolidando o EVTEAS-Py como contribuição científica prescritiva.</w:t>
      </w:r>
    </w:p>
    <w:p>
      <w:pPr>
        <w:pStyle w:val="Normal"/>
        <w:spacing w:lineRule="auto" w:line="360" w:before="0" w:after="0"/>
        <w:ind w:hanging="360" w:left="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w:t>
      </w:r>
      <w:r>
        <w:rPr>
          <w:rFonts w:eastAsia="Times New Roman" w:cs="Times New Roman"/>
          <w:color w:themeColor="text1" w:val="000000"/>
          <w:sz w:val="24"/>
          <w:szCs w:val="24"/>
        </w:rPr>
        <w:tab/>
        <w:t xml:space="preserve">A </w:t>
      </w:r>
      <w:r>
        <w:rPr>
          <w:rFonts w:eastAsia="Times New Roman" w:cs="Times New Roman"/>
          <w:b/>
          <w:bCs/>
          <w:color w:themeColor="text1" w:val="000000"/>
          <w:sz w:val="24"/>
          <w:szCs w:val="24"/>
        </w:rPr>
        <w:t>Fase 3:</w:t>
      </w:r>
      <w:r>
        <w:rPr>
          <w:rFonts w:eastAsia="Times New Roman" w:cs="Times New Roman"/>
          <w:color w:themeColor="text1" w:val="000000"/>
          <w:sz w:val="24"/>
          <w:szCs w:val="24"/>
        </w:rPr>
        <w:t xml:space="preserve"> </w:t>
      </w:r>
      <w:r>
        <w:rPr>
          <w:rFonts w:eastAsia="Times New Roman" w:cs="Times New Roman"/>
          <w:b/>
          <w:bCs/>
          <w:color w:themeColor="text1" w:val="000000"/>
          <w:sz w:val="24"/>
          <w:szCs w:val="24"/>
        </w:rPr>
        <w:t>Verificação, Validação (V&amp;V)</w:t>
      </w:r>
      <w:r>
        <w:rPr>
          <w:rFonts w:eastAsia="Times New Roman" w:cs="Times New Roman"/>
          <w:color w:themeColor="text1" w:val="000000"/>
          <w:sz w:val="24"/>
          <w:szCs w:val="24"/>
        </w:rPr>
        <w:t xml:space="preserve"> vincula-se ao objetivo de atestar a robustez e a aplicabilidade da ferramenta construída. Nesta fase, o código Python é submetido a auditorias sintáticas e lógicas (Verificação), para atestar se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está sendo construído corretamente (Boehm, 1984), e à apreciação de dois especialistas, um em desenvolvimento de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 outro em piscicultura, para avaliar se o artefato resolve o problema certo no ambiente de destino (Validação), conforme Ryan e Wheatcraft (2017). Os retornos geram relatórios de anomalias e sugestões de melhoria que retroalimentam a Fase 2 até a maturidade do artefato.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2"/>
        <w:spacing w:lineRule="auto" w:line="360" w:before="0" w:after="0"/>
        <w:rPr>
          <w:rFonts w:ascii="Times New Roman" w:hAnsi="Times New Roman" w:eastAsia="Times New Roman" w:cs="Times New Roman"/>
          <w:color w:themeColor="text1" w:val="000000"/>
          <w:sz w:val="28"/>
          <w:szCs w:val="28"/>
        </w:rPr>
      </w:pPr>
      <w:bookmarkStart w:id="171" w:name="_Toc242269316"/>
      <w:bookmarkStart w:id="172" w:name="_Toc242269235"/>
      <w:bookmarkStart w:id="173" w:name="_Toc242269156"/>
      <w:bookmarkStart w:id="174" w:name="_Toc229935459"/>
      <w:bookmarkStart w:id="175" w:name="_Toc229596854"/>
      <w:r>
        <w:rPr>
          <w:rFonts w:eastAsia="Times New Roman" w:cs="Times New Roman" w:ascii="Times New Roman" w:hAnsi="Times New Roman"/>
          <w:color w:themeColor="text1" w:val="000000"/>
          <w:sz w:val="28"/>
          <w:szCs w:val="28"/>
        </w:rPr>
        <w:t>3.3 Detalhamento metodológico</w:t>
      </w:r>
      <w:bookmarkEnd w:id="171"/>
      <w:bookmarkEnd w:id="172"/>
      <w:bookmarkEnd w:id="173"/>
      <w:bookmarkEnd w:id="174"/>
      <w:bookmarkEnd w:id="175"/>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 detalhamento metodológico divide-se em etapas interdependentes: a revisão bibliográfica e sistemática da literatura, o ciclo de doze etapas da </w:t>
      </w:r>
      <w:r>
        <w:rPr>
          <w:rFonts w:eastAsia="Times New Roman" w:cs="Times New Roman"/>
          <w:i/>
          <w:iCs/>
          <w:color w:themeColor="text1" w:val="000000"/>
          <w:sz w:val="24"/>
          <w:szCs w:val="24"/>
        </w:rPr>
        <w:t>Design Science Research</w:t>
      </w:r>
      <w:r>
        <w:rPr>
          <w:rFonts w:eastAsia="Times New Roman" w:cs="Times New Roman"/>
          <w:color w:themeColor="text1" w:val="000000"/>
          <w:sz w:val="24"/>
          <w:szCs w:val="24"/>
        </w:rPr>
        <w:t xml:space="preserve"> e os procedimentos de Verificação e Validação.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0" w:after="0"/>
        <w:rPr>
          <w:rFonts w:ascii="Times New Roman" w:hAnsi="Times New Roman" w:eastAsia="Times New Roman" w:cs="Times New Roman"/>
          <w:color w:themeColor="text1" w:val="000000"/>
          <w:sz w:val="26"/>
          <w:szCs w:val="26"/>
        </w:rPr>
      </w:pPr>
      <w:bookmarkStart w:id="176" w:name="_Toc242269317"/>
      <w:bookmarkStart w:id="177" w:name="_Toc242269236"/>
      <w:bookmarkStart w:id="178" w:name="_Toc242269157"/>
      <w:bookmarkStart w:id="179" w:name="_Toc229596855"/>
      <w:bookmarkStart w:id="180" w:name="_Toc229935460"/>
      <w:r>
        <w:rPr>
          <w:rFonts w:eastAsia="Times New Roman" w:cs="Times New Roman"/>
          <w:color w:themeColor="text1" w:val="000000"/>
          <w:sz w:val="26"/>
          <w:szCs w:val="26"/>
        </w:rPr>
        <w:t xml:space="preserve">3.3.1 O ciclo estruturado da </w:t>
      </w:r>
      <w:r>
        <w:rPr>
          <w:rFonts w:eastAsia="Times New Roman" w:cs="Times New Roman"/>
          <w:i/>
          <w:iCs/>
          <w:color w:themeColor="text1" w:val="000000"/>
          <w:sz w:val="26"/>
          <w:szCs w:val="26"/>
        </w:rPr>
        <w:t>Design Science Research</w:t>
      </w:r>
      <w:r>
        <w:rPr>
          <w:rFonts w:eastAsia="Times New Roman" w:cs="Times New Roman"/>
          <w:color w:themeColor="text1" w:val="000000"/>
          <w:sz w:val="26"/>
          <w:szCs w:val="26"/>
        </w:rPr>
        <w:t xml:space="preserve"> (DSR)</w:t>
      </w:r>
      <w:bookmarkEnd w:id="176"/>
      <w:bookmarkEnd w:id="177"/>
      <w:bookmarkEnd w:id="178"/>
      <w:bookmarkEnd w:id="179"/>
      <w:bookmarkEnd w:id="180"/>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w:t>
      </w:r>
      <w:r>
        <w:rPr>
          <w:rFonts w:eastAsia="Times New Roman" w:cs="Times New Roman"/>
          <w:i/>
          <w:iCs/>
          <w:color w:themeColor="text1" w:val="000000"/>
          <w:sz w:val="24"/>
          <w:szCs w:val="24"/>
        </w:rPr>
        <w:t>Design Science Research</w:t>
      </w:r>
      <w:r>
        <w:rPr>
          <w:rFonts w:eastAsia="Times New Roman" w:cs="Times New Roman"/>
          <w:color w:themeColor="text1" w:val="000000"/>
          <w:sz w:val="24"/>
          <w:szCs w:val="24"/>
        </w:rPr>
        <w:t xml:space="preserve"> postula que a compreensão de um problema não é suficiente: a ciência deve prover os meios para resolvê-lo, gerando regras tecnológicas testadas e artefatos prescritivos com relevância direta para a prática organizacional (Dresch; Lacerda; Antunes Jr., 2015).</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Para fundamentar a superioridade do artefato proposto em relação às soluções concorrentes, a pesquisa adota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conceitual proposto por Wazlawick (2009). O autor classifica a proposição de frameworks como uma contribuição legítima da Ciência da Computação, desde que o pesquisador demonstre, mediante revisão bibliográfica sistemática e tabela comparativa, a existência de propriedades inéditas ou de uma combinação inédita de propriedades em relação a artefatos preexistentes. O EVTEAS-Py enquadra-se nesta segunda hipótese: a originalidade reside na composição integrada de simulação estocástica, ponderação de matrizes ESG e arquitetura em nuvem em um único artefato.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pesquisa adota as 12 etapas iterativas da DSR propostas por Dresch, Lacerda e Antunes Jr. (2015):</w:t>
      </w:r>
    </w:p>
    <w:p>
      <w:pPr>
        <w:pStyle w:val="Normal"/>
        <w:spacing w:lineRule="auto" w:line="360" w:before="0" w:after="0"/>
        <w:ind w:hanging="360" w:left="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w:t>
      </w:r>
      <w:r>
        <w:rPr>
          <w:rFonts w:eastAsia="Times New Roman" w:cs="Times New Roman"/>
          <w:color w:themeColor="text1" w:val="000000"/>
          <w:sz w:val="24"/>
          <w:szCs w:val="24"/>
        </w:rPr>
        <w:tab/>
      </w:r>
      <w:r>
        <w:rPr>
          <w:rFonts w:eastAsia="Times New Roman" w:cs="Times New Roman"/>
          <w:b/>
          <w:bCs/>
          <w:color w:themeColor="text1" w:val="000000"/>
          <w:sz w:val="24"/>
          <w:szCs w:val="24"/>
        </w:rPr>
        <w:t>Etapa 1: Identificação do problema</w:t>
      </w:r>
      <w:r>
        <w:rPr>
          <w:rFonts w:eastAsia="Times New Roman" w:cs="Times New Roman"/>
          <w:color w:themeColor="text1" w:val="000000"/>
          <w:sz w:val="24"/>
          <w:szCs w:val="24"/>
        </w:rPr>
        <w:t>. Identifica-se que os produtores e investidores do setor de piscicultura carecem de instrumentos sistemáticos para avaliar de forma integrada a viabilidade de seus empreendimentos. Os modelos tradicionais restringem-se ao retorno financeiro imediato, negligenciando falhas sistêmicas originadas por violações ambientais ou pela falta de licença social comunitária.</w:t>
      </w:r>
    </w:p>
    <w:p>
      <w:pPr>
        <w:pStyle w:val="Normal"/>
        <w:spacing w:lineRule="auto" w:line="360" w:before="0" w:after="0"/>
        <w:ind w:hanging="360" w:left="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w:t>
      </w:r>
      <w:r>
        <w:rPr>
          <w:rFonts w:eastAsia="Times New Roman" w:cs="Times New Roman"/>
          <w:color w:themeColor="text1" w:val="000000"/>
          <w:sz w:val="24"/>
          <w:szCs w:val="24"/>
        </w:rPr>
        <w:tab/>
      </w:r>
      <w:r>
        <w:rPr>
          <w:rFonts w:eastAsia="Times New Roman" w:cs="Times New Roman"/>
          <w:b/>
          <w:bCs/>
          <w:color w:themeColor="text1" w:val="000000"/>
          <w:sz w:val="24"/>
          <w:szCs w:val="24"/>
        </w:rPr>
        <w:t>Etapa 2: Compreensão do problema</w:t>
      </w:r>
      <w:r>
        <w:rPr>
          <w:rFonts w:eastAsia="Times New Roman" w:cs="Times New Roman"/>
          <w:color w:themeColor="text1" w:val="000000"/>
          <w:sz w:val="24"/>
          <w:szCs w:val="24"/>
        </w:rPr>
        <w:t>. Compreende-se que a dificuldade de integrar variáveis tão dissimilares (custos de ração vs. impacto de efluentes vs. aceitação comunitária) decorre da ausência de modelos heurísticos capazes de ponderar dados exatos e critérios qualitativos de forma coesa. Define-se que uma solução computacional dotada de algoritmos de simulação e interfaces amigáveis poderá mitigar a dor dos tomadores de decisão.</w:t>
      </w:r>
    </w:p>
    <w:p>
      <w:pPr>
        <w:pStyle w:val="Normal"/>
        <w:spacing w:lineRule="auto" w:line="360" w:before="0" w:after="0"/>
        <w:ind w:hanging="360" w:left="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w:t>
      </w:r>
      <w:r>
        <w:rPr>
          <w:rFonts w:eastAsia="Times New Roman" w:cs="Times New Roman"/>
          <w:color w:themeColor="text1" w:val="000000"/>
          <w:sz w:val="24"/>
          <w:szCs w:val="24"/>
        </w:rPr>
        <w:tab/>
      </w:r>
      <w:r>
        <w:rPr>
          <w:rFonts w:eastAsia="Times New Roman" w:cs="Times New Roman"/>
          <w:b/>
          <w:bCs/>
          <w:color w:themeColor="text1" w:val="000000"/>
          <w:sz w:val="24"/>
          <w:szCs w:val="24"/>
        </w:rPr>
        <w:t>Etapa 3: Revisão Sistemática da Literatura e levantamento bibliográfico.</w:t>
      </w:r>
      <w:r>
        <w:rPr>
          <w:rFonts w:eastAsia="Times New Roman" w:cs="Times New Roman"/>
          <w:color w:themeColor="text1" w:val="000000"/>
          <w:sz w:val="24"/>
          <w:szCs w:val="24"/>
        </w:rPr>
        <w:t xml:space="preserve"> Consultam-se as bases de conhecimento das ciências tradicionais e da ciência do </w:t>
      </w:r>
      <w:r>
        <w:rPr>
          <w:rFonts w:eastAsia="Times New Roman" w:cs="Times New Roman"/>
          <w:i/>
          <w:iCs/>
          <w:color w:themeColor="text1" w:val="000000"/>
          <w:sz w:val="24"/>
          <w:szCs w:val="24"/>
        </w:rPr>
        <w:t>design</w:t>
      </w:r>
      <w:r>
        <w:rPr>
          <w:rFonts w:eastAsia="Times New Roman" w:cs="Times New Roman"/>
          <w:color w:themeColor="text1" w:val="000000"/>
          <w:sz w:val="24"/>
          <w:szCs w:val="24"/>
        </w:rPr>
        <w:t xml:space="preserve"> para mapear teorias fundamentais sobre aquicultura, economia, sustentabilidade e governança (ESG), bem como para identificar </w:t>
      </w:r>
      <w:r>
        <w:rPr>
          <w:rFonts w:eastAsia="Times New Roman" w:cs="Times New Roman"/>
          <w:i/>
          <w:iCs/>
          <w:color w:themeColor="text1" w:val="000000"/>
          <w:sz w:val="24"/>
          <w:szCs w:val="24"/>
        </w:rPr>
        <w:t>frameworks</w:t>
      </w:r>
      <w:r>
        <w:rPr>
          <w:rFonts w:eastAsia="Times New Roman" w:cs="Times New Roman"/>
          <w:color w:themeColor="text1" w:val="000000"/>
          <w:sz w:val="24"/>
          <w:szCs w:val="24"/>
        </w:rPr>
        <w:t xml:space="preserve"> de </w:t>
      </w:r>
      <w:r>
        <w:rPr>
          <w:rFonts w:eastAsia="Times New Roman" w:cs="Times New Roman"/>
          <w:i/>
          <w:iCs/>
          <w:color w:themeColor="text1" w:val="000000"/>
          <w:sz w:val="24"/>
          <w:szCs w:val="24"/>
        </w:rPr>
        <w:t>software</w:t>
      </w:r>
      <w:r>
        <w:rPr>
          <w:rFonts w:eastAsia="Times New Roman" w:cs="Times New Roman"/>
          <w:color w:themeColor="text1" w:val="000000"/>
          <w:sz w:val="24"/>
          <w:szCs w:val="24"/>
        </w:rPr>
        <w:t xml:space="preserve"> preexistentes.</w:t>
      </w:r>
    </w:p>
    <w:p>
      <w:pPr>
        <w:pStyle w:val="Normal"/>
        <w:spacing w:lineRule="auto" w:line="360" w:before="0" w:after="0"/>
        <w:ind w:hanging="360" w:left="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w:t>
      </w:r>
      <w:r>
        <w:rPr>
          <w:rFonts w:eastAsia="Times New Roman" w:cs="Times New Roman"/>
          <w:color w:themeColor="text1" w:val="000000"/>
          <w:sz w:val="24"/>
          <w:szCs w:val="24"/>
        </w:rPr>
        <w:tab/>
      </w:r>
      <w:r>
        <w:rPr>
          <w:rFonts w:eastAsia="Times New Roman" w:cs="Times New Roman"/>
          <w:b/>
          <w:bCs/>
          <w:color w:themeColor="text1" w:val="000000"/>
          <w:sz w:val="24"/>
          <w:szCs w:val="24"/>
        </w:rPr>
        <w:t>Etapa 4: Identificação de artefatos e configuração das classes de problemas.</w:t>
      </w:r>
      <w:r>
        <w:rPr>
          <w:rFonts w:eastAsia="Times New Roman" w:cs="Times New Roman"/>
          <w:color w:themeColor="text1" w:val="000000"/>
          <w:sz w:val="24"/>
          <w:szCs w:val="24"/>
        </w:rPr>
        <w:t xml:space="preserve"> Os resultados da revisão bibliográfica permitem classificar o problema estudado dentro de uma "classe de problemas" mais ampla, qual seja: "modelagem de suporte à decisão multicritério sob incerteza em agroindústrias". Identificam-se artefatos prévios e analisa-se por que eles falham em resolver plenamente a questão, seja por falta de integração em nuvem, por deficiência na simulação estocástica ou por negligenciarem as dimensões ESG.</w:t>
      </w:r>
    </w:p>
    <w:p>
      <w:pPr>
        <w:pStyle w:val="Normal"/>
        <w:spacing w:lineRule="auto" w:line="360" w:before="0" w:after="0"/>
        <w:ind w:hanging="360" w:left="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w:t>
      </w:r>
      <w:r>
        <w:rPr>
          <w:rFonts w:eastAsia="Times New Roman" w:cs="Times New Roman"/>
          <w:color w:themeColor="text1" w:val="000000"/>
          <w:sz w:val="24"/>
          <w:szCs w:val="24"/>
        </w:rPr>
        <w:tab/>
      </w:r>
      <w:r>
        <w:rPr>
          <w:rFonts w:eastAsia="Times New Roman" w:cs="Times New Roman"/>
          <w:b/>
          <w:bCs/>
          <w:color w:themeColor="text1" w:val="000000"/>
          <w:sz w:val="24"/>
          <w:szCs w:val="24"/>
        </w:rPr>
        <w:t>Etapa 5: Proposição do artefato</w:t>
      </w:r>
      <w:r>
        <w:rPr>
          <w:rFonts w:eastAsia="Times New Roman" w:cs="Times New Roman"/>
          <w:color w:themeColor="text1" w:val="000000"/>
          <w:sz w:val="24"/>
          <w:szCs w:val="24"/>
        </w:rPr>
        <w:t xml:space="preserve">. Propõe-se a criação do EVTEAS-Py, definido como um artefato do tipo </w:t>
      </w:r>
      <w:r>
        <w:rPr>
          <w:rFonts w:eastAsia="Times New Roman" w:cs="Times New Roman"/>
          <w:i/>
          <w:iCs/>
          <w:color w:themeColor="text1" w:val="000000"/>
          <w:sz w:val="24"/>
          <w:szCs w:val="24"/>
        </w:rPr>
        <w:t>instanciação</w:t>
      </w:r>
      <w:r>
        <w:rPr>
          <w:rFonts w:eastAsia="Times New Roman" w:cs="Times New Roman"/>
          <w:color w:themeColor="text1" w:val="000000"/>
          <w:sz w:val="24"/>
          <w:szCs w:val="24"/>
        </w:rPr>
        <w:t xml:space="preserve"> (um sistema de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operante) conjugado a um </w:t>
      </w:r>
      <w:r>
        <w:rPr>
          <w:rFonts w:eastAsia="Times New Roman" w:cs="Times New Roman"/>
          <w:i/>
          <w:iCs/>
          <w:color w:themeColor="text1" w:val="000000"/>
          <w:sz w:val="24"/>
          <w:szCs w:val="24"/>
        </w:rPr>
        <w:t>modelo</w:t>
      </w:r>
      <w:r>
        <w:rPr>
          <w:rFonts w:eastAsia="Times New Roman" w:cs="Times New Roman"/>
          <w:color w:themeColor="text1" w:val="000000"/>
          <w:sz w:val="24"/>
          <w:szCs w:val="24"/>
        </w:rPr>
        <w:t xml:space="preserve"> (uma representação matemática da viabilidade). A proposição estabelece os requisitos de alto nível: a ferramenta deve ser processada em Python, capaz de traduzir inputs qualitativos em métricas de risco financeiro.</w:t>
      </w:r>
    </w:p>
    <w:p>
      <w:pPr>
        <w:pStyle w:val="Normal"/>
        <w:spacing w:lineRule="auto" w:line="360" w:before="0" w:after="0"/>
        <w:ind w:hanging="360" w:left="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w:t>
      </w:r>
      <w:r>
        <w:rPr>
          <w:rFonts w:eastAsia="Times New Roman" w:cs="Times New Roman"/>
          <w:color w:themeColor="text1" w:val="000000"/>
          <w:sz w:val="24"/>
          <w:szCs w:val="24"/>
        </w:rPr>
        <w:tab/>
      </w:r>
      <w:r>
        <w:rPr>
          <w:rFonts w:eastAsia="Times New Roman" w:cs="Times New Roman"/>
          <w:b/>
          <w:bCs/>
          <w:color w:themeColor="text1" w:val="000000"/>
          <w:sz w:val="24"/>
          <w:szCs w:val="24"/>
        </w:rPr>
        <w:t xml:space="preserve">Etapa 6: </w:t>
      </w:r>
      <w:r>
        <w:rPr>
          <w:rFonts w:eastAsia="Times New Roman" w:cs="Times New Roman"/>
          <w:b/>
          <w:bCs/>
          <w:i/>
          <w:iCs/>
          <w:color w:themeColor="text1" w:val="000000"/>
          <w:sz w:val="24"/>
          <w:szCs w:val="24"/>
        </w:rPr>
        <w:t>Design</w:t>
      </w:r>
      <w:r>
        <w:rPr>
          <w:rFonts w:eastAsia="Times New Roman" w:cs="Times New Roman"/>
          <w:b/>
          <w:bCs/>
          <w:color w:themeColor="text1" w:val="000000"/>
          <w:sz w:val="24"/>
          <w:szCs w:val="24"/>
        </w:rPr>
        <w:t xml:space="preserve"> do artefato</w:t>
      </w:r>
      <w:r>
        <w:rPr>
          <w:rFonts w:eastAsia="Times New Roman" w:cs="Times New Roman"/>
          <w:color w:themeColor="text1" w:val="000000"/>
          <w:sz w:val="24"/>
          <w:szCs w:val="24"/>
        </w:rPr>
        <w:t xml:space="preserve">. O </w:t>
      </w:r>
      <w:r>
        <w:rPr>
          <w:rFonts w:eastAsia="Times New Roman" w:cs="Times New Roman"/>
          <w:i/>
          <w:iCs/>
          <w:color w:themeColor="text1" w:val="000000"/>
          <w:sz w:val="24"/>
          <w:szCs w:val="24"/>
        </w:rPr>
        <w:t>design</w:t>
      </w:r>
      <w:r>
        <w:rPr>
          <w:rFonts w:eastAsia="Times New Roman" w:cs="Times New Roman"/>
          <w:color w:themeColor="text1" w:val="000000"/>
          <w:sz w:val="24"/>
          <w:szCs w:val="24"/>
        </w:rPr>
        <w:t xml:space="preserve"> engloba a definição das estruturas de dados, das bibliotecas matemáticas que serão empregadas, a interface de interação com o usuário e a lógica de fluxos do programa. O pesquisador mapeia como as variáveis técnicas (tamanho de tanques), econômicas (preço da ração), ambientais (emissões) e sociais (geração de postos de trabalhos) serão parametrizadas e interligadas no núcleo de processamento 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w:t>
      </w:r>
    </w:p>
    <w:p>
      <w:pPr>
        <w:pStyle w:val="Normal"/>
        <w:spacing w:lineRule="auto" w:line="360" w:before="0" w:after="0"/>
        <w:ind w:hanging="360" w:left="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w:t>
      </w:r>
      <w:r>
        <w:rPr>
          <w:rFonts w:eastAsia="Times New Roman" w:cs="Times New Roman"/>
          <w:color w:themeColor="text1" w:val="000000"/>
          <w:sz w:val="24"/>
          <w:szCs w:val="24"/>
        </w:rPr>
        <w:tab/>
      </w:r>
      <w:r>
        <w:rPr>
          <w:rFonts w:eastAsia="Times New Roman" w:cs="Times New Roman"/>
          <w:b/>
          <w:bCs/>
          <w:color w:themeColor="text1" w:val="000000"/>
          <w:sz w:val="24"/>
          <w:szCs w:val="24"/>
        </w:rPr>
        <w:t>Etapa 7: Desenvolvimento do artefato.</w:t>
      </w:r>
      <w:r>
        <w:rPr>
          <w:rFonts w:eastAsia="Times New Roman" w:cs="Times New Roman"/>
          <w:color w:themeColor="text1" w:val="000000"/>
          <w:sz w:val="24"/>
          <w:szCs w:val="24"/>
        </w:rPr>
        <w:t xml:space="preserve"> O design é convertido em código-fonte operacional. A construção em Python exige ciclos iterativos de programação, compilação e depuração. As heurísticas concebidas na etapa de design são programadas rigorosamente, garantindo que o sistema seja capaz de rodar as simulações e apresentar os resultados por meio de </w:t>
      </w:r>
      <w:r>
        <w:rPr>
          <w:rFonts w:eastAsia="Times New Roman" w:cs="Times New Roman"/>
          <w:i/>
          <w:iCs/>
          <w:color w:themeColor="text1" w:val="000000"/>
          <w:sz w:val="24"/>
          <w:szCs w:val="24"/>
        </w:rPr>
        <w:t>dashboards</w:t>
      </w:r>
      <w:r>
        <w:rPr>
          <w:rFonts w:eastAsia="Times New Roman" w:cs="Times New Roman"/>
          <w:color w:themeColor="text1" w:val="000000"/>
          <w:sz w:val="24"/>
          <w:szCs w:val="24"/>
        </w:rPr>
        <w:t xml:space="preserve"> de viabilidade integrada.</w:t>
      </w:r>
    </w:p>
    <w:p>
      <w:pPr>
        <w:pStyle w:val="Normal"/>
        <w:spacing w:lineRule="auto" w:line="360" w:before="0" w:after="0"/>
        <w:ind w:hanging="360" w:left="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w:t>
      </w:r>
      <w:r>
        <w:rPr>
          <w:rFonts w:eastAsia="Times New Roman" w:cs="Times New Roman"/>
          <w:color w:themeColor="text1" w:val="000000"/>
          <w:sz w:val="24"/>
          <w:szCs w:val="24"/>
        </w:rPr>
        <w:tab/>
      </w:r>
      <w:r>
        <w:rPr>
          <w:rFonts w:eastAsia="Times New Roman" w:cs="Times New Roman"/>
          <w:b/>
          <w:bCs/>
          <w:color w:themeColor="text1" w:val="000000"/>
          <w:sz w:val="24"/>
          <w:szCs w:val="24"/>
        </w:rPr>
        <w:t>Etapa 8: Avaliação do Artefato.</w:t>
      </w:r>
      <w:r>
        <w:rPr>
          <w:rFonts w:eastAsia="Times New Roman" w:cs="Times New Roman"/>
          <w:color w:themeColor="text1" w:val="000000"/>
          <w:sz w:val="24"/>
          <w:szCs w:val="24"/>
        </w:rPr>
        <w:t xml:space="preserve"> O protótipo é avaliado para verificar se os requisitos estabelecidos na Etapa 5 foram satisfeitos. O artefato é avaliado não apenas em sua capacidade de não falhar (ausência de bugs), mas principalmente em sua utilidade prática. O desempenho do EVTEAS-Py é testado por meio da inserção de dados reais ou simulados de cenários de piscicultura, verificando-se a coerência dos relatórios gerados. Os procedimentos específicos desta etapa encontram-se pormenorizados na Seção 3.3.2.</w:t>
      </w:r>
    </w:p>
    <w:p>
      <w:pPr>
        <w:pStyle w:val="Normal"/>
        <w:spacing w:lineRule="auto" w:line="360" w:before="0" w:after="0"/>
        <w:ind w:hanging="360" w:left="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w:t>
      </w:r>
      <w:r>
        <w:rPr>
          <w:rFonts w:eastAsia="Times New Roman" w:cs="Times New Roman"/>
          <w:color w:themeColor="text1" w:val="000000"/>
          <w:sz w:val="24"/>
          <w:szCs w:val="24"/>
        </w:rPr>
        <w:tab/>
      </w:r>
      <w:r>
        <w:rPr>
          <w:rFonts w:eastAsia="Times New Roman" w:cs="Times New Roman"/>
          <w:b/>
          <w:bCs/>
          <w:color w:themeColor="text1" w:val="000000"/>
          <w:sz w:val="24"/>
          <w:szCs w:val="24"/>
        </w:rPr>
        <w:t>Etapa 9: Explicitação das aprendizagens.</w:t>
      </w:r>
      <w:r>
        <w:rPr>
          <w:rFonts w:eastAsia="Times New Roman" w:cs="Times New Roman"/>
          <w:color w:themeColor="text1" w:val="000000"/>
          <w:sz w:val="24"/>
          <w:szCs w:val="24"/>
        </w:rPr>
        <w:t xml:space="preserve"> A DSR exige a documentação reflexiva das lições colhidas durante a jornada construtiva. O pesquisador explicita formalmente as dificuldades encontradas na integração de algoritmos de risco com matrizes qualitativas ESG, os erros lógicos superados e os fatores determinantes para o sucesso da proposição.</w:t>
      </w:r>
    </w:p>
    <w:p>
      <w:pPr>
        <w:pStyle w:val="Normal"/>
        <w:spacing w:lineRule="auto" w:line="360" w:before="0" w:after="0"/>
        <w:ind w:hanging="360" w:left="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w:t>
      </w:r>
      <w:r>
        <w:rPr>
          <w:rFonts w:eastAsia="Times New Roman" w:cs="Times New Roman"/>
          <w:color w:themeColor="text1" w:val="000000"/>
          <w:sz w:val="24"/>
          <w:szCs w:val="24"/>
        </w:rPr>
        <w:tab/>
      </w:r>
      <w:r>
        <w:rPr>
          <w:rFonts w:eastAsia="Times New Roman" w:cs="Times New Roman"/>
          <w:b/>
          <w:bCs/>
          <w:color w:themeColor="text1" w:val="000000"/>
          <w:sz w:val="24"/>
          <w:szCs w:val="24"/>
        </w:rPr>
        <w:t>Etapa 10: Conclusão.</w:t>
      </w:r>
      <w:r>
        <w:rPr>
          <w:rFonts w:eastAsia="Times New Roman" w:cs="Times New Roman"/>
          <w:color w:themeColor="text1" w:val="000000"/>
          <w:sz w:val="24"/>
          <w:szCs w:val="24"/>
        </w:rPr>
        <w:t xml:space="preserve"> Sintetizam-se os resultados, confirmando se as etapas anteriores culminaram em solução satisfatória para o problema. Avalia-se o impacto da intervenção proposta e as limitações 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reconhecendo que em </w:t>
      </w:r>
      <w:r>
        <w:rPr>
          <w:rFonts w:eastAsia="Times New Roman" w:cs="Times New Roman"/>
          <w:i/>
          <w:iCs/>
          <w:color w:themeColor="text1" w:val="000000"/>
          <w:sz w:val="24"/>
          <w:szCs w:val="24"/>
        </w:rPr>
        <w:t>Design Science</w:t>
      </w:r>
      <w:r>
        <w:rPr>
          <w:rFonts w:eastAsia="Times New Roman" w:cs="Times New Roman"/>
          <w:color w:themeColor="text1" w:val="000000"/>
          <w:sz w:val="24"/>
          <w:szCs w:val="24"/>
        </w:rPr>
        <w:t xml:space="preserve"> busca-se a adequação e a suficiência da resposta a um problema complexo, em detrimento de uma ilusória perfeição absoluta.</w:t>
      </w:r>
    </w:p>
    <w:p>
      <w:pPr>
        <w:pStyle w:val="Normal"/>
        <w:spacing w:lineRule="auto" w:line="360" w:before="0" w:after="0"/>
        <w:ind w:hanging="360" w:left="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w:t>
      </w:r>
      <w:r>
        <w:rPr>
          <w:rFonts w:eastAsia="Times New Roman" w:cs="Times New Roman"/>
          <w:color w:themeColor="text1" w:val="000000"/>
          <w:sz w:val="24"/>
          <w:szCs w:val="24"/>
        </w:rPr>
        <w:tab/>
      </w:r>
      <w:r>
        <w:rPr>
          <w:rFonts w:eastAsia="Times New Roman" w:cs="Times New Roman"/>
          <w:b/>
          <w:bCs/>
          <w:color w:themeColor="text1" w:val="000000"/>
          <w:sz w:val="24"/>
          <w:szCs w:val="24"/>
        </w:rPr>
        <w:t>Etapa 11: Generalização para a classe de problemas.</w:t>
      </w:r>
      <w:r>
        <w:rPr>
          <w:rFonts w:eastAsia="Times New Roman" w:cs="Times New Roman"/>
          <w:color w:themeColor="text1" w:val="000000"/>
          <w:sz w:val="24"/>
          <w:szCs w:val="24"/>
        </w:rPr>
        <w:t xml:space="preserve"> Teoriza-se sobre como o motor algorítmico do EVTEAS-Py e suas lógicas de integração multicritério pode ser adaptados e aplicados para avaliar a viabilidade de outras cadeias agroindustriais complexas, elevando o status do artefato de uma ferramenta isolada para uma Regra Tecnológica fundamentada.</w:t>
      </w:r>
    </w:p>
    <w:p>
      <w:pPr>
        <w:pStyle w:val="Normal"/>
        <w:spacing w:lineRule="auto" w:line="360" w:before="0" w:after="0"/>
        <w:ind w:hanging="360" w:left="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w:t>
      </w:r>
      <w:r>
        <w:rPr>
          <w:rFonts w:eastAsia="Times New Roman" w:cs="Times New Roman"/>
          <w:color w:themeColor="text1" w:val="000000"/>
          <w:sz w:val="24"/>
          <w:szCs w:val="24"/>
        </w:rPr>
        <w:tab/>
      </w:r>
      <w:r>
        <w:rPr>
          <w:rFonts w:eastAsia="Times New Roman" w:cs="Times New Roman"/>
          <w:b/>
          <w:bCs/>
          <w:color w:themeColor="text1" w:val="000000"/>
          <w:sz w:val="24"/>
          <w:szCs w:val="24"/>
        </w:rPr>
        <w:t>Etapa 12: Comunicação dos resultados</w:t>
      </w:r>
      <w:r>
        <w:rPr>
          <w:rFonts w:eastAsia="Times New Roman" w:cs="Times New Roman"/>
          <w:color w:themeColor="text1" w:val="000000"/>
          <w:sz w:val="24"/>
          <w:szCs w:val="24"/>
        </w:rPr>
        <w:t>. A documentação do processo, a arquitetura do artefato e as descobertas metodológicas são compiladas e disseminadas em formatos adequados para o público acadêmico (dissertação e artigos científicos) e para os profissionais do setor (manuais de usuário e apresentações tecnológicas).</w:t>
      </w:r>
    </w:p>
    <w:p>
      <w:pPr>
        <w:pStyle w:val="Normal"/>
        <w:spacing w:lineRule="auto" w:line="360" w:before="0" w:after="0"/>
        <w:ind w:hanging="360" w:left="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0" w:after="0"/>
        <w:rPr>
          <w:rFonts w:ascii="Times New Roman" w:hAnsi="Times New Roman" w:eastAsia="Times New Roman" w:cs="Times New Roman"/>
          <w:color w:themeColor="text1" w:val="000000"/>
          <w:sz w:val="26"/>
          <w:szCs w:val="26"/>
        </w:rPr>
      </w:pPr>
      <w:bookmarkStart w:id="181" w:name="_Toc242269318"/>
      <w:bookmarkStart w:id="182" w:name="_Toc242269237"/>
      <w:bookmarkStart w:id="183" w:name="_Toc242269158"/>
      <w:bookmarkStart w:id="184" w:name="_Toc229596856"/>
      <w:r>
        <w:rPr>
          <w:rFonts w:eastAsia="Times New Roman" w:cs="Times New Roman"/>
          <w:color w:themeColor="text1" w:val="000000"/>
          <w:sz w:val="26"/>
          <w:szCs w:val="26"/>
        </w:rPr>
        <w:t>3.3.2 Verificação e Validação (V&amp;V)</w:t>
      </w:r>
      <w:bookmarkEnd w:id="181"/>
      <w:bookmarkEnd w:id="182"/>
      <w:bookmarkEnd w:id="183"/>
      <w:bookmarkEnd w:id="184"/>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fase de Avaliação submete o artefato a procedimentos sistemáticos, rastreáveis e baseados em evidências de Verificação e Validação (V&amp;V), a fim de comprovar sua correção e utilidade.</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 referencial metodológico para esta etapa ancora-se em Boehm (1984), pioneiro na organização da terminologia da indústria de software. Derivada de </w:t>
      </w:r>
      <w:r>
        <w:rPr>
          <w:rFonts w:eastAsia="Times New Roman" w:cs="Times New Roman"/>
          <w:i/>
          <w:iCs/>
          <w:color w:themeColor="text1" w:val="000000"/>
          <w:sz w:val="24"/>
          <w:szCs w:val="24"/>
        </w:rPr>
        <w:t>veritas</w:t>
      </w:r>
      <w:r>
        <w:rPr>
          <w:rFonts w:eastAsia="Times New Roman" w:cs="Times New Roman"/>
          <w:color w:themeColor="text1" w:val="000000"/>
          <w:sz w:val="24"/>
          <w:szCs w:val="24"/>
        </w:rPr>
        <w:t xml:space="preserve"> (verdade), a </w:t>
      </w:r>
      <w:r>
        <w:rPr>
          <w:rFonts w:eastAsia="Times New Roman" w:cs="Times New Roman"/>
          <w:b/>
          <w:bCs/>
          <w:color w:themeColor="text1" w:val="000000"/>
          <w:sz w:val="24"/>
          <w:szCs w:val="24"/>
        </w:rPr>
        <w:t>Verificação</w:t>
      </w:r>
      <w:r>
        <w:rPr>
          <w:rFonts w:eastAsia="Times New Roman" w:cs="Times New Roman"/>
          <w:color w:themeColor="text1" w:val="000000"/>
          <w:sz w:val="24"/>
          <w:szCs w:val="24"/>
        </w:rPr>
        <w:t xml:space="preserve"> busca estabelecer a correspondência entre o software desenvolvido e sua especificação de design, respondendo à pergunta: </w:t>
      </w:r>
      <w:r>
        <w:rPr>
          <w:rFonts w:eastAsia="Times New Roman" w:cs="Times New Roman"/>
          <w:i/>
          <w:iCs/>
          <w:color w:themeColor="text1" w:val="000000"/>
          <w:sz w:val="24"/>
          <w:szCs w:val="24"/>
        </w:rPr>
        <w:t>"Estamos construindo o produto corretamente?"</w:t>
      </w:r>
      <w:r>
        <w:rPr>
          <w:rFonts w:eastAsia="Times New Roman" w:cs="Times New Roman"/>
          <w:color w:themeColor="text1" w:val="000000"/>
          <w:sz w:val="24"/>
          <w:szCs w:val="24"/>
        </w:rPr>
        <w:t>. Abrange a checagem sintática do código, a garantia de que fórmulas como VPL e Monte Carlo foram transcritas em Python sem erros lógicos e de que o banco de dados processa as informações sem anomalias (</w:t>
      </w:r>
      <w:r>
        <w:rPr>
          <w:rFonts w:eastAsia="Times New Roman" w:cs="Times New Roman"/>
          <w:i/>
          <w:iCs/>
          <w:color w:themeColor="text1" w:val="000000"/>
          <w:sz w:val="24"/>
          <w:szCs w:val="24"/>
        </w:rPr>
        <w:t>bugs</w:t>
      </w:r>
      <w:r>
        <w:rPr>
          <w:rFonts w:eastAsia="Times New Roman" w:cs="Times New Roman"/>
          <w:color w:themeColor="text1" w:val="000000"/>
          <w:sz w:val="24"/>
          <w:szCs w:val="24"/>
        </w:rPr>
        <w:t>).</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Derivada de </w:t>
      </w:r>
      <w:r>
        <w:rPr>
          <w:rFonts w:eastAsia="Times New Roman" w:cs="Times New Roman"/>
          <w:i/>
          <w:iCs/>
          <w:color w:themeColor="text1" w:val="000000"/>
          <w:sz w:val="24"/>
          <w:szCs w:val="24"/>
        </w:rPr>
        <w:t>valere</w:t>
      </w:r>
      <w:r>
        <w:rPr>
          <w:rFonts w:eastAsia="Times New Roman" w:cs="Times New Roman"/>
          <w:color w:themeColor="text1" w:val="000000"/>
          <w:sz w:val="24"/>
          <w:szCs w:val="24"/>
        </w:rPr>
        <w:t xml:space="preserve"> (ter valor), a Validação, conduzida por meio de pesquisa qualitativa, busca estabelecer a adequação 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à sua missão operacional, respondendo à pergunta: </w:t>
      </w:r>
      <w:r>
        <w:rPr>
          <w:rFonts w:eastAsia="Times New Roman" w:cs="Times New Roman"/>
          <w:i/>
          <w:iCs/>
          <w:color w:themeColor="text1" w:val="000000"/>
          <w:sz w:val="24"/>
          <w:szCs w:val="24"/>
        </w:rPr>
        <w:t>"Estamos construindo o produto certo?"</w:t>
      </w:r>
      <w:r>
        <w:rPr>
          <w:rFonts w:eastAsia="Times New Roman" w:cs="Times New Roman"/>
          <w:color w:themeColor="text1" w:val="000000"/>
          <w:sz w:val="24"/>
          <w:szCs w:val="24"/>
        </w:rPr>
        <w:t xml:space="preserve">. Trata-se de determinar se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EVTEAS-Py de fato resolve o problema da piscicultura, se a interface é útil para o produtor e se a ponderação dos dados ESG gera recomendações gerenciais que fazem sentido econômico e ecológico no ambiente de destino. O autor estabelece, ainda, que as especificações e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resultante devem ser julgados por quatro critérios mandatórios: completude, consistência, viabilidade e testabilidade.</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Ryan e Wheatcraft (2017) advertem que o uso genérico e intercambiável dos termos "verificação" e "validação" é causa primária de mal-entendidos em projetos de engenharia de sistemas, razão pela qual cada termo deve ser acompanhado de um modificador explícito que indique o objeto do processo.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Combinando as diretrizes de Ryan e Wheatcraft à matriz de Boehm, a Etapa de Avaliação do artefato subdivide-se em:</w:t>
      </w:r>
    </w:p>
    <w:p>
      <w:pPr>
        <w:pStyle w:val="Normal"/>
        <w:spacing w:lineRule="auto" w:line="360" w:before="0" w:after="0"/>
        <w:ind w:hanging="360" w:left="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w:t>
      </w:r>
      <w:r>
        <w:rPr>
          <w:rFonts w:eastAsia="Times New Roman" w:cs="Times New Roman"/>
          <w:color w:themeColor="text1" w:val="000000"/>
          <w:sz w:val="24"/>
          <w:szCs w:val="24"/>
        </w:rPr>
        <w:tab/>
      </w:r>
      <w:r>
        <w:rPr>
          <w:rFonts w:eastAsia="Times New Roman" w:cs="Times New Roman"/>
          <w:b/>
          <w:bCs/>
          <w:color w:themeColor="text1" w:val="000000"/>
          <w:sz w:val="24"/>
          <w:szCs w:val="24"/>
        </w:rPr>
        <w:t>Verificação de requisitos e de projeto (</w:t>
      </w:r>
      <w:r>
        <w:rPr>
          <w:rFonts w:eastAsia="Times New Roman" w:cs="Times New Roman"/>
          <w:b/>
          <w:bCs/>
          <w:i/>
          <w:iCs/>
          <w:color w:themeColor="text1" w:val="000000"/>
          <w:sz w:val="24"/>
          <w:szCs w:val="24"/>
        </w:rPr>
        <w:t>Design Verification</w:t>
      </w:r>
      <w:r>
        <w:rPr>
          <w:rFonts w:eastAsia="Times New Roman" w:cs="Times New Roman"/>
          <w:b/>
          <w:bCs/>
          <w:color w:themeColor="text1" w:val="000000"/>
          <w:sz w:val="24"/>
          <w:szCs w:val="24"/>
        </w:rPr>
        <w:t>):</w:t>
      </w:r>
      <w:r>
        <w:rPr>
          <w:rFonts w:eastAsia="Times New Roman" w:cs="Times New Roman"/>
          <w:color w:themeColor="text1" w:val="000000"/>
          <w:sz w:val="24"/>
          <w:szCs w:val="24"/>
        </w:rPr>
        <w:t xml:space="preserve"> Nesta subetapa, ocorre o processo formal de avaliação do </w:t>
      </w:r>
      <w:r>
        <w:rPr>
          <w:rFonts w:eastAsia="Times New Roman" w:cs="Times New Roman"/>
          <w:i/>
          <w:iCs/>
          <w:color w:themeColor="text1" w:val="000000"/>
          <w:sz w:val="24"/>
          <w:szCs w:val="24"/>
        </w:rPr>
        <w:t>design</w:t>
      </w:r>
      <w:r>
        <w:rPr>
          <w:rFonts w:eastAsia="Times New Roman" w:cs="Times New Roman"/>
          <w:color w:themeColor="text1" w:val="000000"/>
          <w:sz w:val="24"/>
          <w:szCs w:val="24"/>
        </w:rPr>
        <w:t xml:space="preserve"> 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contra as teorias </w:t>
      </w:r>
      <w:r>
        <w:rPr>
          <w:rFonts w:eastAsia="Times New Roman" w:cs="Times New Roman"/>
          <w:i/>
          <w:iCs/>
          <w:color w:themeColor="text1" w:val="000000"/>
          <w:sz w:val="24"/>
          <w:szCs w:val="24"/>
        </w:rPr>
        <w:t>kernel</w:t>
      </w:r>
      <w:r>
        <w:rPr>
          <w:rFonts w:eastAsia="Times New Roman" w:cs="Times New Roman"/>
          <w:color w:themeColor="text1" w:val="000000"/>
          <w:sz w:val="24"/>
          <w:szCs w:val="24"/>
        </w:rPr>
        <w:t xml:space="preserve"> e meta-requisitos levantados. Confirma-se se a equação matemática de fluxo de caixa livre descontado está coerente com os postulados da engenharia econômica e se o código em Python atende às premissas lógicas de programação orientada a objetos.</w:t>
      </w:r>
    </w:p>
    <w:p>
      <w:pPr>
        <w:pStyle w:val="Normal"/>
        <w:spacing w:lineRule="auto" w:line="360" w:before="0" w:after="0"/>
        <w:ind w:hanging="360" w:left="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w:t>
      </w:r>
      <w:r>
        <w:rPr>
          <w:rFonts w:eastAsia="Times New Roman" w:cs="Times New Roman"/>
          <w:color w:themeColor="text1" w:val="000000"/>
          <w:sz w:val="24"/>
          <w:szCs w:val="24"/>
        </w:rPr>
        <w:tab/>
      </w:r>
      <w:r>
        <w:rPr>
          <w:rFonts w:eastAsia="Times New Roman" w:cs="Times New Roman"/>
          <w:b/>
          <w:bCs/>
          <w:color w:themeColor="text1" w:val="000000"/>
          <w:sz w:val="24"/>
          <w:szCs w:val="24"/>
        </w:rPr>
        <w:t xml:space="preserve">Verificação do </w:t>
      </w:r>
      <w:r>
        <w:rPr>
          <w:rFonts w:eastAsia="Times New Roman" w:cs="Times New Roman"/>
          <w:b/>
          <w:bCs/>
          <w:i/>
          <w:iCs/>
          <w:color w:themeColor="text1" w:val="000000"/>
          <w:sz w:val="24"/>
          <w:szCs w:val="24"/>
        </w:rPr>
        <w:t>framework</w:t>
      </w:r>
      <w:r>
        <w:rPr>
          <w:rFonts w:eastAsia="Times New Roman" w:cs="Times New Roman"/>
          <w:b/>
          <w:bCs/>
          <w:color w:themeColor="text1" w:val="000000"/>
          <w:sz w:val="24"/>
          <w:szCs w:val="24"/>
        </w:rPr>
        <w:t>:</w:t>
      </w:r>
      <w:r>
        <w:rPr>
          <w:rFonts w:eastAsia="Times New Roman" w:cs="Times New Roman"/>
          <w:color w:themeColor="text1" w:val="000000"/>
          <w:sz w:val="24"/>
          <w:szCs w:val="24"/>
        </w:rPr>
        <w:t xml:space="preserve"> Com o artefato construído, executam-se testes em ambiente controlado para comprovar, por evidências de console de execução, que o sistema opera sem falhas computacionais, consolidando a premissa de completude e testabilidade de Boehm.</w:t>
      </w:r>
    </w:p>
    <w:p>
      <w:pPr>
        <w:pStyle w:val="Normal"/>
        <w:spacing w:lineRule="auto" w:line="360" w:before="0" w:after="0"/>
        <w:ind w:hanging="360" w:left="720"/>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w:t>
      </w:r>
      <w:r>
        <w:rPr>
          <w:rFonts w:eastAsia="Times New Roman" w:cs="Times New Roman"/>
          <w:color w:themeColor="text1" w:val="000000"/>
          <w:sz w:val="24"/>
          <w:szCs w:val="24"/>
        </w:rPr>
        <w:tab/>
      </w:r>
      <w:r>
        <w:rPr>
          <w:rFonts w:eastAsia="Times New Roman" w:cs="Times New Roman"/>
          <w:b/>
          <w:bCs/>
          <w:color w:themeColor="text1" w:val="000000"/>
          <w:sz w:val="24"/>
          <w:szCs w:val="24"/>
        </w:rPr>
        <w:t xml:space="preserve">Validação do </w:t>
      </w:r>
      <w:r>
        <w:rPr>
          <w:rFonts w:eastAsia="Times New Roman" w:cs="Times New Roman"/>
          <w:b/>
          <w:bCs/>
          <w:i/>
          <w:iCs/>
          <w:color w:themeColor="text1" w:val="000000"/>
          <w:sz w:val="24"/>
          <w:szCs w:val="24"/>
        </w:rPr>
        <w:t>framework</w:t>
      </w:r>
      <w:r>
        <w:rPr>
          <w:rFonts w:eastAsia="Times New Roman" w:cs="Times New Roman"/>
          <w:b/>
          <w:bCs/>
          <w:color w:themeColor="text1" w:val="000000"/>
          <w:sz w:val="24"/>
          <w:szCs w:val="24"/>
        </w:rPr>
        <w:t>:</w:t>
      </w:r>
      <w:r>
        <w:rPr>
          <w:rFonts w:eastAsia="Times New Roman" w:cs="Times New Roman"/>
          <w:color w:themeColor="text1" w:val="000000"/>
          <w:sz w:val="24"/>
          <w:szCs w:val="24"/>
        </w:rPr>
        <w:t xml:space="preserve"> Busca-se demonstrar que o EVTEAS-Py atende ao seu uso pretendido quando inserido em seu ambiente de operação, conferindo confiança de que ele é capaz de atingir suas metas junto aos usuários finais. Para executar esta Validação, em consonância com a delimitação temporal e o escopo da presente pesquisa, opta-se pela consulta a dois especialistas qualificados, dispensando-se a constituição de painéis ampliados ou de estudos de caso reais. O primeiro especialista, com formação e atuação na área de desenvolvimento de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encarrega-se da apreciação técnico-computacional do artefato, examinando a coerência arquitetural, a qualidade do código, a aderência às boas práticas de programação em Python e a robustez das rotinas de simulação. O segundo especialista, com formação e atuação em piscicultura, encarrega-se da verificação técnica do conteúdo aplicado ao domínio, examinando se as variáveis técnicas, os parâmetros zootécnicos e as premissas de produção aquícola incorporadas ao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representam fidedignamente a realidade do setor.</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Para essa consulta, a pesquisa recorre aos métodos de inspeção em IHC (Leitão; Prates, 2017), nos quais avaliadores especialistas examinam a interface segundo diretrizes estruturadas para identificar potenciais problemas de interpretação no contexto de uso real. No escopo do EVTEAS-Py, a validação ancora-se na </w:t>
      </w:r>
      <w:r>
        <w:rPr>
          <w:rFonts w:eastAsia="Times New Roman" w:cs="Times New Roman"/>
          <w:i/>
          <w:iCs/>
          <w:color w:themeColor="text1" w:val="000000"/>
          <w:sz w:val="24"/>
          <w:szCs w:val="24"/>
        </w:rPr>
        <w:t>comunicabilidade</w:t>
      </w:r>
      <w:r>
        <w:rPr>
          <w:rFonts w:eastAsia="Times New Roman" w:cs="Times New Roman"/>
          <w:color w:themeColor="text1" w:val="000000"/>
          <w:sz w:val="24"/>
          <w:szCs w:val="24"/>
        </w:rPr>
        <w:t xml:space="preserve"> do sistema: os avaliadores inspecionam se o artefato transmite aos tomadores de decisão, de forma organizada e consistente, a lógica subjacente e as intenções de design 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traduzindo adequadamente a integração das matrizes ESG e financeiras.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2"/>
        <w:spacing w:lineRule="auto" w:line="360" w:before="0" w:after="0"/>
        <w:rPr>
          <w:rFonts w:ascii="Times New Roman" w:hAnsi="Times New Roman" w:eastAsia="Times New Roman" w:cs="Times New Roman"/>
          <w:color w:themeColor="text1" w:val="000000"/>
          <w:sz w:val="28"/>
          <w:szCs w:val="28"/>
        </w:rPr>
      </w:pPr>
      <w:bookmarkStart w:id="185" w:name="_Toc242269319"/>
      <w:bookmarkStart w:id="186" w:name="_Toc242269238"/>
      <w:bookmarkStart w:id="187" w:name="_Toc242269159"/>
      <w:bookmarkStart w:id="188" w:name="_Toc229935462"/>
      <w:r>
        <w:rPr>
          <w:rFonts w:eastAsia="Times New Roman" w:cs="Times New Roman" w:ascii="Times New Roman" w:hAnsi="Times New Roman"/>
          <w:color w:themeColor="text1" w:val="000000"/>
          <w:sz w:val="28"/>
          <w:szCs w:val="28"/>
        </w:rPr>
        <w:t>3.4 Métodos de análise de dados</w:t>
      </w:r>
      <w:bookmarkEnd w:id="185"/>
      <w:bookmarkEnd w:id="186"/>
      <w:bookmarkEnd w:id="187"/>
      <w:bookmarkEnd w:id="188"/>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natureza qualiquantitativa da pesquisa exige que a análise de dados seja estruturada em dois caminhos metodológicos complementares, que operam paralelamente nas Fases 1 (Compreensão Qualitativa) e 3 (Avaliação V&amp;V).</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Conforme Flick (2009), a pesquisa qualitativa trabalha com a construção, a transcrição e a interpretação em profundidade de textos. Adicionalmente, a aplicação de métodos qualitativos em projetos de computação, como defendido por Leitão e Prates (2017), é fundamental para traduzir práticas institucionais e demandas sociais em requisitos de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aderentes à realidade.</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Para processar esses dados qualitativos, a pesquisa emprega métodos sistemáticos de análise e codificação temática baseados no texto a partir das respostas dos especialistas. O objetivo é extrair categorias lógicas, relações causais e heurísticas de decisão, identificando padrões de importância que as comunidades e os órgãos reguladores atribuem a fatores como impacto visual de tanques de piscicultura, emissão de efluentes ou geração de renda local. Esses achados dão sustentação lógica às árvores de decisão e aos pesos matemáticos que serão posteriormente parametrizados dentro 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Python.</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 </w:t>
      </w:r>
      <w:r>
        <w:rPr>
          <w:rFonts w:eastAsia="Times New Roman" w:cs="Times New Roman"/>
          <w:color w:themeColor="text1" w:val="000000"/>
          <w:sz w:val="24"/>
          <w:szCs w:val="24"/>
        </w:rPr>
        <w:t xml:space="preserve">Espera-se que a análise quantitativa 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seja realizada ela escala </w:t>
      </w:r>
      <w:r>
        <w:rPr>
          <w:rFonts w:eastAsia="Times New Roman" w:cs="Times New Roman"/>
          <w:i/>
          <w:iCs/>
          <w:color w:themeColor="text1" w:val="000000"/>
          <w:sz w:val="24"/>
          <w:szCs w:val="24"/>
        </w:rPr>
        <w:t>Likert</w:t>
      </w:r>
      <w:r>
        <w:rPr>
          <w:rFonts w:eastAsia="Times New Roman" w:cs="Times New Roman"/>
          <w:color w:themeColor="text1" w:val="000000"/>
          <w:sz w:val="24"/>
          <w:szCs w:val="24"/>
        </w:rPr>
        <w:t xml:space="preserve"> de cinco pontos. Cada critério identificado nas dimensões técnica, econômica, ambiental e social é submetido à apreciação dos dois especialistas consultados na etapa de Verificação e Validação, que atribuem a cada item um valor inteiro entre 1 (irrelevante) e 5 (essencial), conforme apresentado no Quadro 7. Os valores atribuídos por critério são posteriormente normalizados pela razão entre o escore individual e o somatório total dos escores, gerando pesos relativos cuja soma resulta na unidade, condição necessária para sua utilização como coeficientes de ponderação nas rotinas de simulação estocástica e nos índices compostos de viabilidade. Esse procedimento formaliza a ponte entre a análise qualitativa e a parametrização determinística do EVTEAS-Py, conferindo rastreabilidade documental e mitigando a inserção de juízos subjetivos não declarados na codificação algorítmica.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Caption"/>
        <w:keepNext w:val="true"/>
        <w:spacing w:lineRule="auto" w:line="360" w:before="0" w:after="0"/>
        <w:jc w:val="center"/>
        <w:rPr>
          <w:rFonts w:ascii="Calibri" w:hAnsi="Calibri" w:cs="Calibri" w:asciiTheme="minorHAnsi" w:cstheme="minorHAnsi" w:hAnsiTheme="minorHAnsi"/>
          <w:color w:val="auto"/>
          <w:sz w:val="20"/>
          <w:szCs w:val="20"/>
        </w:rPr>
      </w:pPr>
      <w:bookmarkStart w:id="189" w:name="_Toc235197277"/>
      <w:r>
        <w:rPr>
          <w:rFonts w:cs="Calibri" w:ascii="Calibri" w:hAnsi="Calibri" w:asciiTheme="minorHAnsi" w:cstheme="minorHAnsi" w:hAnsiTheme="minorHAnsi"/>
          <w:color w:val="auto"/>
          <w:sz w:val="20"/>
          <w:szCs w:val="20"/>
        </w:rPr>
        <w:t xml:space="preserve">Quadro </w:t>
      </w:r>
      <w:r>
        <w:rPr>
          <w:rFonts w:cs="Calibri" w:ascii="Calibri" w:hAnsi="Calibri"/>
          <w:color w:val="auto"/>
          <w:sz w:val="20"/>
          <w:szCs w:val="20"/>
        </w:rPr>
        <w:fldChar w:fldCharType="begin"/>
      </w:r>
      <w:r>
        <w:rPr>
          <w:sz w:val="20"/>
          <w:szCs w:val="20"/>
          <w:rFonts w:cs="Calibri" w:ascii="Calibri" w:hAnsi="Calibri"/>
          <w:color w:val="auto"/>
        </w:rPr>
        <w:instrText xml:space="preserve"> SEQ Quadro \* ARABIC </w:instrText>
      </w:r>
      <w:r>
        <w:rPr>
          <w:sz w:val="20"/>
          <w:szCs w:val="20"/>
          <w:rFonts w:cs="Calibri" w:ascii="Calibri" w:hAnsi="Calibri"/>
          <w:color w:val="auto"/>
        </w:rPr>
        <w:fldChar w:fldCharType="separate"/>
      </w:r>
      <w:r>
        <w:rPr>
          <w:sz w:val="20"/>
          <w:szCs w:val="20"/>
          <w:rFonts w:cs="Calibri" w:ascii="Calibri" w:hAnsi="Calibri"/>
          <w:color w:val="auto"/>
        </w:rPr>
        <w:t>7</w:t>
      </w:r>
      <w:r>
        <w:rPr>
          <w:sz w:val="20"/>
          <w:szCs w:val="20"/>
          <w:rFonts w:cs="Calibri" w:ascii="Calibri" w:hAnsi="Calibri"/>
          <w:color w:val="auto"/>
        </w:rPr>
        <w:fldChar w:fldCharType="end"/>
      </w:r>
      <w:r>
        <w:rPr>
          <w:rFonts w:cs="Calibri" w:ascii="Calibri" w:hAnsi="Calibri" w:asciiTheme="minorHAnsi" w:cstheme="minorHAnsi" w:hAnsiTheme="minorHAnsi"/>
          <w:color w:val="auto"/>
          <w:sz w:val="20"/>
          <w:szCs w:val="20"/>
        </w:rPr>
        <w:t xml:space="preserve"> - Escala Likert de relevância para parametrização dos pesos do framework EVTEAS-Py</w:t>
      </w:r>
      <w:bookmarkEnd w:id="189"/>
    </w:p>
    <w:tbl>
      <w:tblPr>
        <w:tblW w:w="9000" w:type="dxa"/>
        <w:jc w:val="center"/>
        <w:tblInd w:w="0" w:type="dxa"/>
        <w:tblLayout w:type="fixed"/>
        <w:tblCellMar>
          <w:top w:w="80" w:type="dxa"/>
          <w:left w:w="120" w:type="dxa"/>
          <w:bottom w:w="80" w:type="dxa"/>
          <w:right w:w="120" w:type="dxa"/>
        </w:tblCellMar>
        <w:tblLook w:val="04a0" w:noHBand="0" w:noVBand="1" w:firstColumn="1" w:lastRow="0" w:lastColumn="0" w:firstRow="1"/>
      </w:tblPr>
      <w:tblGrid>
        <w:gridCol w:w="999"/>
        <w:gridCol w:w="2401"/>
        <w:gridCol w:w="5600"/>
      </w:tblGrid>
      <w:tr>
        <w:trPr>
          <w:tblHeader w:val="true"/>
        </w:trPr>
        <w:tc>
          <w:tcPr>
            <w:tcW w:w="999"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360" w:before="0" w:after="0"/>
              <w:jc w:val="center"/>
              <w:rPr>
                <w:rFonts w:ascii="Times New Roman" w:hAnsi="Times New Roman" w:eastAsia="Times New Roman" w:cs="Times New Roman"/>
              </w:rPr>
            </w:pPr>
            <w:r>
              <w:rPr>
                <w:rFonts w:eastAsia="Times New Roman" w:cs="Times New Roman"/>
                <w:b/>
                <w:bCs/>
              </w:rPr>
              <w:t>Escore</w:t>
            </w:r>
          </w:p>
        </w:tc>
        <w:tc>
          <w:tcPr>
            <w:tcW w:w="2401"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360" w:before="0" w:after="0"/>
              <w:jc w:val="center"/>
              <w:rPr>
                <w:rFonts w:ascii="Times New Roman" w:hAnsi="Times New Roman" w:eastAsia="Times New Roman" w:cs="Times New Roman"/>
              </w:rPr>
            </w:pPr>
            <w:r>
              <w:rPr>
                <w:rFonts w:eastAsia="Times New Roman" w:cs="Times New Roman"/>
                <w:b/>
                <w:bCs/>
              </w:rPr>
              <w:t>Classificação</w:t>
            </w:r>
          </w:p>
        </w:tc>
        <w:tc>
          <w:tcPr>
            <w:tcW w:w="5600"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360" w:before="0" w:after="0"/>
              <w:jc w:val="center"/>
              <w:rPr>
                <w:rFonts w:ascii="Times New Roman" w:hAnsi="Times New Roman" w:eastAsia="Times New Roman" w:cs="Times New Roman"/>
              </w:rPr>
            </w:pPr>
            <w:r>
              <w:rPr>
                <w:rFonts w:eastAsia="Times New Roman" w:cs="Times New Roman"/>
                <w:b/>
                <w:bCs/>
              </w:rPr>
              <w:t>Descrição operacional para o avaliador</w:t>
            </w:r>
          </w:p>
        </w:tc>
      </w:tr>
      <w:tr>
        <w:trPr/>
        <w:tc>
          <w:tcPr>
            <w:tcW w:w="999"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1</w:t>
            </w:r>
          </w:p>
        </w:tc>
        <w:tc>
          <w:tcPr>
            <w:tcW w:w="240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Irrelevante</w:t>
            </w:r>
          </w:p>
        </w:tc>
        <w:tc>
          <w:tcPr>
            <w:tcW w:w="5600"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O critério não exerce influência observável sobre a viabilidade do empreendimento de piscicultura e pode ser desprezado na composição do índice integrado.</w:t>
            </w:r>
          </w:p>
        </w:tc>
      </w:tr>
      <w:tr>
        <w:trPr/>
        <w:tc>
          <w:tcPr>
            <w:tcW w:w="999"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2</w:t>
            </w:r>
          </w:p>
        </w:tc>
        <w:tc>
          <w:tcPr>
            <w:tcW w:w="240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Pouco relevante</w:t>
            </w:r>
          </w:p>
        </w:tc>
        <w:tc>
          <w:tcPr>
            <w:tcW w:w="5600"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O critério apresenta influência marginal, cabendo ponderação reduzida no modelo, sem impacto determinante sobre as decisões de investimento.</w:t>
            </w:r>
          </w:p>
        </w:tc>
      </w:tr>
      <w:tr>
        <w:trPr/>
        <w:tc>
          <w:tcPr>
            <w:tcW w:w="999"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3</w:t>
            </w:r>
          </w:p>
        </w:tc>
        <w:tc>
          <w:tcPr>
            <w:tcW w:w="240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Moderadamente relevante</w:t>
            </w:r>
          </w:p>
        </w:tc>
        <w:tc>
          <w:tcPr>
            <w:tcW w:w="5600"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O critério exerce influência intermediária e deve compor o índice com peso equilibrado, sendo considerado em conjunto com os demais fatores.</w:t>
            </w:r>
          </w:p>
        </w:tc>
      </w:tr>
      <w:tr>
        <w:trPr/>
        <w:tc>
          <w:tcPr>
            <w:tcW w:w="999"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4</w:t>
            </w:r>
          </w:p>
        </w:tc>
        <w:tc>
          <w:tcPr>
            <w:tcW w:w="240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Muito relevante</w:t>
            </w:r>
          </w:p>
        </w:tc>
        <w:tc>
          <w:tcPr>
            <w:tcW w:w="5600"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O critério apresenta influência substancial sobre a viabilidade e deve receber ponderação destacada, condicionando partes expressivas da análise.</w:t>
            </w:r>
          </w:p>
        </w:tc>
      </w:tr>
      <w:tr>
        <w:trPr/>
        <w:tc>
          <w:tcPr>
            <w:tcW w:w="999"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5</w:t>
            </w:r>
          </w:p>
        </w:tc>
        <w:tc>
          <w:tcPr>
            <w:tcW w:w="240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eastAsia="Times New Roman" w:cs="Times New Roman"/>
              </w:rPr>
            </w:pPr>
            <w:r>
              <w:rPr>
                <w:rFonts w:eastAsia="Times New Roman" w:cs="Times New Roman"/>
              </w:rPr>
              <w:t>Essencial</w:t>
            </w:r>
          </w:p>
        </w:tc>
        <w:tc>
          <w:tcPr>
            <w:tcW w:w="5600"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eastAsia="Times New Roman" w:cs="Times New Roman"/>
              </w:rPr>
            </w:pPr>
            <w:r>
              <w:rPr>
                <w:rFonts w:eastAsia="Times New Roman" w:cs="Times New Roman"/>
              </w:rPr>
              <w:t>O critério é determinante para a viabilidade do empreendimento e deve receber o maior peso na composição do índice integrado, sob pena de invalidar a análise.</w:t>
            </w:r>
          </w:p>
        </w:tc>
      </w:tr>
    </w:tbl>
    <w:p>
      <w:pPr>
        <w:pStyle w:val="Normal"/>
        <w:spacing w:lineRule="auto" w:line="360" w:before="0" w:after="0"/>
        <w:jc w:val="center"/>
        <w:rPr>
          <w:rFonts w:ascii="Times New Roman" w:hAnsi="Times New Roman" w:eastAsia="Times New Roman" w:cs="Times New Roman"/>
          <w:sz w:val="20"/>
          <w:szCs w:val="20"/>
        </w:rPr>
      </w:pPr>
      <w:r>
        <w:rPr>
          <w:rFonts w:eastAsia="Times New Roman" w:cs="Times New Roman"/>
          <w:sz w:val="20"/>
          <w:szCs w:val="20"/>
        </w:rPr>
        <w:t>Fonte: Elaborado pelo autor (2026).</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validade do achado qualitativo, conforme Flick (2009), é reforçada pela triangulação entre fontes. Neste estudo, a inspeção conjunta pelo especialista em desenvolvimento de </w:t>
      </w:r>
      <w:r>
        <w:rPr>
          <w:rFonts w:eastAsia="Times New Roman" w:cs="Times New Roman"/>
          <w:i/>
          <w:iCs/>
          <w:color w:themeColor="text1" w:val="000000"/>
          <w:sz w:val="24"/>
          <w:szCs w:val="24"/>
        </w:rPr>
        <w:t xml:space="preserve">framework </w:t>
      </w:r>
      <w:r>
        <w:rPr>
          <w:rFonts w:eastAsia="Times New Roman" w:cs="Times New Roman"/>
          <w:color w:themeColor="text1" w:val="000000"/>
          <w:sz w:val="24"/>
          <w:szCs w:val="24"/>
        </w:rPr>
        <w:t>e pelo especialista em piscicultura constitui triangulação por avaliadores, mitigando o viés do pesquisador único.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 segundo caminho diz respeito à análise de dados quantitativos e avaliação Paramétrica. Esse trajeto é ativado na execução das simulações numéricas do artefato. O processamento quantitativo afasta-se da análise estatística multivariada tradicional baseada em amostras populacionais, uma vez que não se trata de uma pesquisa descritiva de comportamento social e, em alinhamento às premissas metodológicas para a ciência da computação delineadas por Wazlawick (2009), assume o formato de análise determinística e estocástica focada em desenvolvimento de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No âmbito da avaliação 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a análise quantitativa atua na compilação dos dados de saída (</w:t>
      </w:r>
      <w:r>
        <w:rPr>
          <w:rFonts w:eastAsia="Times New Roman" w:cs="Times New Roman"/>
          <w:i/>
          <w:iCs/>
          <w:color w:themeColor="text1" w:val="000000"/>
          <w:sz w:val="24"/>
          <w:szCs w:val="24"/>
        </w:rPr>
        <w:t>outputs</w:t>
      </w:r>
      <w:r>
        <w:rPr>
          <w:rFonts w:eastAsia="Times New Roman" w:cs="Times New Roman"/>
          <w:color w:themeColor="text1" w:val="000000"/>
          <w:sz w:val="24"/>
          <w:szCs w:val="24"/>
        </w:rPr>
        <w:t>) gerados pelo EVTEAS-Py. Por meio de simulações programadas na linguagem Python, o sistema produzirá milhares de iterações matemáticas, por exemplo, nas margens de variação de preços, custos e riscos ambientais inseridos como entradas (</w:t>
      </w:r>
      <w:r>
        <w:rPr>
          <w:rFonts w:eastAsia="Times New Roman" w:cs="Times New Roman"/>
          <w:i/>
          <w:iCs/>
          <w:color w:themeColor="text1" w:val="000000"/>
          <w:sz w:val="24"/>
          <w:szCs w:val="24"/>
        </w:rPr>
        <w:t>inputs</w:t>
      </w:r>
      <w:r>
        <w:rPr>
          <w:rFonts w:eastAsia="Times New Roman" w:cs="Times New Roman"/>
          <w:color w:themeColor="text1" w:val="000000"/>
          <w:sz w:val="24"/>
          <w:szCs w:val="24"/>
        </w:rPr>
        <w:t>). O método de análise concentra-se na avaliação da consistência algorítmica desses resultados, mensurando dados como, por exemplo, as distribuições de probabilidade de lucro, a variância do Valor Presente Líquido (VPL) e as margens de erro associadas às externalidades ESG. Adicionalmente, as diretrizes de verificação preconizadas por Boehm (1984), aliadas aos conceitos de validação sistêmica discutidos por Ryan e Wheatcraft (2017), são parametrizadas em métricas quantitativas de testabilidade do código: contabilização da cobertura de testes das funções, índices de completude sintática das APIs e medição de consumo de recursos operacionais da infraestrutura. A integração dos dois caminhos analíticos fundamenta a conclusão sobre a relevância científica do artefato.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2"/>
        <w:spacing w:lineRule="auto" w:line="360" w:before="0" w:after="0"/>
        <w:rPr>
          <w:rFonts w:ascii="Times New Roman" w:hAnsi="Times New Roman" w:eastAsia="Times New Roman" w:cs="Times New Roman"/>
          <w:b/>
          <w:bCs/>
          <w:color w:themeColor="text1" w:val="000000"/>
          <w:sz w:val="28"/>
          <w:szCs w:val="28"/>
        </w:rPr>
      </w:pPr>
      <w:bookmarkStart w:id="190" w:name="_Toc229596858"/>
      <w:bookmarkStart w:id="191" w:name="_Toc229935463"/>
      <w:bookmarkStart w:id="192" w:name="_Toc242269320"/>
      <w:bookmarkStart w:id="193" w:name="_Toc242269239"/>
      <w:bookmarkStart w:id="194" w:name="_Toc242269160"/>
      <w:r>
        <w:rPr>
          <w:rFonts w:eastAsia="Times New Roman" w:cs="Times New Roman" w:ascii="Times New Roman" w:hAnsi="Times New Roman"/>
          <w:b/>
          <w:bCs/>
          <w:color w:themeColor="text1" w:val="000000"/>
          <w:sz w:val="28"/>
          <w:szCs w:val="28"/>
        </w:rPr>
        <w:t xml:space="preserve">3.5 Integração de inteligência artificial generativa no desenvolvimento do </w:t>
      </w:r>
      <w:r>
        <w:rPr>
          <w:rFonts w:eastAsia="Times New Roman" w:cs="Times New Roman" w:ascii="Times New Roman" w:hAnsi="Times New Roman"/>
          <w:b/>
          <w:bCs/>
          <w:i/>
          <w:iCs/>
          <w:color w:themeColor="text1" w:val="000000"/>
          <w:sz w:val="28"/>
          <w:szCs w:val="28"/>
        </w:rPr>
        <w:t>framework</w:t>
      </w:r>
      <w:r>
        <w:rPr>
          <w:rFonts w:eastAsia="Times New Roman" w:cs="Times New Roman" w:ascii="Times New Roman" w:hAnsi="Times New Roman"/>
          <w:b/>
          <w:bCs/>
          <w:color w:themeColor="text1" w:val="000000"/>
          <w:sz w:val="28"/>
          <w:szCs w:val="28"/>
        </w:rPr>
        <w:t xml:space="preserve"> EVTEAS-Py</w:t>
      </w:r>
      <w:bookmarkEnd w:id="192"/>
      <w:bookmarkEnd w:id="193"/>
      <w:bookmarkEnd w:id="194"/>
      <w:r>
        <w:rPr>
          <w:rFonts w:eastAsia="Times New Roman" w:cs="Times New Roman" w:ascii="Times New Roman" w:hAnsi="Times New Roman"/>
          <w:b/>
          <w:bCs/>
          <w:color w:themeColor="text1" w:val="000000"/>
          <w:sz w:val="28"/>
          <w:szCs w:val="28"/>
        </w:rPr>
        <w:t xml:space="preserve"> </w:t>
      </w:r>
      <w:bookmarkEnd w:id="190"/>
      <w:bookmarkEnd w:id="191"/>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construção de um artefato tecnológico fundamentado na </w:t>
      </w:r>
      <w:r>
        <w:rPr>
          <w:rFonts w:eastAsia="Times New Roman" w:cs="Times New Roman"/>
          <w:i/>
          <w:iCs/>
          <w:color w:themeColor="text1" w:val="000000"/>
          <w:sz w:val="24"/>
          <w:szCs w:val="24"/>
        </w:rPr>
        <w:t>Design Science Research</w:t>
      </w:r>
      <w:r>
        <w:rPr>
          <w:rFonts w:eastAsia="Times New Roman" w:cs="Times New Roman"/>
          <w:color w:themeColor="text1" w:val="000000"/>
          <w:sz w:val="24"/>
          <w:szCs w:val="24"/>
        </w:rPr>
        <w:t xml:space="preserve"> exige rigor na modelagem estocástica do risco agroindustrial, na implementação em Python e na usabilidade do </w:t>
      </w:r>
      <w:r>
        <w:rPr>
          <w:rFonts w:eastAsia="Times New Roman" w:cs="Times New Roman"/>
          <w:i/>
          <w:iCs/>
          <w:color w:themeColor="text1" w:val="000000"/>
          <w:sz w:val="24"/>
          <w:szCs w:val="24"/>
        </w:rPr>
        <w:t>software</w:t>
      </w:r>
      <w:r>
        <w:rPr>
          <w:rFonts w:eastAsia="Times New Roman" w:cs="Times New Roman"/>
          <w:color w:themeColor="text1" w:val="000000"/>
          <w:sz w:val="24"/>
          <w:szCs w:val="24"/>
        </w:rPr>
        <w:t xml:space="preserve"> para os </w:t>
      </w:r>
      <w:r>
        <w:rPr>
          <w:rFonts w:eastAsia="Times New Roman" w:cs="Times New Roman"/>
          <w:i/>
          <w:iCs/>
          <w:color w:themeColor="text1" w:val="000000"/>
          <w:sz w:val="24"/>
          <w:szCs w:val="24"/>
        </w:rPr>
        <w:t>stakeholders</w:t>
      </w:r>
      <w:r>
        <w:rPr>
          <w:rFonts w:eastAsia="Times New Roman" w:cs="Times New Roman"/>
          <w:color w:themeColor="text1" w:val="000000"/>
          <w:sz w:val="24"/>
          <w:szCs w:val="24"/>
        </w:rPr>
        <w:t>.</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Para superar os gargalos da materialização técnica 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EVTEAS-Py, a metodologia incorpora tecnologias de Inteligência Artificial (IA) Generativa: Grandes Modelos de Linguagem (</w:t>
      </w:r>
      <w:r>
        <w:rPr>
          <w:rFonts w:eastAsia="Times New Roman" w:cs="Times New Roman"/>
          <w:i/>
          <w:iCs/>
          <w:color w:themeColor="text1" w:val="000000"/>
          <w:sz w:val="24"/>
          <w:szCs w:val="24"/>
        </w:rPr>
        <w:t>Large Language Models</w:t>
      </w:r>
      <w:r>
        <w:rPr>
          <w:rFonts w:eastAsia="Times New Roman" w:cs="Times New Roman"/>
          <w:color w:themeColor="text1" w:val="000000"/>
          <w:sz w:val="24"/>
          <w:szCs w:val="24"/>
        </w:rPr>
        <w:t xml:space="preserve"> - LLMs) e arquiteturas de desenvolvimento </w:t>
      </w:r>
      <w:r>
        <w:rPr>
          <w:rFonts w:eastAsia="Times New Roman" w:cs="Times New Roman"/>
          <w:i/>
          <w:iCs/>
          <w:color w:themeColor="text1" w:val="000000"/>
          <w:sz w:val="24"/>
          <w:szCs w:val="24"/>
        </w:rPr>
        <w:t>full-stack</w:t>
      </w:r>
      <w:r>
        <w:rPr>
          <w:rFonts w:eastAsia="Times New Roman" w:cs="Times New Roman"/>
          <w:color w:themeColor="text1" w:val="000000"/>
          <w:sz w:val="24"/>
          <w:szCs w:val="24"/>
        </w:rPr>
        <w:t xml:space="preserve"> na nuvem agilizam as fases de "Design e Desenvolvimento" (Etapas 6 e 7 do modelo DSR), conforme detalhado a seguir.</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utilização estratégica da IA fundamenta-se no fato de a dissertação pertencer à linha de gestão, com desenvolvimento de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para a tomada de decisão de </w:t>
      </w:r>
      <w:r>
        <w:rPr>
          <w:rFonts w:eastAsia="Times New Roman" w:cs="Times New Roman"/>
          <w:i/>
          <w:iCs/>
          <w:color w:themeColor="text1" w:val="000000"/>
          <w:sz w:val="24"/>
          <w:szCs w:val="24"/>
        </w:rPr>
        <w:t>stakeholders</w:t>
      </w:r>
      <w:r>
        <w:rPr>
          <w:rFonts w:eastAsia="Times New Roman" w:cs="Times New Roman"/>
          <w:color w:themeColor="text1" w:val="000000"/>
          <w:sz w:val="24"/>
          <w:szCs w:val="24"/>
        </w:rPr>
        <w:t xml:space="preserve"> interessados em investir em piscicultura.</w:t>
      </w:r>
    </w:p>
    <w:p>
      <w:pPr>
        <w:sectPr>
          <w:headerReference w:type="default" r:id="rId27"/>
          <w:headerReference w:type="first" r:id="rId28"/>
          <w:footerReference w:type="default" r:id="rId29"/>
          <w:footerReference w:type="first" r:id="rId30"/>
          <w:footnotePr>
            <w:numFmt w:val="decimal"/>
          </w:footnotePr>
          <w:type w:val="nextPage"/>
          <w:pgSz w:w="11906" w:h="16838"/>
          <w:pgMar w:left="1701" w:right="1701" w:gutter="0" w:header="708" w:top="1417" w:footer="0" w:bottom="1417"/>
          <w:pgNumType w:fmt="decimal"/>
          <w:formProt w:val="false"/>
          <w:textDirection w:val="lrTb"/>
          <w:docGrid w:type="default" w:linePitch="100" w:charSpace="4096"/>
        </w:sect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Figura 10 apresenta um mapa mental que sintetiza as ramificações da pesquisa. O esquema ilustra a interconexão entre o enquadramento metodológico geral, as fases macro de execução, o ciclo da </w:t>
      </w:r>
      <w:r>
        <w:rPr>
          <w:rFonts w:eastAsia="Times New Roman" w:cs="Times New Roman"/>
          <w:i/>
          <w:iCs/>
          <w:color w:themeColor="text1" w:val="000000"/>
          <w:sz w:val="24"/>
          <w:szCs w:val="24"/>
        </w:rPr>
        <w:t>Design Science Research</w:t>
      </w:r>
      <w:r>
        <w:rPr>
          <w:rFonts w:eastAsia="Times New Roman" w:cs="Times New Roman"/>
          <w:color w:themeColor="text1" w:val="000000"/>
          <w:sz w:val="24"/>
          <w:szCs w:val="24"/>
        </w:rPr>
        <w:t xml:space="preserve"> (DSR), os métodos de coleta e análise, bem como a integração de inteligência artificial generativa.</w:t>
      </w:r>
    </w:p>
    <w:p>
      <w:pPr>
        <w:pStyle w:val="Caption"/>
        <w:keepNext w:val="true"/>
        <w:spacing w:lineRule="auto" w:line="360" w:before="0" w:after="0"/>
        <w:jc w:val="center"/>
        <w:rPr>
          <w:rFonts w:ascii="Calibri" w:hAnsi="Calibri" w:cs="Calibri" w:asciiTheme="minorHAnsi" w:cstheme="minorHAnsi" w:hAnsiTheme="minorHAnsi"/>
          <w:color w:val="auto"/>
          <w:sz w:val="20"/>
          <w:szCs w:val="20"/>
        </w:rPr>
      </w:pPr>
      <w:bookmarkStart w:id="195" w:name="_Toc240362131"/>
      <w:r>
        <w:rPr>
          <w:rFonts w:cs="Calibri" w:ascii="Calibri" w:hAnsi="Calibri" w:asciiTheme="minorHAnsi" w:cstheme="minorHAnsi" w:hAnsiTheme="minorHAnsi"/>
          <w:color w:val="auto"/>
          <w:sz w:val="20"/>
          <w:szCs w:val="20"/>
        </w:rPr>
        <w:t xml:space="preserve">Figura </w:t>
      </w:r>
      <w:r>
        <w:rPr>
          <w:rFonts w:cs="Calibri" w:ascii="Calibri" w:hAnsi="Calibri" w:asciiTheme="minorHAnsi" w:cstheme="minorHAnsi" w:hAnsiTheme="minorHAnsi"/>
          <w:color w:val="auto"/>
          <w:sz w:val="20"/>
          <w:szCs w:val="20"/>
        </w:rPr>
        <w:fldChar w:fldCharType="begin"/>
      </w:r>
      <w:r>
        <w:rPr>
          <w:sz w:val="20"/>
          <w:szCs w:val="20"/>
          <w:rFonts w:cs="Calibri" w:ascii="Calibri" w:hAnsi="Calibri"/>
          <w:color w:val="auto"/>
        </w:rPr>
        <w:instrText xml:space="preserve"> SEQ Figura \* ARABIC </w:instrText>
      </w:r>
      <w:r>
        <w:rPr>
          <w:sz w:val="20"/>
          <w:szCs w:val="20"/>
          <w:rFonts w:cs="Calibri" w:ascii="Calibri" w:hAnsi="Calibri"/>
          <w:color w:val="auto"/>
        </w:rPr>
        <w:fldChar w:fldCharType="separate"/>
      </w:r>
      <w:r>
        <w:rPr>
          <w:sz w:val="20"/>
          <w:szCs w:val="20"/>
          <w:rFonts w:cs="Calibri" w:ascii="Calibri" w:hAnsi="Calibri"/>
          <w:color w:val="auto"/>
        </w:rPr>
        <w:t>10</w:t>
      </w:r>
      <w:r>
        <w:rPr>
          <w:sz w:val="20"/>
          <w:szCs w:val="20"/>
          <w:rFonts w:cs="Calibri" w:ascii="Calibri" w:hAnsi="Calibri"/>
          <w:color w:val="auto"/>
        </w:rPr>
        <w:fldChar w:fldCharType="end"/>
      </w:r>
      <w:r>
        <w:rPr>
          <w:rFonts w:cs="Calibri" w:ascii="Calibri" w:hAnsi="Calibri" w:asciiTheme="minorHAnsi" w:cstheme="minorHAnsi" w:hAnsiTheme="minorHAnsi"/>
          <w:color w:val="auto"/>
          <w:sz w:val="20"/>
          <w:szCs w:val="20"/>
        </w:rPr>
        <w:t xml:space="preserve"> - Mapa mental da </w:t>
      </w:r>
      <w:r>
        <w:rPr>
          <w:rFonts w:cs="Calibri" w:ascii="Calibri" w:hAnsi="Calibri" w:asciiTheme="minorHAnsi" w:cstheme="minorHAnsi" w:hAnsiTheme="minorHAnsi"/>
          <w:i w:val="false"/>
          <w:iCs w:val="false"/>
          <w:color w:val="auto"/>
          <w:sz w:val="20"/>
          <w:szCs w:val="20"/>
        </w:rPr>
        <w:t>metodologia</w:t>
      </w:r>
      <w:r>
        <w:rPr>
          <w:rFonts w:cs="Calibri" w:ascii="Calibri" w:hAnsi="Calibri" w:asciiTheme="minorHAnsi" w:cstheme="minorHAnsi" w:hAnsiTheme="minorHAnsi"/>
          <w:color w:val="auto"/>
          <w:sz w:val="20"/>
          <w:szCs w:val="20"/>
        </w:rPr>
        <w:t xml:space="preserve"> de pesquisa</w:t>
      </w:r>
      <w:bookmarkEnd w:id="195"/>
      <w:r>
        <w:rPr>
          <w:rFonts w:cs="Calibri" w:ascii="Calibri" w:hAnsi="Calibri" w:asciiTheme="minorHAnsi" w:cstheme="minorHAnsi" w:hAnsiTheme="minorHAnsi"/>
          <w:color w:val="auto"/>
          <w:sz w:val="20"/>
          <w:szCs w:val="20"/>
        </w:rPr>
        <w:t xml:space="preserve"> </w:t>
      </w:r>
    </w:p>
    <w:p>
      <w:pPr>
        <w:pStyle w:val="Normal"/>
        <w:rPr/>
      </w:pPr>
      <w:r>
        <w:rPr/>
        <w:drawing>
          <wp:inline distT="0" distB="0" distL="0" distR="0">
            <wp:extent cx="8892540" cy="4848860"/>
            <wp:effectExtent l="0" t="0" r="0" b="0"/>
            <wp:docPr id="12"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 descr=""/>
                    <pic:cNvPicPr>
                      <a:picLocks noChangeAspect="1" noChangeArrowheads="1"/>
                    </pic:cNvPicPr>
                  </pic:nvPicPr>
                  <pic:blipFill>
                    <a:blip r:embed="rId31"/>
                    <a:stretch>
                      <a:fillRect/>
                    </a:stretch>
                  </pic:blipFill>
                  <pic:spPr bwMode="auto">
                    <a:xfrm>
                      <a:off x="0" y="0"/>
                      <a:ext cx="8892540" cy="4848860"/>
                    </a:xfrm>
                    <a:prstGeom prst="rect">
                      <a:avLst/>
                    </a:prstGeom>
                  </pic:spPr>
                </pic:pic>
              </a:graphicData>
            </a:graphic>
          </wp:inline>
        </w:drawing>
      </w:r>
    </w:p>
    <w:p>
      <w:pPr>
        <w:sectPr>
          <w:headerReference w:type="default" r:id="rId32"/>
          <w:headerReference w:type="first" r:id="rId33"/>
          <w:footerReference w:type="default" r:id="rId34"/>
          <w:footerReference w:type="first" r:id="rId35"/>
          <w:footnotePr>
            <w:numFmt w:val="decimal"/>
          </w:footnotePr>
          <w:type w:val="nextPage"/>
          <w:pgSz w:orient="landscape" w:w="16838" w:h="11906"/>
          <w:pgMar w:left="1417" w:right="1417" w:gutter="0" w:header="708" w:top="1701" w:footer="0" w:bottom="1701"/>
          <w:pgNumType w:fmt="decimal"/>
          <w:formProt w:val="false"/>
          <w:textDirection w:val="lrTb"/>
          <w:docGrid w:type="default" w:linePitch="299" w:charSpace="4096"/>
        </w:sectPr>
        <w:pStyle w:val="Normal"/>
        <w:spacing w:lineRule="auto" w:line="360" w:before="0" w:after="0"/>
        <w:jc w:val="center"/>
        <w:rPr>
          <w:rFonts w:ascii="Calibri" w:hAnsi="Calibri" w:eastAsia="Times New Roman" w:cs="Calibri" w:asciiTheme="minorHAnsi" w:cstheme="minorHAnsi" w:hAnsiTheme="minorHAnsi"/>
          <w:color w:themeColor="text1" w:val="000000"/>
          <w:sz w:val="16"/>
          <w:szCs w:val="16"/>
        </w:rPr>
      </w:pPr>
      <w:r>
        <w:rPr>
          <w:rFonts w:eastAsia="Times New Roman" w:cs="Calibri" w:ascii="Calibri" w:hAnsi="Calibri" w:asciiTheme="minorHAnsi" w:cstheme="minorHAnsi" w:hAnsiTheme="minorHAnsi"/>
          <w:color w:themeColor="text1" w:val="000000"/>
          <w:sz w:val="16"/>
          <w:szCs w:val="16"/>
        </w:rPr>
        <w:t>Fonte: Elaborado pelo autor (2026)</w:t>
      </w:r>
    </w:p>
    <w:p>
      <w:pPr>
        <w:pStyle w:val="Heading3"/>
        <w:spacing w:lineRule="auto" w:line="360" w:before="0" w:after="0"/>
        <w:rPr>
          <w:rFonts w:ascii="Times New Roman" w:hAnsi="Times New Roman" w:eastAsia="Times New Roman" w:cs="Times New Roman"/>
          <w:color w:themeColor="text1" w:val="000000"/>
          <w:sz w:val="26"/>
          <w:szCs w:val="26"/>
        </w:rPr>
      </w:pPr>
      <w:bookmarkStart w:id="196" w:name="_Toc242269321"/>
      <w:bookmarkStart w:id="197" w:name="_Toc242269240"/>
      <w:bookmarkStart w:id="198" w:name="_Toc242269161"/>
      <w:bookmarkStart w:id="199" w:name="_Toc229596859"/>
      <w:r>
        <w:rPr>
          <w:rFonts w:eastAsia="Times New Roman" w:cs="Times New Roman"/>
          <w:color w:themeColor="text1" w:val="000000"/>
          <w:sz w:val="26"/>
          <w:szCs w:val="26"/>
        </w:rPr>
        <w:t>3.5.1 Adoção estratégica da inteligência artificial no ciclo de desenvolvimento de framework</w:t>
      </w:r>
      <w:bookmarkEnd w:id="196"/>
      <w:bookmarkEnd w:id="197"/>
      <w:bookmarkEnd w:id="198"/>
      <w:bookmarkEnd w:id="199"/>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utilização de IA generativa no presente trabalho foi realizada para apoiar no levantamento bibliográfico, organização de texto, adaptação e geração de imagens a partir de dados sistematizados de modo crítico, com leitura e escrita sob responsabilidade do autor.</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O recurso a esse ferramental justifica-se porque a automação provida pelas interfaces generativas qualifica o processo analítico e acelera o esforço de programação (Osório, 2025, p. 55-56). Estudos indicam que a aplicação de LLMs no ciclo de desenvolvimento de </w:t>
      </w:r>
      <w:r>
        <w:rPr>
          <w:rFonts w:eastAsia="Times New Roman" w:cs="Times New Roman"/>
          <w:i/>
          <w:iCs/>
          <w:color w:themeColor="text1" w:val="000000"/>
          <w:sz w:val="24"/>
          <w:szCs w:val="24"/>
        </w:rPr>
        <w:t>software</w:t>
      </w:r>
      <w:r>
        <w:rPr>
          <w:rFonts w:eastAsia="Times New Roman" w:cs="Times New Roman"/>
          <w:color w:themeColor="text1" w:val="000000"/>
          <w:sz w:val="24"/>
          <w:szCs w:val="24"/>
        </w:rPr>
        <w:t xml:space="preserve"> libera entre 30% e 50% do tempo gasto por desenvolvedores em tarefas operacionais de baixa complexidade (Candido, 2025), permitindo ao pesquisador concentrar-se na modelagem do negócio, nas simulações estocásticas, nos fatores ambientais e nos painéis de verificação e validação.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inteligência artificial é, assim, posicionada como engrenagem de inovação que agrega agilidade, eficiência processual e garantia de qualidade (McKinsey, 2025), aplicável à geração automatizada de relatórios, a correções sintáticas e à extração semântica de informações em grandes volumes de dados (Osório, 2025, p. 68-77).</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A escolha da linguagem Python como núcleo lógico do EVTEAS-Py é amparada por exame de 15.770 repositórios de código aberto, que constatou o domínio das bibliotecas em Python na intersecção com a inteligência artificial e a modelagem matemática (Ubaldo; Coelho, 2024, p. 14), em razão da versatilidade da linguagem e de seu ecossistema de bibliotecas (Campos, 2025).</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3"/>
        <w:spacing w:lineRule="auto" w:line="360" w:before="0" w:after="0"/>
        <w:rPr>
          <w:rFonts w:ascii="Times New Roman" w:hAnsi="Times New Roman" w:eastAsia="Times New Roman" w:cs="Times New Roman"/>
          <w:color w:themeColor="text1" w:val="000000"/>
          <w:sz w:val="26"/>
          <w:szCs w:val="26"/>
        </w:rPr>
      </w:pPr>
      <w:bookmarkStart w:id="200" w:name="_Toc242269322"/>
      <w:bookmarkStart w:id="201" w:name="_Toc242269241"/>
      <w:bookmarkStart w:id="202" w:name="_Toc242269162"/>
      <w:bookmarkStart w:id="203" w:name="_Toc229596860"/>
      <w:bookmarkStart w:id="204" w:name="_Toc229935465"/>
      <w:r>
        <w:rPr>
          <w:rFonts w:eastAsia="Times New Roman" w:cs="Times New Roman"/>
          <w:color w:themeColor="text1" w:val="000000"/>
          <w:sz w:val="26"/>
          <w:szCs w:val="26"/>
        </w:rPr>
        <w:t>3.5.2 Processos generativos em refatoração, otimização e prevenção de anomalias</w:t>
      </w:r>
      <w:bookmarkEnd w:id="200"/>
      <w:bookmarkEnd w:id="201"/>
      <w:bookmarkEnd w:id="202"/>
      <w:bookmarkEnd w:id="203"/>
      <w:bookmarkEnd w:id="204"/>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Na Etapa 7 da </w:t>
      </w:r>
      <w:r>
        <w:rPr>
          <w:rFonts w:eastAsia="Times New Roman" w:cs="Times New Roman"/>
          <w:i/>
          <w:iCs/>
          <w:color w:themeColor="text1" w:val="000000"/>
          <w:sz w:val="24"/>
          <w:szCs w:val="24"/>
        </w:rPr>
        <w:t>Design Science Research</w:t>
      </w:r>
      <w:r>
        <w:rPr>
          <w:rFonts w:eastAsia="Times New Roman" w:cs="Times New Roman"/>
          <w:color w:themeColor="text1" w:val="000000"/>
          <w:sz w:val="24"/>
          <w:szCs w:val="24"/>
        </w:rPr>
        <w:t>, a codificação de milhares de laços de simulação e de fluxos de caixa livre descontados exige sintaxe computacional impecável, pois o custo de processamento das projeções de risco de longo prazo não tolera complexidade ciclomática injustificada ou alocação imprecisa de memória.</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Diante desses requisitos de "viabilidade técnica" (Boehm, 1984), a IA generativa atua na refatoração inteligente de código legado ou rascunhado.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Na prática, algoritmos baseados em IA examinam o código em Python, promovendo a substituição de funções lentas ou obsoletas por implementações vetoriais mais velozes e seguras, e avaliam a integridade das Árvores de Sintaxe Abstrata (</w:t>
      </w:r>
      <w:r>
        <w:rPr>
          <w:rFonts w:eastAsia="Times New Roman" w:cs="Times New Roman"/>
          <w:i/>
          <w:iCs/>
          <w:color w:themeColor="text1" w:val="000000"/>
          <w:sz w:val="24"/>
          <w:szCs w:val="24"/>
        </w:rPr>
        <w:t>Abstract Syntax Trees</w:t>
      </w:r>
      <w:r>
        <w:rPr>
          <w:rFonts w:eastAsia="Times New Roman" w:cs="Times New Roman"/>
          <w:color w:themeColor="text1" w:val="000000"/>
          <w:sz w:val="24"/>
          <w:szCs w:val="24"/>
        </w:rPr>
        <w:t xml:space="preserve"> - AST) do </w:t>
      </w:r>
      <w:r>
        <w:rPr>
          <w:rFonts w:eastAsia="Times New Roman" w:cs="Times New Roman"/>
          <w:i/>
          <w:iCs/>
          <w:color w:themeColor="text1" w:val="000000"/>
          <w:sz w:val="24"/>
          <w:szCs w:val="24"/>
        </w:rPr>
        <w:t>software</w:t>
      </w:r>
      <w:r>
        <w:rPr>
          <w:rFonts w:eastAsia="Times New Roman" w:cs="Times New Roman"/>
          <w:color w:themeColor="text1" w:val="000000"/>
          <w:sz w:val="24"/>
          <w:szCs w:val="24"/>
        </w:rPr>
        <w:t xml:space="preserve"> (Garcia, 2025). Se detectada, por exemplo, similaridade sintática de 85% entre trechos que calculam riscos sociais da operação, o assistente recomenda a refatoração por meio da extração parametrizada de uma função unificada.</w:t>
      </w:r>
    </w:p>
    <w:p>
      <w:pPr>
        <w:pStyle w:val="Heading3"/>
        <w:spacing w:lineRule="auto" w:line="360" w:before="0" w:after="0"/>
        <w:rPr>
          <w:rFonts w:ascii="Times New Roman" w:hAnsi="Times New Roman" w:eastAsia="Times New Roman" w:cs="Times New Roman"/>
          <w:color w:themeColor="text1" w:val="000000"/>
          <w:sz w:val="26"/>
          <w:szCs w:val="26"/>
        </w:rPr>
      </w:pPr>
      <w:bookmarkStart w:id="205" w:name="_Toc242269323"/>
      <w:bookmarkStart w:id="206" w:name="_Toc242269242"/>
      <w:bookmarkStart w:id="207" w:name="_Toc242269163"/>
      <w:bookmarkStart w:id="208" w:name="_Toc229596861"/>
      <w:bookmarkStart w:id="209" w:name="_Toc229935466"/>
      <w:r>
        <w:rPr>
          <w:rFonts w:eastAsia="Times New Roman" w:cs="Times New Roman"/>
          <w:color w:themeColor="text1" w:val="000000"/>
          <w:sz w:val="26"/>
          <w:szCs w:val="26"/>
        </w:rPr>
        <w:t>3.5.3 A Governança cognitiva algorítmica e o paradigma "</w:t>
      </w:r>
      <w:r>
        <w:rPr>
          <w:rFonts w:eastAsia="Times New Roman" w:cs="Times New Roman"/>
          <w:i/>
          <w:iCs/>
          <w:color w:themeColor="text1" w:val="000000"/>
          <w:sz w:val="26"/>
          <w:szCs w:val="26"/>
        </w:rPr>
        <w:t>Human-in-the-Loop</w:t>
      </w:r>
      <w:r>
        <w:rPr>
          <w:rFonts w:eastAsia="Times New Roman" w:cs="Times New Roman"/>
          <w:color w:themeColor="text1" w:val="000000"/>
          <w:sz w:val="26"/>
          <w:szCs w:val="26"/>
        </w:rPr>
        <w:t>"</w:t>
      </w:r>
      <w:bookmarkEnd w:id="205"/>
      <w:bookmarkEnd w:id="206"/>
      <w:bookmarkEnd w:id="207"/>
      <w:bookmarkEnd w:id="208"/>
      <w:bookmarkEnd w:id="209"/>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Os benefícios em produtividade não autorizam a alienação da responsabilidade cognitiva do autor. Modelos baseados na arquitetura Transformer, que alicerça as atuais ferramentas de IA generativa, consistem em sistemas de análise estatística focados na previsão do elemento textual ou numérico subsequente mais provável em uma sequência (Osório, 2025, p. 71).</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Essas inteligências artificiais são desprovidas de senciência, de intencionalidade e de "bom senso" frente ao mundo real (Osório, 2025, p. 73) e, diante de lacunas em seus dados de treinamento, podem incorrer em "alucinações algorítmicas", gerando textos, referências bibliográficas ou códigos verossímeis, porém repletos de incongruências lógicas ou falhas conceituais (Osório, 2025, p. 74).</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Além disso, pesquisas do MIT CSAIL indicam que, embora os LLMs apresentem bom desempenho ao gerar trechos isolados de programação, revelam insuficiências no raciocínio holístico e na orquestração arquitetural; ponderar </w:t>
      </w:r>
      <w:r>
        <w:rPr>
          <w:rFonts w:eastAsia="Times New Roman" w:cs="Times New Roman"/>
          <w:i/>
          <w:iCs/>
          <w:color w:themeColor="text1" w:val="000000"/>
          <w:sz w:val="24"/>
          <w:szCs w:val="24"/>
        </w:rPr>
        <w:t>trade-offs</w:t>
      </w:r>
      <w:r>
        <w:rPr>
          <w:rFonts w:eastAsia="Times New Roman" w:cs="Times New Roman"/>
          <w:color w:themeColor="text1" w:val="000000"/>
          <w:sz w:val="24"/>
          <w:szCs w:val="24"/>
        </w:rPr>
        <w:t>, como o consumo de memória versus a fidelidade dos impactos socioambientais reportados, exige maturidade de engenharia humana (IBM, 2025).</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Consequentemente, adota-se o paradigma </w:t>
      </w:r>
      <w:r>
        <w:rPr>
          <w:rFonts w:eastAsia="Times New Roman" w:cs="Times New Roman"/>
          <w:i/>
          <w:iCs/>
          <w:color w:themeColor="text1" w:val="000000"/>
          <w:sz w:val="24"/>
          <w:szCs w:val="24"/>
        </w:rPr>
        <w:t>Human-in-the-Loop</w:t>
      </w:r>
      <w:r>
        <w:rPr>
          <w:rFonts w:eastAsia="Times New Roman" w:cs="Times New Roman"/>
          <w:color w:themeColor="text1" w:val="000000"/>
          <w:sz w:val="24"/>
          <w:szCs w:val="24"/>
        </w:rPr>
        <w:t xml:space="preserve"> (HITL): a inteligência artificial atua como "copiloto" assistente, e o pesquisador, como "piloto", rege, avalia, valida e conduz as saídas da máquina, assumindo a responsabilidade intelectual final pelo artefato (Osório, 2025, p. 76). A IA generativa pode apoiar a prototipagem de sistemas, a automatização de procedimentos e a tomada de decisão, mas como ferramenta auxiliar, e não como substituta do julgamento profissional: Santos </w:t>
      </w:r>
      <w:r>
        <w:rPr>
          <w:rFonts w:eastAsia="Times New Roman" w:cs="Times New Roman"/>
          <w:i/>
          <w:iCs/>
          <w:color w:themeColor="text1" w:val="000000"/>
          <w:sz w:val="24"/>
          <w:szCs w:val="24"/>
        </w:rPr>
        <w:t xml:space="preserve">et al. </w:t>
      </w:r>
      <w:r>
        <w:rPr>
          <w:rFonts w:eastAsia="Times New Roman" w:cs="Times New Roman"/>
          <w:color w:themeColor="text1" w:val="000000"/>
          <w:sz w:val="24"/>
          <w:szCs w:val="24"/>
        </w:rPr>
        <w:t>(2025, p. 11–12) demonstram que seus resultados ainda podem apresentar limitações funcionais, exigindo refinamento dos comandos, testagem, supervisão humana, capacitação em engenharia de prompts e governança transparente.</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 construção de soluções com IA generativa depende também da formulação criteriosa dos prompts. Santos </w:t>
      </w:r>
      <w:r>
        <w:rPr>
          <w:rFonts w:eastAsia="Times New Roman" w:cs="Times New Roman"/>
          <w:i/>
          <w:iCs/>
          <w:color w:themeColor="text1" w:val="000000"/>
          <w:sz w:val="24"/>
          <w:szCs w:val="24"/>
        </w:rPr>
        <w:t>et al.</w:t>
      </w:r>
      <w:r>
        <w:rPr>
          <w:rFonts w:eastAsia="Times New Roman" w:cs="Times New Roman"/>
          <w:color w:themeColor="text1" w:val="000000"/>
          <w:sz w:val="24"/>
          <w:szCs w:val="24"/>
        </w:rPr>
        <w:t xml:space="preserve"> (2025, p. 4–5) articularam a engenharia de prompts aos princípios do </w:t>
      </w:r>
      <w:r>
        <w:rPr>
          <w:rFonts w:eastAsia="Times New Roman" w:cs="Times New Roman"/>
          <w:i/>
          <w:iCs/>
          <w:color w:themeColor="text1" w:val="000000"/>
          <w:sz w:val="24"/>
          <w:szCs w:val="24"/>
        </w:rPr>
        <w:t>Design Thinking</w:t>
      </w:r>
      <w:r>
        <w:rPr>
          <w:rFonts w:eastAsia="Times New Roman" w:cs="Times New Roman"/>
          <w:color w:themeColor="text1" w:val="000000"/>
          <w:sz w:val="24"/>
          <w:szCs w:val="24"/>
        </w:rPr>
        <w:t>, envolvendo a compreensão do problema, a definição das variáveis de entrada, os critérios de priorização e os resultados esperados, seguidos de prototipagem e testagem. Na codificação do EVTEAS-Py, isso significa fornecer premissas detalhadas sobre o escopo geográfico, a biometria aquícola e os parâmetros do fluxo de caixa antes de extrair do copiloto propostas lógicas de processamento.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r>
    </w:p>
    <w:p>
      <w:pPr>
        <w:pStyle w:val="Heading2"/>
        <w:spacing w:lineRule="auto" w:line="360" w:before="0" w:after="0"/>
        <w:rPr>
          <w:rFonts w:ascii="Times New Roman" w:hAnsi="Times New Roman" w:eastAsia="Times New Roman" w:cs="Times New Roman"/>
          <w:b/>
          <w:bCs/>
          <w:color w:themeColor="text1" w:val="000000"/>
          <w:sz w:val="28"/>
          <w:szCs w:val="28"/>
        </w:rPr>
      </w:pPr>
      <w:bookmarkStart w:id="210" w:name="_Toc242269324"/>
      <w:bookmarkStart w:id="211" w:name="_Toc242269243"/>
      <w:bookmarkStart w:id="212" w:name="_Toc242269164"/>
      <w:r>
        <w:rPr>
          <w:rFonts w:eastAsia="Times New Roman" w:cs="Times New Roman" w:ascii="Times New Roman" w:hAnsi="Times New Roman"/>
          <w:b/>
          <w:bCs/>
          <w:color w:themeColor="text1" w:val="000000"/>
          <w:sz w:val="28"/>
          <w:szCs w:val="28"/>
        </w:rPr>
        <w:t>3.6 Resultados esperados</w:t>
      </w:r>
      <w:bookmarkEnd w:id="210"/>
      <w:bookmarkEnd w:id="211"/>
      <w:bookmarkEnd w:id="212"/>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Ao término do percurso metodológico delineado, espera-se obter como principal resultado o artefato tecnológico denominado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EVTEAS-Py, plenamente funcional e capaz de integrar, de forma sistemática e automatizada, as dimensões técnica, econômica, ambiental e social dos estudos de viabilidade aplicados à piscicultura. Projeta-se que o artefato seja apto a receber dados de entrada parametrizados pelo usuário e gerar, como resultados, indicadores de desempenho - </w:t>
      </w:r>
      <w:r>
        <w:rPr>
          <w:rFonts w:eastAsia="Times New Roman" w:cs="Times New Roman"/>
          <w:i/>
          <w:iCs/>
          <w:color w:themeColor="text1" w:val="000000"/>
          <w:sz w:val="24"/>
          <w:szCs w:val="24"/>
        </w:rPr>
        <w:t xml:space="preserve">Key Performance Indicators </w:t>
      </w:r>
      <w:r>
        <w:rPr>
          <w:rFonts w:eastAsia="Times New Roman" w:cs="Times New Roman"/>
          <w:color w:themeColor="text1" w:val="000000"/>
          <w:sz w:val="24"/>
          <w:szCs w:val="24"/>
        </w:rPr>
        <w:t>(KPIs), métricas econômico-financeiras e índices compostos de viabilidade que sintetizem o mérito sustentável do empreendimento.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Espera-se, particularmente, que o EVTEAS-Py seja aplicável à avaliação </w:t>
      </w:r>
      <w:r>
        <w:rPr>
          <w:rFonts w:eastAsia="Times New Roman" w:cs="Times New Roman"/>
          <w:i/>
          <w:iCs/>
          <w:color w:themeColor="text1" w:val="000000"/>
          <w:sz w:val="24"/>
          <w:szCs w:val="24"/>
        </w:rPr>
        <w:t>ex ante</w:t>
      </w:r>
      <w:r>
        <w:rPr>
          <w:rFonts w:eastAsia="Times New Roman" w:cs="Times New Roman"/>
          <w:color w:themeColor="text1" w:val="000000"/>
          <w:sz w:val="24"/>
          <w:szCs w:val="24"/>
        </w:rPr>
        <w:t xml:space="preserve"> de empreendimentos aquícolas ainda não implantados ou em fase inicial de planejamento. Como esses empreendimentos podem não possuir dados pretéritos de produção, custos, mortalidade ou desempenho socioambiental, o </w:t>
      </w:r>
      <w:r>
        <w:rPr>
          <w:rFonts w:eastAsia="Times New Roman" w:cs="Times New Roman"/>
          <w:i/>
          <w:iCs/>
          <w:color w:themeColor="text1" w:val="000000"/>
          <w:sz w:val="24"/>
          <w:szCs w:val="24"/>
        </w:rPr>
        <w:t xml:space="preserve">framework </w:t>
      </w:r>
      <w:r>
        <w:rPr>
          <w:rFonts w:eastAsia="Times New Roman" w:cs="Times New Roman"/>
          <w:color w:themeColor="text1" w:val="000000"/>
          <w:sz w:val="24"/>
          <w:szCs w:val="24"/>
        </w:rPr>
        <w:t>não deverá depender de séries históricas, exigência que inviabilizaria a análise de projetos em concepção.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Quando houver dados históricos confiáveis, estes poderão ser empregados para estimar as distribuições de probabilidade das variáveis. Todavia, na ausência dessas informações, espera-se que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permita a utilização de dados provenientes de estimativas técnicas, cotações de mercado, estudos de viabilidade, parâmetros zootécnicos, referências bibliográficas, empreendimentos análogos e julgamentos fundamentados de especialistas. Oliveira e Medeiros Neto (2012, p. 454) indicam que, na ausência de séries de dados, a incerteza pode ser representada por probabilidades subjetivas e por distribuições uniformes ou triangulares.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Espera-se que o EVTEAS-Py permita selecionar a distribuição mais adequada à informação disponível: a uniforme, quando forem conhecidos apenas os limites mínimo e máximo da variável; e a triangular, quando, além dos limites, for possível estabelecer um valor mais provável com base em conhecimento técnico ou avaliação especializada. Essa estrutura deverá possibilitar a modelagem de variáveis como preço de venda, produtividade, taxa de sobrevivência, conversão alimentar, custos de ração, consumo de energia e água, investimentos, despesas operacionais e demais parâmetros sujeitos à variabilidade. Do ponto de vista computacional, essa lógica corresponde ao procedimento clássico da simulação estocástica descrito por Rubinstein e Kroese (2017, p. xiii), no qual a aleatoriedade é introduzida no modelo por meio de variáveis aleatórias independentes e uniformemente distribuídas, empregadas como blocos construtivos para simular sistemas estocásticos mais gerais; no EVTEAS-Py, são esses números uniformes que darão origem às variáveis de entrada com distribuição uniforme ou triangular.</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Quanto à análise quantitativa, espera-se que a Simulação de Monte Carlo converta os valores pontuais do modelo determinístico em distribuições de resultados possíveis. Mediante milhares de iterações,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deverá produzir distribuições probabilísticas para indicadores como Valor Presente Líquido (VPL), Taxa Interna de Retorno (TIR), retorno sobre o investimento, período de retorno e outros indicadores técnicos, econômicos e socioambientais selecionados. A partir dessas distribuições, deverão ser calculadas medidas como: médias, mediana, desvio-padrão, variância, percentis, intervalos de confiança e probabilidade de ocorrência de resultados críticos, como a probabilidade de o VPL ser negativo. Na terminologia de Rubinstein e Kroese (2017, p. xiv), trata-se de um modelo de simulação estático, isto é, que não evolui no tempo, ao contrário dos modelos dinâmicos, cujos dados de saída são submetidos à análise estatística: cada iteração amostra um vetor de premissas e recalcula os fluxos de caixa de todo o horizonte de análise, sem representar a trajetória do sistema como um processo estocástico.</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 xml:space="preserve">Espera-se ainda que o </w:t>
      </w:r>
      <w:r>
        <w:rPr>
          <w:rFonts w:eastAsia="Times New Roman" w:cs="Times New Roman"/>
          <w:i/>
          <w:iCs/>
          <w:color w:themeColor="text1" w:val="000000"/>
          <w:sz w:val="24"/>
          <w:szCs w:val="24"/>
        </w:rPr>
        <w:t>framework</w:t>
      </w:r>
      <w:r>
        <w:rPr>
          <w:rFonts w:eastAsia="Times New Roman" w:cs="Times New Roman"/>
          <w:color w:themeColor="text1" w:val="000000"/>
          <w:sz w:val="24"/>
          <w:szCs w:val="24"/>
        </w:rPr>
        <w:t xml:space="preserve"> registre a origem de cada parâmetro utilizado, diferenciando dados históricos, dados secundários, cotações de mercado, valores normativos, parâmetros bibliográficos e estimativas fornecidas por especialistas. Os valores mínimo, máximo e mais provável deverão permanecer visíveis e editáveis pelo usuário, garantindo transparência, rastreabilidade e possibilidade de atualização das premissas.</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No tocante à etapa de Verificação e Validação (V&amp;V), espera-se que a apreciação do artefato por dois especialistas, um da área de desenvolvimento de frameworks computacionais e outro da área de piscicultura, confirme sua aderência funcional, consistência algorítmica e pertinência prática. Espera-se, ademais, que a parametrização dos pesos pela escala Likert (Quadro 7) e a triangulação das avaliações resultem em índices de viabilidade rastreáveis e auditáveis, reduzindo o viés individual do pesquisador.</w:t>
      </w:r>
    </w:p>
    <w:p>
      <w:pPr>
        <w:pStyle w:val="Normal"/>
        <w:spacing w:lineRule="auto" w:line="360" w:before="0" w:after="0"/>
        <w:ind w:firstLine="708"/>
        <w:jc w:val="both"/>
        <w:rPr>
          <w:rFonts w:ascii="Times New Roman" w:hAnsi="Times New Roman" w:eastAsia="Times New Roman" w:cs="Times New Roman"/>
          <w:color w:themeColor="text1" w:val="000000"/>
          <w:sz w:val="24"/>
          <w:szCs w:val="24"/>
        </w:rPr>
      </w:pPr>
      <w:r>
        <w:rPr>
          <w:rFonts w:eastAsia="Times New Roman" w:cs="Times New Roman"/>
          <w:color w:themeColor="text1" w:val="000000"/>
          <w:sz w:val="24"/>
          <w:szCs w:val="24"/>
        </w:rPr>
        <w:t>Como contribuição final, espera-se que o EVTEAS-Py constitua uma metodologia replicável para a elaboração de estudos de viabilidade de empreendimentos aquícolas, especialmente aqueles em fase de planejamento e sem histórico operacional próprio. Pretende-se, assim, oferecer aos produtores, comunidades, organizações fomentadoras e gestores públicos uma ferramenta de apoio à decisão que explicite tanto o potencial de viabilidade sustentável quanto os riscos decorrentes da insuficiência de dados e das incertezas inerentes às projeções futuras.</w:t>
      </w:r>
    </w:p>
    <w:p>
      <w:pPr>
        <w:pStyle w:val="Heading2"/>
        <w:spacing w:lineRule="auto" w:line="360" w:before="0" w:after="0"/>
        <w:rPr>
          <w:rFonts w:ascii="Times New Roman" w:hAnsi="Times New Roman" w:eastAsia="Times New Roman" w:cs="Times New Roman"/>
          <w:b/>
          <w:bCs/>
          <w:color w:themeColor="text1" w:val="000000"/>
          <w:sz w:val="28"/>
          <w:szCs w:val="28"/>
        </w:rPr>
      </w:pPr>
      <w:bookmarkStart w:id="213" w:name="_Toc242269325"/>
      <w:bookmarkStart w:id="214" w:name="_Toc242269244"/>
      <w:bookmarkStart w:id="215" w:name="_Toc242269165"/>
      <w:r>
        <w:rPr>
          <w:rFonts w:eastAsia="Times New Roman" w:cs="Times New Roman" w:ascii="Times New Roman" w:hAnsi="Times New Roman"/>
          <w:b/>
          <w:bCs/>
          <w:color w:themeColor="text1" w:val="000000"/>
          <w:sz w:val="28"/>
          <w:szCs w:val="28"/>
        </w:rPr>
        <w:t>3.7 Cronograma da Pesquisa</w:t>
      </w:r>
      <w:bookmarkEnd w:id="213"/>
      <w:bookmarkEnd w:id="214"/>
      <w:bookmarkEnd w:id="215"/>
    </w:p>
    <w:p>
      <w:pPr>
        <w:pStyle w:val="Normal"/>
        <w:spacing w:lineRule="auto" w:line="360" w:before="0" w:after="0"/>
        <w:ind w:firstLine="708"/>
        <w:jc w:val="both"/>
        <w:rPr>
          <w:rFonts w:ascii="Times New Roman" w:hAnsi="Times New Roman" w:eastAsia="Times New Roman" w:cs="Times New Roman"/>
          <w:sz w:val="24"/>
          <w:szCs w:val="24"/>
        </w:rPr>
      </w:pPr>
      <w:r>
        <w:rPr>
          <w:rFonts w:eastAsia="Times New Roman" w:cs="Times New Roman"/>
          <w:sz w:val="24"/>
          <w:szCs w:val="24"/>
        </w:rPr>
        <w:t>O cronograma exposto a seguir estrutura a continuação desta investigação após a banca de qualificação, segundo as três fases macro e as doze etapas da DSR descritas no Capítulo 3, em dois quadros complementares: o Quadro 8 detalha, para cada fase metodológica, os objetivos específicos perseguidos, as atividades executadas ou previstas, o status atual e a janela temporal correspondente; o Quadro 9 traduz essas atividades em um cronograma mensal de execução, totalizando nove meses entre junho de 2026 e fevereiro de 2027.</w:t>
      </w:r>
    </w:p>
    <w:p>
      <w:pPr>
        <w:pStyle w:val="Normal"/>
        <w:spacing w:lineRule="auto" w:line="360" w:before="0" w:after="0"/>
        <w:rPr>
          <w:rFonts w:ascii="Calibri" w:hAnsi="Calibri" w:cs="Calibri" w:asciiTheme="minorHAnsi" w:cstheme="minorHAnsi" w:hAnsiTheme="minorHAnsi"/>
          <w:color w:themeColor="text1" w:val="000000"/>
          <w:sz w:val="20"/>
          <w:szCs w:val="20"/>
        </w:rPr>
      </w:pPr>
      <w:r>
        <w:rPr>
          <w:rFonts w:cs="Calibri" w:cstheme="minorHAnsi" w:ascii="Calibri" w:hAnsi="Calibri"/>
          <w:color w:themeColor="text1" w:val="000000"/>
          <w:sz w:val="20"/>
          <w:szCs w:val="20"/>
        </w:rPr>
      </w:r>
    </w:p>
    <w:p>
      <w:pPr>
        <w:pStyle w:val="Caption"/>
        <w:keepNext w:val="true"/>
        <w:spacing w:lineRule="auto" w:line="360" w:before="0" w:after="0"/>
        <w:jc w:val="center"/>
        <w:rPr>
          <w:rFonts w:ascii="Calibri" w:hAnsi="Calibri" w:cs="Calibri" w:asciiTheme="minorHAnsi" w:cstheme="minorHAnsi" w:hAnsiTheme="minorHAnsi"/>
          <w:color w:themeColor="text1" w:val="000000"/>
          <w:sz w:val="20"/>
          <w:szCs w:val="20"/>
        </w:rPr>
      </w:pPr>
      <w:bookmarkStart w:id="216" w:name="_Toc235197278"/>
      <w:r>
        <w:rPr>
          <w:rFonts w:cs="Calibri" w:ascii="Calibri" w:hAnsi="Calibri" w:asciiTheme="minorHAnsi" w:cstheme="minorHAnsi" w:hAnsiTheme="minorHAnsi"/>
          <w:color w:themeColor="text1" w:val="000000"/>
          <w:sz w:val="20"/>
          <w:szCs w:val="20"/>
        </w:rPr>
        <w:t xml:space="preserve">Quadro </w:t>
      </w:r>
      <w:r>
        <w:rPr>
          <w:rFonts w:cs="Calibri" w:ascii="Calibri" w:hAnsi="Calibri"/>
          <w:color w:themeColor="text1" w:val="000000"/>
          <w:sz w:val="20"/>
          <w:szCs w:val="20"/>
        </w:rPr>
        <w:fldChar w:fldCharType="begin"/>
      </w:r>
      <w:r>
        <w:rPr>
          <w:sz w:val="20"/>
          <w:szCs w:val="20"/>
          <w:rFonts w:cs="Calibri" w:ascii="Calibri" w:hAnsi="Calibri"/>
          <w:color w:themeColor="text1" w:val="000000"/>
        </w:rPr>
        <w:instrText xml:space="preserve"> SEQ Quadro \* ARABIC </w:instrText>
      </w:r>
      <w:r>
        <w:rPr>
          <w:sz w:val="20"/>
          <w:szCs w:val="20"/>
          <w:rFonts w:cs="Calibri" w:ascii="Calibri" w:hAnsi="Calibri"/>
          <w:color w:themeColor="text1" w:val="000000"/>
        </w:rPr>
        <w:fldChar w:fldCharType="separate"/>
      </w:r>
      <w:r>
        <w:rPr>
          <w:sz w:val="20"/>
          <w:szCs w:val="20"/>
          <w:rFonts w:cs="Calibri" w:ascii="Calibri" w:hAnsi="Calibri"/>
          <w:color w:themeColor="text1" w:val="000000"/>
        </w:rPr>
        <w:t>8</w:t>
      </w:r>
      <w:r>
        <w:rPr>
          <w:sz w:val="20"/>
          <w:szCs w:val="20"/>
          <w:rFonts w:cs="Calibri" w:ascii="Calibri" w:hAnsi="Calibri"/>
          <w:color w:themeColor="text1" w:val="000000"/>
        </w:rPr>
        <w:fldChar w:fldCharType="end"/>
      </w:r>
      <w:r>
        <w:rPr>
          <w:rFonts w:cs="Calibri" w:ascii="Calibri" w:hAnsi="Calibri" w:asciiTheme="minorHAnsi" w:cstheme="minorHAnsi" w:hAnsiTheme="minorHAnsi"/>
          <w:color w:themeColor="text1" w:val="000000"/>
          <w:sz w:val="20"/>
          <w:szCs w:val="20"/>
        </w:rPr>
        <w:t xml:space="preserve"> - Atividades inerentes à dissertação</w:t>
      </w:r>
      <w:bookmarkEnd w:id="216"/>
    </w:p>
    <w:tbl>
      <w:tblPr>
        <w:tblW w:w="8504" w:type="dxa"/>
        <w:jc w:val="center"/>
        <w:tblInd w:w="0" w:type="dxa"/>
        <w:tblLayout w:type="fixed"/>
        <w:tblCellMar>
          <w:top w:w="80" w:type="dxa"/>
          <w:left w:w="120" w:type="dxa"/>
          <w:bottom w:w="80" w:type="dxa"/>
          <w:right w:w="120" w:type="dxa"/>
        </w:tblCellMar>
        <w:tblLook w:val="04a0" w:noHBand="0" w:noVBand="1" w:firstColumn="1" w:lastRow="0" w:lastColumn="0" w:firstRow="1"/>
      </w:tblPr>
      <w:tblGrid>
        <w:gridCol w:w="1500"/>
        <w:gridCol w:w="1899"/>
        <w:gridCol w:w="2899"/>
        <w:gridCol w:w="902"/>
        <w:gridCol w:w="1304"/>
      </w:tblGrid>
      <w:tr>
        <w:trPr>
          <w:tblHeader w:val="true"/>
        </w:trPr>
        <w:tc>
          <w:tcPr>
            <w:tcW w:w="1500" w:type="dxa"/>
            <w:tcBorders>
              <w:top w:val="single" w:sz="4" w:space="0" w:color="999999"/>
              <w:left w:val="single" w:sz="4" w:space="0" w:color="999999"/>
              <w:bottom w:val="single" w:sz="4" w:space="0" w:color="999999"/>
              <w:right w:val="single" w:sz="4" w:space="0" w:color="999999"/>
            </w:tcBorders>
            <w:shd w:color="auto" w:fill="D5E8F0" w:val="clear"/>
            <w:vAlign w:val="center"/>
          </w:tcPr>
          <w:p>
            <w:pPr>
              <w:pStyle w:val="Normal"/>
              <w:spacing w:lineRule="auto" w:line="360" w:before="0" w:after="0"/>
              <w:jc w:val="center"/>
              <w:rPr/>
            </w:pPr>
            <w:r>
              <w:rPr>
                <w:rFonts w:eastAsia="Times New Roman" w:cs="Times New Roman"/>
                <w:b/>
                <w:bCs/>
                <w:sz w:val="20"/>
                <w:szCs w:val="20"/>
              </w:rPr>
              <w:t>Fase metodológica</w:t>
            </w:r>
          </w:p>
        </w:tc>
        <w:tc>
          <w:tcPr>
            <w:tcW w:w="1899" w:type="dxa"/>
            <w:tcBorders>
              <w:top w:val="single" w:sz="4" w:space="0" w:color="999999"/>
              <w:left w:val="single" w:sz="4" w:space="0" w:color="999999"/>
              <w:bottom w:val="single" w:sz="4" w:space="0" w:color="999999"/>
              <w:right w:val="single" w:sz="4" w:space="0" w:color="999999"/>
            </w:tcBorders>
            <w:shd w:color="auto" w:fill="D5E8F0" w:val="clear"/>
            <w:vAlign w:val="center"/>
          </w:tcPr>
          <w:p>
            <w:pPr>
              <w:pStyle w:val="Normal"/>
              <w:spacing w:lineRule="auto" w:line="360" w:before="0" w:after="0"/>
              <w:jc w:val="center"/>
              <w:rPr/>
            </w:pPr>
            <w:r>
              <w:rPr>
                <w:rFonts w:eastAsia="Times New Roman" w:cs="Times New Roman"/>
                <w:b/>
                <w:bCs/>
                <w:sz w:val="20"/>
                <w:szCs w:val="20"/>
              </w:rPr>
              <w:t>Etapas</w:t>
            </w:r>
          </w:p>
        </w:tc>
        <w:tc>
          <w:tcPr>
            <w:tcW w:w="2899" w:type="dxa"/>
            <w:tcBorders>
              <w:top w:val="single" w:sz="4" w:space="0" w:color="999999"/>
              <w:left w:val="single" w:sz="4" w:space="0" w:color="999999"/>
              <w:bottom w:val="single" w:sz="4" w:space="0" w:color="999999"/>
              <w:right w:val="single" w:sz="4" w:space="0" w:color="999999"/>
            </w:tcBorders>
            <w:shd w:color="auto" w:fill="D5E8F0" w:val="clear"/>
            <w:vAlign w:val="center"/>
          </w:tcPr>
          <w:p>
            <w:pPr>
              <w:pStyle w:val="Normal"/>
              <w:spacing w:lineRule="auto" w:line="360" w:before="0" w:after="0"/>
              <w:jc w:val="center"/>
              <w:rPr/>
            </w:pPr>
            <w:r>
              <w:rPr>
                <w:rFonts w:eastAsia="Times New Roman" w:cs="Times New Roman"/>
                <w:b/>
                <w:bCs/>
                <w:sz w:val="20"/>
                <w:szCs w:val="20"/>
              </w:rPr>
              <w:t>Detalhamento</w:t>
            </w:r>
          </w:p>
        </w:tc>
        <w:tc>
          <w:tcPr>
            <w:tcW w:w="902" w:type="dxa"/>
            <w:tcBorders>
              <w:top w:val="single" w:sz="4" w:space="0" w:color="999999"/>
              <w:left w:val="single" w:sz="4" w:space="0" w:color="999999"/>
              <w:bottom w:val="single" w:sz="4" w:space="0" w:color="999999"/>
              <w:right w:val="single" w:sz="4" w:space="0" w:color="999999"/>
            </w:tcBorders>
            <w:shd w:color="auto" w:fill="D5E8F0" w:val="clear"/>
            <w:vAlign w:val="center"/>
          </w:tcPr>
          <w:p>
            <w:pPr>
              <w:pStyle w:val="Normal"/>
              <w:spacing w:lineRule="auto" w:line="360" w:before="0" w:after="0"/>
              <w:jc w:val="center"/>
              <w:rPr/>
            </w:pPr>
            <w:r>
              <w:rPr>
                <w:rFonts w:eastAsia="Times New Roman" w:cs="Times New Roman"/>
                <w:b/>
                <w:bCs/>
                <w:sz w:val="20"/>
                <w:szCs w:val="20"/>
              </w:rPr>
              <w:t>Status</w:t>
            </w:r>
          </w:p>
        </w:tc>
        <w:tc>
          <w:tcPr>
            <w:tcW w:w="1304" w:type="dxa"/>
            <w:tcBorders>
              <w:top w:val="single" w:sz="4" w:space="0" w:color="999999"/>
              <w:left w:val="single" w:sz="4" w:space="0" w:color="999999"/>
              <w:bottom w:val="single" w:sz="4" w:space="0" w:color="999999"/>
              <w:right w:val="single" w:sz="4" w:space="0" w:color="999999"/>
            </w:tcBorders>
            <w:shd w:color="auto" w:fill="D5E8F0" w:val="clear"/>
            <w:vAlign w:val="center"/>
          </w:tcPr>
          <w:p>
            <w:pPr>
              <w:pStyle w:val="Normal"/>
              <w:spacing w:lineRule="auto" w:line="360" w:before="0" w:after="0"/>
              <w:jc w:val="center"/>
              <w:rPr/>
            </w:pPr>
            <w:r>
              <w:rPr>
                <w:rFonts w:eastAsia="Times New Roman" w:cs="Times New Roman"/>
                <w:b/>
                <w:bCs/>
                <w:sz w:val="20"/>
                <w:szCs w:val="20"/>
              </w:rPr>
              <w:t>Período</w:t>
            </w:r>
          </w:p>
        </w:tc>
      </w:tr>
      <w:tr>
        <w:trPr/>
        <w:tc>
          <w:tcPr>
            <w:tcW w:w="1500" w:type="dxa"/>
            <w:vMerge w:val="restart"/>
            <w:tcBorders>
              <w:top w:val="single" w:sz="4" w:space="0" w:color="999999"/>
              <w:left w:val="single" w:sz="4" w:space="0" w:color="999999"/>
              <w:bottom w:val="single" w:sz="4" w:space="0" w:color="999999"/>
              <w:right w:val="single" w:sz="4" w:space="0" w:color="999999"/>
            </w:tcBorders>
            <w:shd w:color="auto" w:fill="EEF6FB" w:val="clear"/>
            <w:vAlign w:val="center"/>
          </w:tcPr>
          <w:p>
            <w:pPr>
              <w:pStyle w:val="Normal"/>
              <w:spacing w:lineRule="auto" w:line="360" w:before="0" w:after="0"/>
              <w:rPr/>
            </w:pPr>
            <w:r>
              <w:rPr>
                <w:rFonts w:eastAsia="Times New Roman" w:cs="Times New Roman"/>
                <w:b/>
                <w:bCs/>
                <w:sz w:val="20"/>
                <w:szCs w:val="20"/>
              </w:rPr>
              <w:t>Fase 1 -Fundamentação e imersão qualitativa</w:t>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 xml:space="preserve">Mapear o estado da arte sobre EVTEAS, </w:t>
            </w:r>
            <w:r>
              <w:rPr>
                <w:rFonts w:eastAsia="Times New Roman" w:cs="Times New Roman"/>
                <w:i/>
                <w:iCs/>
                <w:sz w:val="20"/>
                <w:szCs w:val="20"/>
              </w:rPr>
              <w:t>Lean-Green</w:t>
            </w:r>
            <w:r>
              <w:rPr>
                <w:rFonts w:eastAsia="Times New Roman" w:cs="Times New Roman"/>
                <w:sz w:val="20"/>
                <w:szCs w:val="20"/>
              </w:rPr>
              <w:t xml:space="preserve"> e ESG na piscicultura</w:t>
            </w:r>
          </w:p>
        </w:tc>
        <w:tc>
          <w:tcPr>
            <w:tcW w:w="2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Realização do levantamento bibliográfico inicial  e da Revisão Sistemática da Literatura (RSL) com aplicação do protocolo PRISMA</w:t>
            </w:r>
          </w:p>
        </w:tc>
        <w:tc>
          <w:tcPr>
            <w:tcW w:w="902" w:type="dxa"/>
            <w:tcBorders>
              <w:top w:val="single" w:sz="4" w:space="0" w:color="999999"/>
              <w:left w:val="single" w:sz="4" w:space="0" w:color="999999"/>
              <w:bottom w:val="single" w:sz="4" w:space="0" w:color="999999"/>
              <w:right w:val="single" w:sz="4" w:space="0" w:color="999999"/>
            </w:tcBorders>
            <w:shd w:color="auto" w:fill="D9F2D9" w:val="clear"/>
            <w:vAlign w:val="center"/>
          </w:tcPr>
          <w:p>
            <w:pPr>
              <w:pStyle w:val="Normal"/>
              <w:spacing w:lineRule="auto" w:line="360" w:before="0" w:after="0"/>
              <w:jc w:val="center"/>
              <w:rPr/>
            </w:pPr>
            <w:r>
              <w:rPr>
                <w:rFonts w:eastAsia="Times New Roman" w:cs="Times New Roman"/>
                <w:sz w:val="20"/>
                <w:szCs w:val="20"/>
              </w:rPr>
              <w:t>Concluído</w:t>
            </w:r>
          </w:p>
        </w:tc>
        <w:tc>
          <w:tcPr>
            <w:tcW w:w="1304"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Ago/2025 a Mai/2026</w:t>
            </w:r>
          </w:p>
        </w:tc>
      </w:tr>
      <w:tr>
        <w:trPr/>
        <w:tc>
          <w:tcPr>
            <w:tcW w:w="1500" w:type="dxa"/>
            <w:vMerge w:val="continue"/>
            <w:tcBorders>
              <w:top w:val="single" w:sz="4" w:space="0" w:color="999999"/>
              <w:left w:val="single" w:sz="4" w:space="0" w:color="999999"/>
              <w:bottom w:val="single" w:sz="4" w:space="0" w:color="999999"/>
              <w:right w:val="single" w:sz="4" w:space="0" w:color="999999"/>
            </w:tcBorders>
            <w:shd w:color="auto" w:fill="EEF6FB" w:val="clear"/>
            <w:vAlign w:val="center"/>
          </w:tcPr>
          <w:p>
            <w:pPr>
              <w:pStyle w:val="Normal"/>
              <w:spacing w:lineRule="auto" w:line="360" w:before="0" w:after="0"/>
              <w:rPr/>
            </w:pPr>
            <w:r>
              <w:rPr/>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Identificar lacunas teóricas na integração ESG. Lean e EVTEAS</w:t>
            </w:r>
          </w:p>
        </w:tc>
        <w:tc>
          <w:tcPr>
            <w:tcW w:w="2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Estruturação dos três eixos temáticos da fundamentação teórica e síntese analítica dos resultados</w:t>
            </w:r>
          </w:p>
        </w:tc>
        <w:tc>
          <w:tcPr>
            <w:tcW w:w="902" w:type="dxa"/>
            <w:tcBorders>
              <w:top w:val="single" w:sz="4" w:space="0" w:color="999999"/>
              <w:left w:val="single" w:sz="4" w:space="0" w:color="999999"/>
              <w:bottom w:val="single" w:sz="4" w:space="0" w:color="999999"/>
              <w:right w:val="single" w:sz="4" w:space="0" w:color="999999"/>
            </w:tcBorders>
            <w:shd w:color="auto" w:fill="D9F2D9" w:val="clear"/>
            <w:vAlign w:val="center"/>
          </w:tcPr>
          <w:p>
            <w:pPr>
              <w:pStyle w:val="Normal"/>
              <w:spacing w:lineRule="auto" w:line="360" w:before="0" w:after="0"/>
              <w:jc w:val="center"/>
              <w:rPr/>
            </w:pPr>
            <w:r>
              <w:rPr>
                <w:rFonts w:eastAsia="Times New Roman" w:cs="Times New Roman"/>
                <w:sz w:val="20"/>
                <w:szCs w:val="20"/>
              </w:rPr>
              <w:t>Concluído</w:t>
            </w:r>
          </w:p>
        </w:tc>
        <w:tc>
          <w:tcPr>
            <w:tcW w:w="1304"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Out/2025 a Mai/2026</w:t>
            </w:r>
          </w:p>
        </w:tc>
      </w:tr>
      <w:tr>
        <w:trPr/>
        <w:tc>
          <w:tcPr>
            <w:tcW w:w="1500" w:type="dxa"/>
            <w:vMerge w:val="continue"/>
            <w:tcBorders>
              <w:top w:val="single" w:sz="4" w:space="0" w:color="999999"/>
              <w:left w:val="single" w:sz="4" w:space="0" w:color="999999"/>
              <w:bottom w:val="single" w:sz="4" w:space="0" w:color="999999"/>
              <w:right w:val="single" w:sz="4" w:space="0" w:color="999999"/>
            </w:tcBorders>
            <w:shd w:color="auto" w:fill="EEF6FB" w:val="clear"/>
            <w:vAlign w:val="center"/>
          </w:tcPr>
          <w:p>
            <w:pPr>
              <w:pStyle w:val="Normal"/>
              <w:spacing w:lineRule="auto" w:line="360" w:before="0" w:after="0"/>
              <w:rPr/>
            </w:pPr>
            <w:r>
              <w:rPr/>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Consolidar a metodologia de pesquisa</w:t>
            </w:r>
          </w:p>
        </w:tc>
        <w:tc>
          <w:tcPr>
            <w:tcW w:w="2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Redação do Capítulo 3 (Metodologia), definindo a articulação entre DSR, V&amp;V e métodos de análise qualiquantitativa</w:t>
            </w:r>
          </w:p>
        </w:tc>
        <w:tc>
          <w:tcPr>
            <w:tcW w:w="902" w:type="dxa"/>
            <w:tcBorders>
              <w:top w:val="single" w:sz="4" w:space="0" w:color="999999"/>
              <w:left w:val="single" w:sz="4" w:space="0" w:color="999999"/>
              <w:bottom w:val="single" w:sz="4" w:space="0" w:color="999999"/>
              <w:right w:val="single" w:sz="4" w:space="0" w:color="999999"/>
            </w:tcBorders>
            <w:shd w:color="auto" w:fill="D9F2D9" w:val="clear"/>
            <w:vAlign w:val="center"/>
          </w:tcPr>
          <w:p>
            <w:pPr>
              <w:pStyle w:val="Normal"/>
              <w:spacing w:lineRule="auto" w:line="360" w:before="0" w:after="0"/>
              <w:jc w:val="center"/>
              <w:rPr/>
            </w:pPr>
            <w:r>
              <w:rPr>
                <w:rFonts w:eastAsia="Times New Roman" w:cs="Times New Roman"/>
                <w:sz w:val="20"/>
                <w:szCs w:val="20"/>
              </w:rPr>
              <w:t>Concluído</w:t>
            </w:r>
          </w:p>
        </w:tc>
        <w:tc>
          <w:tcPr>
            <w:tcW w:w="1304"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Fev/2026 a Mai/2026</w:t>
            </w:r>
          </w:p>
        </w:tc>
      </w:tr>
      <w:tr>
        <w:trPr/>
        <w:tc>
          <w:tcPr>
            <w:tcW w:w="1500" w:type="dxa"/>
            <w:vMerge w:val="continue"/>
            <w:tcBorders>
              <w:top w:val="single" w:sz="4" w:space="0" w:color="999999"/>
              <w:left w:val="single" w:sz="4" w:space="0" w:color="999999"/>
              <w:bottom w:val="single" w:sz="4" w:space="0" w:color="999999"/>
              <w:right w:val="single" w:sz="4" w:space="0" w:color="999999"/>
            </w:tcBorders>
            <w:shd w:color="auto" w:fill="EEF6FB" w:val="clear"/>
            <w:vAlign w:val="center"/>
          </w:tcPr>
          <w:p>
            <w:pPr>
              <w:pStyle w:val="Normal"/>
              <w:spacing w:lineRule="auto" w:line="360" w:before="0" w:after="0"/>
              <w:rPr/>
            </w:pPr>
            <w:r>
              <w:rPr/>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Submeter a proposta à banca de qualificação</w:t>
            </w:r>
          </w:p>
        </w:tc>
        <w:tc>
          <w:tcPr>
            <w:tcW w:w="2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Defesa da qualificação e incorporação das contribuições da banca</w:t>
            </w:r>
          </w:p>
        </w:tc>
        <w:tc>
          <w:tcPr>
            <w:tcW w:w="902" w:type="dxa"/>
            <w:tcBorders>
              <w:top w:val="single" w:sz="4" w:space="0" w:color="999999"/>
              <w:left w:val="single" w:sz="4" w:space="0" w:color="999999"/>
              <w:bottom w:val="single" w:sz="4" w:space="0" w:color="999999"/>
              <w:right w:val="single" w:sz="4" w:space="0" w:color="999999"/>
            </w:tcBorders>
            <w:shd w:color="auto" w:fill="FFF2CC" w:val="clear"/>
            <w:vAlign w:val="center"/>
          </w:tcPr>
          <w:p>
            <w:pPr>
              <w:pStyle w:val="Normal"/>
              <w:spacing w:lineRule="auto" w:line="360" w:before="0" w:after="0"/>
              <w:jc w:val="center"/>
              <w:rPr/>
            </w:pPr>
            <w:r>
              <w:rPr>
                <w:rFonts w:eastAsia="Times New Roman" w:cs="Times New Roman"/>
                <w:sz w:val="20"/>
                <w:szCs w:val="20"/>
              </w:rPr>
              <w:t>Em andamento</w:t>
            </w:r>
          </w:p>
        </w:tc>
        <w:tc>
          <w:tcPr>
            <w:tcW w:w="1304"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Jun/2026 a Ago/2026</w:t>
            </w:r>
          </w:p>
        </w:tc>
      </w:tr>
      <w:tr>
        <w:trPr/>
        <w:tc>
          <w:tcPr>
            <w:tcW w:w="1500" w:type="dxa"/>
            <w:vMerge w:val="restart"/>
            <w:tcBorders>
              <w:top w:val="single" w:sz="4" w:space="0" w:color="999999"/>
              <w:left w:val="single" w:sz="4" w:space="0" w:color="999999"/>
              <w:bottom w:val="single" w:sz="4" w:space="0" w:color="999999"/>
              <w:right w:val="single" w:sz="4" w:space="0" w:color="999999"/>
            </w:tcBorders>
            <w:shd w:color="auto" w:fill="F5F0E8" w:val="clear"/>
            <w:vAlign w:val="center"/>
          </w:tcPr>
          <w:p>
            <w:pPr>
              <w:pStyle w:val="Normal"/>
              <w:spacing w:lineRule="auto" w:line="360" w:before="0" w:after="0"/>
              <w:rPr/>
            </w:pPr>
            <w:r>
              <w:rPr>
                <w:rFonts w:eastAsia="Times New Roman" w:cs="Times New Roman"/>
                <w:b/>
                <w:bCs/>
                <w:sz w:val="20"/>
                <w:szCs w:val="20"/>
              </w:rPr>
              <w:t>Fase 2 - Ciclo Design Science Research (DSR)</w:t>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Identificar artefatos prévios e configurar a classe de problemas (Etapa 4 DSR)</w:t>
            </w:r>
          </w:p>
        </w:tc>
        <w:tc>
          <w:tcPr>
            <w:tcW w:w="2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 xml:space="preserve">Análise comparativa dos </w:t>
            </w:r>
            <w:r>
              <w:rPr>
                <w:rFonts w:eastAsia="Times New Roman" w:cs="Times New Roman"/>
                <w:i/>
                <w:iCs/>
                <w:sz w:val="20"/>
                <w:szCs w:val="20"/>
              </w:rPr>
              <w:t xml:space="preserve">frameworks </w:t>
            </w:r>
            <w:r>
              <w:rPr>
                <w:rFonts w:eastAsia="Times New Roman" w:cs="Times New Roman"/>
                <w:sz w:val="20"/>
                <w:szCs w:val="20"/>
              </w:rPr>
              <w:t>existentes para EVTEAs em aquicultura e mapeamento das suas limitações</w:t>
            </w:r>
          </w:p>
        </w:tc>
        <w:tc>
          <w:tcPr>
            <w:tcW w:w="902" w:type="dxa"/>
            <w:tcBorders>
              <w:top w:val="single" w:sz="4" w:space="0" w:color="999999"/>
              <w:left w:val="single" w:sz="4" w:space="0" w:color="999999"/>
              <w:bottom w:val="single" w:sz="4" w:space="0" w:color="999999"/>
              <w:right w:val="single" w:sz="4" w:space="0" w:color="999999"/>
            </w:tcBorders>
            <w:shd w:color="auto" w:fill="FFF2CC" w:val="clear"/>
            <w:vAlign w:val="center"/>
          </w:tcPr>
          <w:p>
            <w:pPr>
              <w:pStyle w:val="Normal"/>
              <w:spacing w:lineRule="auto" w:line="360" w:before="0" w:after="0"/>
              <w:jc w:val="center"/>
              <w:rPr/>
            </w:pPr>
            <w:r>
              <w:rPr>
                <w:rFonts w:eastAsia="Times New Roman" w:cs="Times New Roman"/>
                <w:sz w:val="20"/>
                <w:szCs w:val="20"/>
              </w:rPr>
              <w:t>Em andamento</w:t>
            </w:r>
          </w:p>
        </w:tc>
        <w:tc>
          <w:tcPr>
            <w:tcW w:w="1304"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Jul/2026 a Set/2026</w:t>
            </w:r>
          </w:p>
        </w:tc>
      </w:tr>
      <w:tr>
        <w:trPr/>
        <w:tc>
          <w:tcPr>
            <w:tcW w:w="1500" w:type="dxa"/>
            <w:vMerge w:val="continue"/>
            <w:tcBorders>
              <w:top w:val="single" w:sz="4" w:space="0" w:color="999999"/>
              <w:left w:val="single" w:sz="4" w:space="0" w:color="999999"/>
              <w:bottom w:val="single" w:sz="4" w:space="0" w:color="999999"/>
              <w:right w:val="single" w:sz="4" w:space="0" w:color="999999"/>
            </w:tcBorders>
            <w:shd w:color="auto" w:fill="F5F0E8" w:val="clear"/>
            <w:vAlign w:val="center"/>
          </w:tcPr>
          <w:p>
            <w:pPr>
              <w:pStyle w:val="Normal"/>
              <w:spacing w:lineRule="auto" w:line="360" w:before="0" w:after="0"/>
              <w:rPr/>
            </w:pPr>
            <w:r>
              <w:rPr/>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Propor formalmente o artefato EVTEAS-Py (Etapa 5 DSR)</w:t>
            </w:r>
          </w:p>
        </w:tc>
        <w:tc>
          <w:tcPr>
            <w:tcW w:w="2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 xml:space="preserve">Definição dos requisitos de alto nível, da arquitetura conceitual e das fronteiras de aplicação do </w:t>
            </w:r>
            <w:r>
              <w:rPr>
                <w:rFonts w:eastAsia="Times New Roman" w:cs="Times New Roman"/>
                <w:i/>
                <w:iCs/>
                <w:sz w:val="20"/>
                <w:szCs w:val="20"/>
              </w:rPr>
              <w:t>framework</w:t>
            </w:r>
          </w:p>
        </w:tc>
        <w:tc>
          <w:tcPr>
            <w:tcW w:w="902" w:type="dxa"/>
            <w:tcBorders>
              <w:top w:val="single" w:sz="4" w:space="0" w:color="999999"/>
              <w:left w:val="single" w:sz="4" w:space="0" w:color="999999"/>
              <w:bottom w:val="single" w:sz="4" w:space="0" w:color="999999"/>
              <w:right w:val="single" w:sz="4" w:space="0" w:color="999999"/>
            </w:tcBorders>
            <w:shd w:color="auto" w:fill="FFF2CC" w:val="clear"/>
            <w:vAlign w:val="center"/>
          </w:tcPr>
          <w:p>
            <w:pPr>
              <w:pStyle w:val="Normal"/>
              <w:spacing w:lineRule="auto" w:line="360" w:before="0" w:after="0"/>
              <w:jc w:val="center"/>
              <w:rPr/>
            </w:pPr>
            <w:r>
              <w:rPr>
                <w:rFonts w:eastAsia="Times New Roman" w:cs="Times New Roman"/>
                <w:sz w:val="20"/>
                <w:szCs w:val="20"/>
              </w:rPr>
              <w:t>Em andamento</w:t>
            </w:r>
          </w:p>
        </w:tc>
        <w:tc>
          <w:tcPr>
            <w:tcW w:w="1304"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Jul/2026 Set/2026</w:t>
            </w:r>
          </w:p>
        </w:tc>
      </w:tr>
      <w:tr>
        <w:trPr/>
        <w:tc>
          <w:tcPr>
            <w:tcW w:w="1500" w:type="dxa"/>
            <w:vMerge w:val="continue"/>
            <w:tcBorders>
              <w:top w:val="single" w:sz="4" w:space="0" w:color="999999"/>
              <w:left w:val="single" w:sz="4" w:space="0" w:color="999999"/>
              <w:bottom w:val="single" w:sz="4" w:space="0" w:color="999999"/>
              <w:right w:val="single" w:sz="4" w:space="0" w:color="999999"/>
            </w:tcBorders>
            <w:shd w:color="auto" w:fill="F5F0E8" w:val="clear"/>
            <w:vAlign w:val="center"/>
          </w:tcPr>
          <w:p>
            <w:pPr>
              <w:pStyle w:val="Normal"/>
              <w:spacing w:lineRule="auto" w:line="360" w:before="0" w:after="0"/>
              <w:rPr/>
            </w:pPr>
            <w:r>
              <w:rPr/>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Projetar o design do artefato (Etapa 6 DSR)</w:t>
            </w:r>
          </w:p>
        </w:tc>
        <w:tc>
          <w:tcPr>
            <w:tcW w:w="2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Modelagem das estruturas de dados, escolha das bibliotecas Python e desenho dos fluxos lógicos das dimensões técnica, econômica, ambiental e social</w:t>
            </w:r>
          </w:p>
        </w:tc>
        <w:tc>
          <w:tcPr>
            <w:tcW w:w="902"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Ago/2026 a Set/2026</w:t>
            </w:r>
          </w:p>
        </w:tc>
      </w:tr>
      <w:tr>
        <w:trPr/>
        <w:tc>
          <w:tcPr>
            <w:tcW w:w="1500" w:type="dxa"/>
            <w:vMerge w:val="continue"/>
            <w:tcBorders>
              <w:top w:val="single" w:sz="4" w:space="0" w:color="999999"/>
              <w:left w:val="single" w:sz="4" w:space="0" w:color="999999"/>
              <w:bottom w:val="single" w:sz="4" w:space="0" w:color="999999"/>
              <w:right w:val="single" w:sz="4" w:space="0" w:color="999999"/>
            </w:tcBorders>
            <w:shd w:color="auto" w:fill="F5F0E8" w:val="clear"/>
            <w:vAlign w:val="center"/>
          </w:tcPr>
          <w:p>
            <w:pPr>
              <w:pStyle w:val="Normal"/>
              <w:spacing w:lineRule="auto" w:line="360" w:before="0" w:after="0"/>
              <w:rPr/>
            </w:pPr>
            <w:r>
              <w:rPr/>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Desenvolver o artefato em Python (Etapa 7 DSR)</w:t>
            </w:r>
          </w:p>
        </w:tc>
        <w:tc>
          <w:tcPr>
            <w:tcW w:w="2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 xml:space="preserve">Codificação do núcleo de cálculo (VPL, TIR, </w:t>
            </w:r>
            <w:r>
              <w:rPr>
                <w:rFonts w:eastAsia="Times New Roman" w:cs="Times New Roman"/>
                <w:i/>
                <w:iCs/>
                <w:sz w:val="20"/>
                <w:szCs w:val="20"/>
              </w:rPr>
              <w:t>payback</w:t>
            </w:r>
            <w:r>
              <w:rPr>
                <w:rFonts w:eastAsia="Times New Roman" w:cs="Times New Roman"/>
                <w:sz w:val="20"/>
                <w:szCs w:val="20"/>
              </w:rPr>
              <w:t>, simulação de Monte Carlo) e da matriz ponderada ESG do EVTEAS-Py</w:t>
            </w:r>
          </w:p>
        </w:tc>
        <w:tc>
          <w:tcPr>
            <w:tcW w:w="902"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Set/2026 a Nov/2026</w:t>
            </w:r>
          </w:p>
        </w:tc>
      </w:tr>
      <w:tr>
        <w:trPr/>
        <w:tc>
          <w:tcPr>
            <w:tcW w:w="1500" w:type="dxa"/>
            <w:vMerge w:val="continue"/>
            <w:tcBorders>
              <w:top w:val="single" w:sz="4" w:space="0" w:color="999999"/>
              <w:left w:val="single" w:sz="4" w:space="0" w:color="999999"/>
              <w:bottom w:val="single" w:sz="4" w:space="0" w:color="999999"/>
              <w:right w:val="single" w:sz="4" w:space="0" w:color="999999"/>
            </w:tcBorders>
            <w:shd w:color="auto" w:fill="F5F0E8" w:val="clear"/>
            <w:vAlign w:val="center"/>
          </w:tcPr>
          <w:p>
            <w:pPr>
              <w:pStyle w:val="Normal"/>
              <w:spacing w:lineRule="auto" w:line="360" w:before="0" w:after="0"/>
              <w:rPr/>
            </w:pPr>
            <w:r>
              <w:rPr/>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Prototipar a interface no Firebase Studio com assistência da IA generativa</w:t>
            </w:r>
          </w:p>
        </w:tc>
        <w:tc>
          <w:tcPr>
            <w:tcW w:w="2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Construção dos painéis web no Firebase, integração com Gemini in Firebase sob governança HITL e configuração das Firebase Security Rules em conformidade com a LGPD (Brasil, 2018)</w:t>
            </w:r>
          </w:p>
        </w:tc>
        <w:tc>
          <w:tcPr>
            <w:tcW w:w="902"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Out/2026 a Dez/2026</w:t>
            </w:r>
          </w:p>
        </w:tc>
      </w:tr>
      <w:tr>
        <w:trPr/>
        <w:tc>
          <w:tcPr>
            <w:tcW w:w="1500" w:type="dxa"/>
            <w:vMerge w:val="restart"/>
            <w:tcBorders>
              <w:top w:val="single" w:sz="4" w:space="0" w:color="999999"/>
              <w:left w:val="single" w:sz="4" w:space="0" w:color="999999"/>
              <w:bottom w:val="single" w:sz="4" w:space="0" w:color="999999"/>
              <w:right w:val="single" w:sz="4" w:space="0" w:color="999999"/>
            </w:tcBorders>
            <w:shd w:color="auto" w:fill="EEF8E8" w:val="clear"/>
            <w:vAlign w:val="center"/>
          </w:tcPr>
          <w:p>
            <w:pPr>
              <w:pStyle w:val="Normal"/>
              <w:spacing w:lineRule="auto" w:line="360" w:before="0" w:after="0"/>
              <w:rPr/>
            </w:pPr>
            <w:r>
              <w:rPr>
                <w:rFonts w:eastAsia="Times New Roman" w:cs="Times New Roman"/>
                <w:b/>
                <w:bCs/>
                <w:sz w:val="20"/>
                <w:szCs w:val="20"/>
              </w:rPr>
              <w:t>Fase 3 - Verificação e Validação (V&amp;V)</w:t>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 xml:space="preserve">Verificar o </w:t>
            </w:r>
            <w:r>
              <w:rPr>
                <w:rFonts w:eastAsia="Times New Roman" w:cs="Times New Roman"/>
                <w:i/>
                <w:iCs/>
                <w:sz w:val="20"/>
                <w:szCs w:val="20"/>
              </w:rPr>
              <w:t>framework</w:t>
            </w:r>
            <w:r>
              <w:rPr>
                <w:rFonts w:eastAsia="Times New Roman" w:cs="Times New Roman"/>
                <w:sz w:val="20"/>
                <w:szCs w:val="20"/>
              </w:rPr>
              <w:t xml:space="preserve"> quanto à integridade sintática e lógica</w:t>
            </w:r>
          </w:p>
        </w:tc>
        <w:tc>
          <w:tcPr>
            <w:tcW w:w="2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Auditoria do código Python, cobertura de testes unitários e checagem das fórmulas de engenharia econômica conforme Boehm (1984)</w:t>
            </w:r>
          </w:p>
        </w:tc>
        <w:tc>
          <w:tcPr>
            <w:tcW w:w="902"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Nov/2026 a Dez/2026</w:t>
            </w:r>
          </w:p>
        </w:tc>
      </w:tr>
      <w:tr>
        <w:trPr/>
        <w:tc>
          <w:tcPr>
            <w:tcW w:w="1500" w:type="dxa"/>
            <w:vMerge w:val="continue"/>
            <w:tcBorders>
              <w:top w:val="single" w:sz="4" w:space="0" w:color="999999"/>
              <w:left w:val="single" w:sz="4" w:space="0" w:color="999999"/>
              <w:bottom w:val="single" w:sz="4" w:space="0" w:color="999999"/>
              <w:right w:val="single" w:sz="4" w:space="0" w:color="999999"/>
            </w:tcBorders>
            <w:shd w:color="auto" w:fill="EEF8E8" w:val="clear"/>
            <w:vAlign w:val="center"/>
          </w:tcPr>
          <w:p>
            <w:pPr>
              <w:pStyle w:val="Normal"/>
              <w:spacing w:lineRule="auto" w:line="360" w:before="0" w:after="0"/>
              <w:rPr/>
            </w:pPr>
            <w:r>
              <w:rPr/>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Validar o framework com o especialista em desenvolvimento de framework</w:t>
            </w:r>
          </w:p>
        </w:tc>
        <w:tc>
          <w:tcPr>
            <w:tcW w:w="2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Aplicação do roteiro de inspeção técnico-computacional e tabulação das observações segundo a escala Likert do Quadro 7</w:t>
            </w:r>
          </w:p>
        </w:tc>
        <w:tc>
          <w:tcPr>
            <w:tcW w:w="902"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Dez/2026 a Jan/2027</w:t>
            </w:r>
          </w:p>
        </w:tc>
      </w:tr>
      <w:tr>
        <w:trPr>
          <w:trHeight w:val="4877" w:hRule="atLeast"/>
        </w:trPr>
        <w:tc>
          <w:tcPr>
            <w:tcW w:w="1500" w:type="dxa"/>
            <w:vMerge w:val="continue"/>
            <w:tcBorders>
              <w:top w:val="single" w:sz="4" w:space="0" w:color="999999"/>
              <w:left w:val="single" w:sz="4" w:space="0" w:color="999999"/>
              <w:bottom w:val="single" w:sz="4" w:space="0" w:color="999999"/>
              <w:right w:val="single" w:sz="4" w:space="0" w:color="999999"/>
            </w:tcBorders>
            <w:shd w:color="auto" w:fill="EEF8E8" w:val="clear"/>
            <w:vAlign w:val="center"/>
          </w:tcPr>
          <w:p>
            <w:pPr>
              <w:pStyle w:val="Normal"/>
              <w:spacing w:lineRule="auto" w:line="360" w:before="0" w:after="0"/>
              <w:rPr/>
            </w:pPr>
            <w:r>
              <w:rPr/>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 xml:space="preserve">Validar o </w:t>
            </w:r>
            <w:r>
              <w:rPr>
                <w:rFonts w:eastAsia="Times New Roman" w:cs="Times New Roman"/>
                <w:i/>
                <w:iCs/>
                <w:sz w:val="20"/>
                <w:szCs w:val="20"/>
              </w:rPr>
              <w:t>framework</w:t>
            </w:r>
            <w:r>
              <w:rPr>
                <w:rFonts w:eastAsia="Times New Roman" w:cs="Times New Roman"/>
                <w:sz w:val="20"/>
                <w:szCs w:val="20"/>
              </w:rPr>
              <w:t xml:space="preserve"> com o especialista em piscicultura</w:t>
            </w:r>
          </w:p>
        </w:tc>
        <w:tc>
          <w:tcPr>
            <w:tcW w:w="2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Inspeção dos parâmetros zootécnicos e ESG do EVTEAS-Py e ajuste dos pesos da matriz integrada de viabilidade</w:t>
            </w:r>
          </w:p>
        </w:tc>
        <w:tc>
          <w:tcPr>
            <w:tcW w:w="902"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Dez/2026 a Jan/2027</w:t>
            </w:r>
          </w:p>
        </w:tc>
      </w:tr>
      <w:tr>
        <w:trPr/>
        <w:tc>
          <w:tcPr>
            <w:tcW w:w="1500" w:type="dxa"/>
            <w:vMerge w:val="restart"/>
            <w:tcBorders>
              <w:top w:val="single" w:sz="4" w:space="0" w:color="999999"/>
              <w:left w:val="single" w:sz="4" w:space="0" w:color="999999"/>
              <w:bottom w:val="single" w:sz="4" w:space="0" w:color="999999"/>
              <w:right w:val="single" w:sz="4" w:space="0" w:color="999999"/>
            </w:tcBorders>
            <w:shd w:color="auto" w:fill="F8E8F0" w:val="clear"/>
            <w:vAlign w:val="center"/>
          </w:tcPr>
          <w:p>
            <w:pPr>
              <w:pStyle w:val="Normal"/>
              <w:spacing w:lineRule="auto" w:line="360" w:before="0" w:after="0"/>
              <w:rPr/>
            </w:pPr>
            <w:r>
              <w:rPr>
                <w:rFonts w:eastAsia="Times New Roman" w:cs="Times New Roman"/>
                <w:b/>
                <w:bCs/>
                <w:sz w:val="20"/>
                <w:szCs w:val="20"/>
              </w:rPr>
              <w:t>Encerramento da pesquisa (Etapas 8 a 12 DSR)</w:t>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Avaliar o artefato e explicitar as aprendizagens (Etapas 8 e 9 DSR)</w:t>
            </w:r>
          </w:p>
        </w:tc>
        <w:tc>
          <w:tcPr>
            <w:tcW w:w="2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Análise dos resultados da V&amp;V, refatoração assistida por IA das anomalias detectadas e documentação reflexiva das lições aprendidas</w:t>
            </w:r>
          </w:p>
        </w:tc>
        <w:tc>
          <w:tcPr>
            <w:tcW w:w="902"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Jan/2027</w:t>
            </w:r>
          </w:p>
        </w:tc>
      </w:tr>
      <w:tr>
        <w:trPr>
          <w:trHeight w:val="3023" w:hRule="atLeast"/>
        </w:trPr>
        <w:tc>
          <w:tcPr>
            <w:tcW w:w="1500" w:type="dxa"/>
            <w:vMerge w:val="continue"/>
            <w:tcBorders>
              <w:top w:val="single" w:sz="4" w:space="0" w:color="999999"/>
              <w:left w:val="single" w:sz="4" w:space="0" w:color="999999"/>
              <w:bottom w:val="single" w:sz="4" w:space="0" w:color="999999"/>
              <w:right w:val="single" w:sz="4" w:space="0" w:color="999999"/>
            </w:tcBorders>
            <w:shd w:color="auto" w:fill="F8E8F0" w:val="clear"/>
            <w:vAlign w:val="center"/>
          </w:tcPr>
          <w:p>
            <w:pPr>
              <w:pStyle w:val="Normal"/>
              <w:spacing w:lineRule="auto" w:line="360" w:before="0" w:after="0"/>
              <w:rPr/>
            </w:pPr>
            <w:r>
              <w:rPr/>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Redigir os capítulos finais da dissertação</w:t>
            </w:r>
          </w:p>
        </w:tc>
        <w:tc>
          <w:tcPr>
            <w:tcW w:w="2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Escrita dos capítulos de Resultados, Discussão, Conclusão e Generalização para a classe de problemas (Etapas 10 e 11 DSR)</w:t>
            </w:r>
          </w:p>
        </w:tc>
        <w:tc>
          <w:tcPr>
            <w:tcW w:w="902"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Jan/2027 a Fev/2027</w:t>
            </w:r>
          </w:p>
        </w:tc>
      </w:tr>
      <w:tr>
        <w:trPr/>
        <w:tc>
          <w:tcPr>
            <w:tcW w:w="1500" w:type="dxa"/>
            <w:vMerge w:val="continue"/>
            <w:tcBorders>
              <w:top w:val="single" w:sz="4" w:space="0" w:color="999999"/>
              <w:left w:val="single" w:sz="4" w:space="0" w:color="999999"/>
              <w:bottom w:val="single" w:sz="4" w:space="0" w:color="999999"/>
              <w:right w:val="single" w:sz="4" w:space="0" w:color="999999"/>
            </w:tcBorders>
            <w:shd w:color="auto" w:fill="F8E8F0" w:val="clear"/>
            <w:vAlign w:val="center"/>
          </w:tcPr>
          <w:p>
            <w:pPr>
              <w:pStyle w:val="Normal"/>
              <w:spacing w:lineRule="auto" w:line="360" w:before="0" w:after="0"/>
              <w:rPr/>
            </w:pPr>
            <w:r>
              <w:rPr/>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Comunicar os resultados (Etapa 12 DSR)</w:t>
            </w:r>
          </w:p>
        </w:tc>
        <w:tc>
          <w:tcPr>
            <w:tcW w:w="2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Revisão final, formatação ABNT, entrega do trabalho à banca e preparação dos artigos científicos derivados</w:t>
            </w:r>
          </w:p>
        </w:tc>
        <w:tc>
          <w:tcPr>
            <w:tcW w:w="902"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Fev/2027</w:t>
            </w:r>
          </w:p>
        </w:tc>
      </w:tr>
      <w:tr>
        <w:trPr/>
        <w:tc>
          <w:tcPr>
            <w:tcW w:w="1500" w:type="dxa"/>
            <w:vMerge w:val="continue"/>
            <w:tcBorders>
              <w:top w:val="single" w:sz="4" w:space="0" w:color="999999"/>
              <w:left w:val="single" w:sz="4" w:space="0" w:color="999999"/>
              <w:bottom w:val="single" w:sz="4" w:space="0" w:color="999999"/>
              <w:right w:val="single" w:sz="4" w:space="0" w:color="999999"/>
            </w:tcBorders>
            <w:shd w:color="auto" w:fill="F8E8F0" w:val="clear"/>
            <w:vAlign w:val="center"/>
          </w:tcPr>
          <w:p>
            <w:pPr>
              <w:pStyle w:val="Normal"/>
              <w:spacing w:lineRule="auto" w:line="360" w:before="0" w:after="0"/>
              <w:rPr/>
            </w:pPr>
            <w:r>
              <w:rPr/>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Defender a dissertação</w:t>
            </w:r>
          </w:p>
        </w:tc>
        <w:tc>
          <w:tcPr>
            <w:tcW w:w="2899"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rPr/>
            </w:pPr>
            <w:r>
              <w:rPr>
                <w:rFonts w:eastAsia="Times New Roman" w:cs="Times New Roman"/>
                <w:sz w:val="20"/>
                <w:szCs w:val="20"/>
              </w:rPr>
              <w:t>Apresentação oral perante a banca examinadora e incorporação das contribuições finais</w:t>
            </w:r>
          </w:p>
        </w:tc>
        <w:tc>
          <w:tcPr>
            <w:tcW w:w="902"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Não iniciado</w:t>
            </w:r>
          </w:p>
        </w:tc>
        <w:tc>
          <w:tcPr>
            <w:tcW w:w="1304" w:type="dxa"/>
            <w:tcBorders>
              <w:top w:val="single" w:sz="4" w:space="0" w:color="999999"/>
              <w:left w:val="single" w:sz="4" w:space="0" w:color="999999"/>
              <w:bottom w:val="single" w:sz="4" w:space="0" w:color="999999"/>
              <w:right w:val="single" w:sz="4" w:space="0" w:color="999999"/>
            </w:tcBorders>
            <w:vAlign w:val="center"/>
          </w:tcPr>
          <w:p>
            <w:pPr>
              <w:pStyle w:val="Normal"/>
              <w:spacing w:lineRule="auto" w:line="360" w:before="0" w:after="0"/>
              <w:jc w:val="center"/>
              <w:rPr/>
            </w:pPr>
            <w:r>
              <w:rPr>
                <w:rFonts w:eastAsia="Times New Roman" w:cs="Times New Roman"/>
                <w:sz w:val="20"/>
                <w:szCs w:val="20"/>
              </w:rPr>
              <w:t>Fev/2027</w:t>
            </w:r>
          </w:p>
        </w:tc>
      </w:tr>
    </w:tbl>
    <w:p>
      <w:pPr>
        <w:pStyle w:val="Normal"/>
        <w:spacing w:lineRule="auto" w:line="360" w:before="0" w:after="0"/>
        <w:jc w:val="center"/>
        <w:rPr/>
      </w:pPr>
      <w:r>
        <w:rPr>
          <w:rFonts w:eastAsia="Times New Roman" w:cs="Times New Roman"/>
          <w:sz w:val="20"/>
          <w:szCs w:val="20"/>
        </w:rPr>
        <w:t>Fonte: Elaborado pelo autor (2026).</w:t>
      </w:r>
    </w:p>
    <w:p>
      <w:pPr>
        <w:sectPr>
          <w:headerReference w:type="default" r:id="rId36"/>
          <w:headerReference w:type="first" r:id="rId37"/>
          <w:footerReference w:type="default" r:id="rId38"/>
          <w:footerReference w:type="first" r:id="rId39"/>
          <w:footnotePr>
            <w:numFmt w:val="decimal"/>
          </w:footnotePr>
          <w:type w:val="nextPage"/>
          <w:pgSz w:w="11906" w:h="16838"/>
          <w:pgMar w:left="1701" w:right="1701" w:gutter="0" w:header="708" w:top="1417" w:footer="0" w:bottom="1417"/>
          <w:pgNumType w:fmt="decimal"/>
          <w:formProt w:val="false"/>
          <w:textDirection w:val="lrTb"/>
          <w:docGrid w:type="default" w:linePitch="100" w:charSpace="4096"/>
        </w:sectPr>
        <w:pStyle w:val="Normal"/>
        <w:spacing w:lineRule="auto" w:line="360" w:before="0" w:after="0"/>
        <w:ind w:firstLine="708"/>
        <w:jc w:val="both"/>
        <w:rPr/>
      </w:pPr>
      <w:r>
        <w:rPr>
          <w:rFonts w:eastAsia="Times New Roman" w:cs="Times New Roman"/>
          <w:sz w:val="24"/>
          <w:szCs w:val="24"/>
        </w:rPr>
        <w:t>O Quadro 9 desdobra as atividades do Quadro 8 em treze tarefas operacionais (T1 a T13), distribuídas em uma matriz tempo-tarefa. A marcação indica os meses em que cada tarefa será conduzida, evidenciando a sobreposição esperada entre o desenvolvimento do framework e os ciclos iterativos de verificação e validação</w:t>
      </w:r>
      <w:r>
        <w:rPr>
          <w:rFonts w:eastAsia="Times New Roman" w:cs="Times New Roman"/>
          <w:i/>
          <w:iCs/>
          <w:sz w:val="24"/>
          <w:szCs w:val="24"/>
        </w:rPr>
        <w:t>.</w:t>
      </w:r>
    </w:p>
    <w:p>
      <w:pPr>
        <w:pStyle w:val="Normal"/>
        <w:spacing w:lineRule="auto" w:line="360" w:before="0" w:after="0"/>
        <w:rPr/>
      </w:pPr>
      <w:r>
        <w:rPr/>
      </w:r>
    </w:p>
    <w:p>
      <w:pPr>
        <w:pStyle w:val="Caption"/>
        <w:keepNext w:val="true"/>
        <w:spacing w:lineRule="auto" w:line="360" w:before="0" w:after="0"/>
        <w:jc w:val="center"/>
        <w:rPr>
          <w:rFonts w:ascii="Calibri" w:hAnsi="Calibri" w:cs="Calibri" w:asciiTheme="minorHAnsi" w:cstheme="minorHAnsi" w:hAnsiTheme="minorHAnsi"/>
          <w:color w:themeColor="text1" w:val="000000"/>
          <w:sz w:val="20"/>
          <w:szCs w:val="20"/>
        </w:rPr>
      </w:pPr>
      <w:bookmarkStart w:id="217" w:name="_Toc235197279"/>
      <w:r>
        <w:rPr>
          <w:rFonts w:cs="Calibri" w:ascii="Calibri" w:hAnsi="Calibri" w:asciiTheme="minorHAnsi" w:cstheme="minorHAnsi" w:hAnsiTheme="minorHAnsi"/>
          <w:color w:themeColor="text1" w:val="000000"/>
          <w:sz w:val="20"/>
          <w:szCs w:val="20"/>
        </w:rPr>
        <w:t xml:space="preserve">Quadro </w:t>
      </w:r>
      <w:r>
        <w:rPr>
          <w:rFonts w:cs="Calibri" w:ascii="Calibri" w:hAnsi="Calibri"/>
          <w:color w:themeColor="text1" w:val="000000"/>
          <w:sz w:val="20"/>
          <w:szCs w:val="20"/>
        </w:rPr>
        <w:fldChar w:fldCharType="begin"/>
      </w:r>
      <w:r>
        <w:rPr>
          <w:sz w:val="20"/>
          <w:szCs w:val="20"/>
          <w:rFonts w:cs="Calibri" w:ascii="Calibri" w:hAnsi="Calibri"/>
          <w:color w:themeColor="text1" w:val="000000"/>
        </w:rPr>
        <w:instrText xml:space="preserve"> SEQ Quadro \* ARABIC </w:instrText>
      </w:r>
      <w:r>
        <w:rPr>
          <w:sz w:val="20"/>
          <w:szCs w:val="20"/>
          <w:rFonts w:cs="Calibri" w:ascii="Calibri" w:hAnsi="Calibri"/>
          <w:color w:themeColor="text1" w:val="000000"/>
        </w:rPr>
        <w:fldChar w:fldCharType="separate"/>
      </w:r>
      <w:r>
        <w:rPr>
          <w:sz w:val="20"/>
          <w:szCs w:val="20"/>
          <w:rFonts w:cs="Calibri" w:ascii="Calibri" w:hAnsi="Calibri"/>
          <w:color w:themeColor="text1" w:val="000000"/>
        </w:rPr>
        <w:t>9</w:t>
      </w:r>
      <w:r>
        <w:rPr>
          <w:sz w:val="20"/>
          <w:szCs w:val="20"/>
          <w:rFonts w:cs="Calibri" w:ascii="Calibri" w:hAnsi="Calibri"/>
          <w:color w:themeColor="text1" w:val="000000"/>
        </w:rPr>
        <w:fldChar w:fldCharType="end"/>
      </w:r>
      <w:r>
        <w:rPr>
          <w:rFonts w:cs="Calibri" w:ascii="Calibri" w:hAnsi="Calibri" w:asciiTheme="minorHAnsi" w:cstheme="minorHAnsi" w:hAnsiTheme="minorHAnsi"/>
          <w:color w:themeColor="text1" w:val="000000"/>
          <w:sz w:val="20"/>
          <w:szCs w:val="20"/>
        </w:rPr>
        <w:t xml:space="preserve"> - Cronograma mensal de execução das tarefas (jun/2026 a fev/2027)</w:t>
      </w:r>
      <w:bookmarkEnd w:id="217"/>
    </w:p>
    <w:tbl>
      <w:tblPr>
        <w:tblW w:w="14206" w:type="dxa"/>
        <w:jc w:val="center"/>
        <w:tblInd w:w="0" w:type="dxa"/>
        <w:tblLayout w:type="fixed"/>
        <w:tblCellMar>
          <w:top w:w="60" w:type="dxa"/>
          <w:left w:w="80" w:type="dxa"/>
          <w:bottom w:w="60" w:type="dxa"/>
          <w:right w:w="80" w:type="dxa"/>
        </w:tblCellMar>
        <w:tblLook w:val="04a0" w:noHBand="0" w:noVBand="1" w:firstColumn="1" w:lastRow="0" w:lastColumn="0" w:firstRow="1"/>
      </w:tblPr>
      <w:tblGrid>
        <w:gridCol w:w="5682"/>
        <w:gridCol w:w="947"/>
        <w:gridCol w:w="948"/>
        <w:gridCol w:w="946"/>
        <w:gridCol w:w="948"/>
        <w:gridCol w:w="947"/>
        <w:gridCol w:w="946"/>
        <w:gridCol w:w="948"/>
        <w:gridCol w:w="946"/>
        <w:gridCol w:w="946"/>
      </w:tblGrid>
      <w:tr>
        <w:trPr>
          <w:tblHeader w:val="true"/>
          <w:trHeight w:val="485" w:hRule="exact"/>
        </w:trPr>
        <w:tc>
          <w:tcPr>
            <w:tcW w:w="5682"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pacing w:lineRule="auto" w:line="240" w:before="0" w:after="0"/>
              <w:jc w:val="center"/>
              <w:rPr/>
            </w:pPr>
            <w:r>
              <w:rPr>
                <w:b/>
                <w:color w:val="000000"/>
                <w:sz w:val="18"/>
              </w:rPr>
              <w:t>Tarefa</w:t>
            </w:r>
          </w:p>
        </w:tc>
        <w:tc>
          <w:tcPr>
            <w:tcW w:w="947"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pacing w:lineRule="auto" w:line="240" w:before="0" w:after="0"/>
              <w:jc w:val="center"/>
              <w:rPr/>
            </w:pPr>
            <w:r>
              <w:rPr>
                <w:b/>
                <w:i/>
                <w:color w:val="000000"/>
                <w:sz w:val="15"/>
              </w:rPr>
              <w:t>Jun/26</w:t>
            </w:r>
          </w:p>
        </w:tc>
        <w:tc>
          <w:tcPr>
            <w:tcW w:w="948"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pacing w:lineRule="auto" w:line="240" w:before="0" w:after="0"/>
              <w:jc w:val="center"/>
              <w:rPr/>
            </w:pPr>
            <w:r>
              <w:rPr>
                <w:b/>
                <w:color w:val="000000"/>
                <w:sz w:val="15"/>
              </w:rPr>
              <w:t>Jul/26</w:t>
            </w:r>
          </w:p>
        </w:tc>
        <w:tc>
          <w:tcPr>
            <w:tcW w:w="946"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pacing w:lineRule="auto" w:line="240" w:before="0" w:after="0"/>
              <w:jc w:val="center"/>
              <w:rPr/>
            </w:pPr>
            <w:r>
              <w:rPr>
                <w:b/>
                <w:i/>
                <w:color w:val="000000"/>
                <w:sz w:val="15"/>
              </w:rPr>
              <w:t>Ago/26</w:t>
            </w:r>
          </w:p>
        </w:tc>
        <w:tc>
          <w:tcPr>
            <w:tcW w:w="948"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pacing w:lineRule="auto" w:line="240" w:before="0" w:after="0"/>
              <w:jc w:val="center"/>
              <w:rPr/>
            </w:pPr>
            <w:r>
              <w:rPr>
                <w:b/>
                <w:color w:val="000000"/>
                <w:sz w:val="15"/>
              </w:rPr>
              <w:t>Set/26</w:t>
            </w:r>
          </w:p>
        </w:tc>
        <w:tc>
          <w:tcPr>
            <w:tcW w:w="947"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pacing w:lineRule="auto" w:line="240" w:before="0" w:after="0"/>
              <w:jc w:val="center"/>
              <w:rPr/>
            </w:pPr>
            <w:r>
              <w:rPr>
                <w:b/>
                <w:color w:val="000000"/>
                <w:sz w:val="15"/>
              </w:rPr>
              <w:t>Out/26</w:t>
            </w:r>
          </w:p>
        </w:tc>
        <w:tc>
          <w:tcPr>
            <w:tcW w:w="946"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pacing w:lineRule="auto" w:line="240" w:before="0" w:after="0"/>
              <w:jc w:val="center"/>
              <w:rPr/>
            </w:pPr>
            <w:r>
              <w:rPr>
                <w:b/>
                <w:i/>
                <w:color w:val="000000"/>
                <w:sz w:val="15"/>
              </w:rPr>
              <w:t>Nov/26</w:t>
            </w:r>
          </w:p>
        </w:tc>
        <w:tc>
          <w:tcPr>
            <w:tcW w:w="948"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pacing w:lineRule="auto" w:line="240" w:before="0" w:after="0"/>
              <w:jc w:val="center"/>
              <w:rPr/>
            </w:pPr>
            <w:r>
              <w:rPr>
                <w:b/>
                <w:color w:val="000000"/>
                <w:sz w:val="15"/>
              </w:rPr>
              <w:t>Dez/26</w:t>
            </w:r>
          </w:p>
        </w:tc>
        <w:tc>
          <w:tcPr>
            <w:tcW w:w="946"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pacing w:lineRule="auto" w:line="240" w:before="0" w:after="0"/>
              <w:jc w:val="center"/>
              <w:rPr/>
            </w:pPr>
            <w:r>
              <w:rPr>
                <w:b/>
                <w:color w:val="000000"/>
                <w:sz w:val="15"/>
              </w:rPr>
              <w:t>Jan/27</w:t>
            </w:r>
          </w:p>
        </w:tc>
        <w:tc>
          <w:tcPr>
            <w:tcW w:w="946"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pacing w:lineRule="auto" w:line="240" w:before="0" w:after="0"/>
              <w:jc w:val="center"/>
              <w:rPr/>
            </w:pPr>
            <w:r>
              <w:rPr>
                <w:b/>
                <w:i/>
                <w:color w:val="000000"/>
                <w:sz w:val="15"/>
              </w:rPr>
              <w:t>Fev/27</w:t>
            </w:r>
          </w:p>
        </w:tc>
      </w:tr>
      <w:tr>
        <w:trPr>
          <w:trHeight w:val="569" w:hRule="atLeast"/>
          <w:cantSplit w:val="true"/>
        </w:trPr>
        <w:tc>
          <w:tcPr>
            <w:tcW w:w="5682"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rPr/>
            </w:pPr>
            <w:r>
              <w:rPr>
                <w:color w:val="000000"/>
                <w:sz w:val="17"/>
              </w:rPr>
              <w:t>T1 - Defesa de qualificação e incorporação das contribuições da banca</w:t>
            </w:r>
          </w:p>
        </w:tc>
        <w:tc>
          <w:tcPr>
            <w:tcW w:w="947"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8"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6"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color w:themeColor="background1" w:val="FFFFFF"/>
              </w:rPr>
              <w:t>x</w:t>
            </w:r>
          </w:p>
        </w:tc>
        <w:tc>
          <w:tcPr>
            <w:tcW w:w="948"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7"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8"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r>
      <w:tr>
        <w:trPr>
          <w:trHeight w:val="569" w:hRule="atLeast"/>
          <w:cantSplit w:val="true"/>
        </w:trPr>
        <w:tc>
          <w:tcPr>
            <w:tcW w:w="5682"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rPr/>
            </w:pPr>
            <w:r>
              <w:rPr>
                <w:color w:val="000000"/>
                <w:sz w:val="17"/>
              </w:rPr>
              <w:t>T2 - Identificação de artefatos prévios e configuração da classe de problemas</w:t>
            </w:r>
          </w:p>
        </w:tc>
        <w:tc>
          <w:tcPr>
            <w:tcW w:w="947"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8"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6"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8"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8"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r>
      <w:tr>
        <w:trPr>
          <w:trHeight w:val="569" w:hRule="atLeast"/>
          <w:cantSplit w:val="true"/>
        </w:trPr>
        <w:tc>
          <w:tcPr>
            <w:tcW w:w="5682"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rPr/>
            </w:pPr>
            <w:r>
              <w:rPr>
                <w:color w:val="000000"/>
                <w:sz w:val="17"/>
              </w:rPr>
              <w:t>T3 - Proposição formal do artefato EVTEAS-Py</w:t>
            </w:r>
          </w:p>
        </w:tc>
        <w:tc>
          <w:tcPr>
            <w:tcW w:w="947"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8"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6"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8"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8"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r>
      <w:tr>
        <w:trPr>
          <w:trHeight w:val="569" w:hRule="atLeast"/>
          <w:cantSplit w:val="true"/>
        </w:trPr>
        <w:tc>
          <w:tcPr>
            <w:tcW w:w="5682"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rPr/>
            </w:pPr>
            <w:r>
              <w:rPr>
                <w:color w:val="000000"/>
                <w:sz w:val="17"/>
              </w:rPr>
              <w:t>T4 - Design e modelagem da arquitetura do framework</w:t>
            </w:r>
          </w:p>
        </w:tc>
        <w:tc>
          <w:tcPr>
            <w:tcW w:w="947"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8"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8"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8"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r>
      <w:tr>
        <w:trPr>
          <w:trHeight w:val="569" w:hRule="atLeast"/>
          <w:cantSplit w:val="true"/>
        </w:trPr>
        <w:tc>
          <w:tcPr>
            <w:tcW w:w="5682"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rPr/>
            </w:pPr>
            <w:r>
              <w:rPr>
                <w:color w:val="000000"/>
                <w:sz w:val="17"/>
              </w:rPr>
              <w:t>T5 - Desenvolvimento do núcleo de cálculo em Python</w:t>
            </w:r>
          </w:p>
        </w:tc>
        <w:tc>
          <w:tcPr>
            <w:tcW w:w="947"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8"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8"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7"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6"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8"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r>
      <w:tr>
        <w:trPr>
          <w:trHeight w:val="569" w:hRule="atLeast"/>
          <w:cantSplit w:val="true"/>
        </w:trPr>
        <w:tc>
          <w:tcPr>
            <w:tcW w:w="5682"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rPr/>
            </w:pPr>
            <w:r>
              <w:rPr>
                <w:color w:val="000000"/>
                <w:sz w:val="17"/>
              </w:rPr>
              <w:t>T6 - Prototipação da interface no Firebase Studio com assistência da IA generativa</w:t>
            </w:r>
          </w:p>
        </w:tc>
        <w:tc>
          <w:tcPr>
            <w:tcW w:w="947"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8"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8"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7"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6"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8"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r>
      <w:tr>
        <w:trPr>
          <w:trHeight w:val="569" w:hRule="atLeast"/>
          <w:cantSplit w:val="true"/>
        </w:trPr>
        <w:tc>
          <w:tcPr>
            <w:tcW w:w="5682"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rPr/>
            </w:pPr>
            <w:r>
              <w:rPr>
                <w:color w:val="000000"/>
                <w:sz w:val="17"/>
              </w:rPr>
              <w:t>T7 - Verificação sintática, lógica e da integridade do código</w:t>
            </w:r>
          </w:p>
        </w:tc>
        <w:tc>
          <w:tcPr>
            <w:tcW w:w="947"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8"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8"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7"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8"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r>
      <w:tr>
        <w:trPr>
          <w:trHeight w:val="569" w:hRule="atLeast"/>
          <w:cantSplit w:val="true"/>
        </w:trPr>
        <w:tc>
          <w:tcPr>
            <w:tcW w:w="5682"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rPr/>
            </w:pPr>
            <w:r>
              <w:rPr>
                <w:color w:val="000000"/>
                <w:sz w:val="17"/>
              </w:rPr>
              <w:t>T8 - Validação com especialista em desenvolvimento de framework</w:t>
            </w:r>
          </w:p>
        </w:tc>
        <w:tc>
          <w:tcPr>
            <w:tcW w:w="947"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8"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8"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7"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c>
          <w:tcPr>
            <w:tcW w:w="948"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6"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pacing w:lineRule="auto" w:line="240" w:before="0" w:after="0"/>
              <w:jc w:val="center"/>
              <w:rPr/>
            </w:pPr>
            <w:r>
              <w:rPr>
                <w:b/>
                <w:color w:val="FFFFFF"/>
                <w:sz w:val="18"/>
              </w:rPr>
              <w:t>x</w:t>
            </w:r>
          </w:p>
        </w:tc>
        <w:tc>
          <w:tcPr>
            <w:tcW w:w="946" w:type="dxa"/>
            <w:tcBorders>
              <w:top w:val="single" w:sz="8" w:space="0" w:color="8C8C8C"/>
              <w:left w:val="single" w:sz="8" w:space="0" w:color="8C8C8C"/>
              <w:bottom w:val="single" w:sz="8" w:space="0" w:color="8C8C8C"/>
              <w:right w:val="single" w:sz="8" w:space="0" w:color="8C8C8C"/>
            </w:tcBorders>
            <w:vAlign w:val="center"/>
          </w:tcPr>
          <w:p>
            <w:pPr>
              <w:pStyle w:val="Normal"/>
              <w:spacing w:lineRule="auto" w:line="240" w:before="0" w:after="0"/>
              <w:jc w:val="center"/>
              <w:rPr/>
            </w:pPr>
            <w:r>
              <w:rPr/>
            </w:r>
          </w:p>
        </w:tc>
      </w:tr>
    </w:tbl>
    <w:p>
      <w:pPr>
        <w:pStyle w:val="Normal"/>
        <w:spacing w:lineRule="auto" w:line="360" w:before="0" w:after="0"/>
        <w:ind w:firstLine="708"/>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0"/>
        <w:ind w:firstLine="708"/>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0"/>
        <w:ind w:firstLine="708"/>
        <w:jc w:val="both"/>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before="0" w:after="0"/>
        <w:ind w:firstLine="708"/>
        <w:jc w:val="both"/>
        <w:rPr>
          <w:rFonts w:ascii="Times New Roman" w:hAnsi="Times New Roman" w:eastAsia="Times New Roman" w:cs="Times New Roman"/>
          <w:sz w:val="24"/>
          <w:szCs w:val="24"/>
        </w:rPr>
      </w:pPr>
      <w:r>
        <w:rPr>
          <w:rFonts w:eastAsia="Times New Roman" w:cs="Times New Roman"/>
          <w:sz w:val="24"/>
          <w:szCs w:val="24"/>
        </w:rPr>
      </w:r>
    </w:p>
    <w:tbl>
      <w:tblPr>
        <w:tblW w:w="14881" w:type="dxa"/>
        <w:jc w:val="center"/>
        <w:tblInd w:w="0" w:type="dxa"/>
        <w:tblLayout w:type="fixed"/>
        <w:tblCellMar>
          <w:top w:w="60" w:type="dxa"/>
          <w:left w:w="80" w:type="dxa"/>
          <w:bottom w:w="60" w:type="dxa"/>
          <w:right w:w="80" w:type="dxa"/>
        </w:tblCellMar>
        <w:tblLook w:val="04a0" w:noHBand="0" w:noVBand="1" w:firstColumn="1" w:lastRow="0" w:lastColumn="0" w:firstRow="1"/>
      </w:tblPr>
      <w:tblGrid>
        <w:gridCol w:w="5952"/>
        <w:gridCol w:w="992"/>
        <w:gridCol w:w="993"/>
        <w:gridCol w:w="991"/>
        <w:gridCol w:w="993"/>
        <w:gridCol w:w="992"/>
        <w:gridCol w:w="991"/>
        <w:gridCol w:w="993"/>
        <w:gridCol w:w="991"/>
        <w:gridCol w:w="991"/>
      </w:tblGrid>
      <w:tr>
        <w:trPr>
          <w:tblHeader w:val="true"/>
          <w:trHeight w:val="652" w:hRule="exact"/>
        </w:trPr>
        <w:tc>
          <w:tcPr>
            <w:tcW w:w="5952"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b/>
                <w:color w:val="000000"/>
                <w:sz w:val="18"/>
                <w:lang w:eastAsia="en-US"/>
              </w:rPr>
              <w:t>Tarefa</w:t>
            </w:r>
          </w:p>
        </w:tc>
        <w:tc>
          <w:tcPr>
            <w:tcW w:w="992"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b/>
                <w:i/>
                <w:color w:val="000000"/>
                <w:sz w:val="15"/>
                <w:lang w:eastAsia="en-US"/>
              </w:rPr>
              <w:t>Jun/26</w:t>
            </w:r>
          </w:p>
        </w:tc>
        <w:tc>
          <w:tcPr>
            <w:tcW w:w="993"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b/>
                <w:color w:val="000000"/>
                <w:sz w:val="15"/>
                <w:lang w:eastAsia="en-US"/>
              </w:rPr>
              <w:t>Jul/26</w:t>
            </w:r>
          </w:p>
        </w:tc>
        <w:tc>
          <w:tcPr>
            <w:tcW w:w="991"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b/>
                <w:i/>
                <w:color w:val="000000"/>
                <w:sz w:val="15"/>
                <w:lang w:eastAsia="en-US"/>
              </w:rPr>
              <w:t>Ago/26</w:t>
            </w:r>
          </w:p>
        </w:tc>
        <w:tc>
          <w:tcPr>
            <w:tcW w:w="993"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b/>
                <w:color w:val="000000"/>
                <w:sz w:val="15"/>
                <w:lang w:eastAsia="en-US"/>
              </w:rPr>
              <w:t>Set/26</w:t>
            </w:r>
          </w:p>
        </w:tc>
        <w:tc>
          <w:tcPr>
            <w:tcW w:w="992"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b/>
                <w:color w:val="000000"/>
                <w:sz w:val="15"/>
                <w:lang w:eastAsia="en-US"/>
              </w:rPr>
              <w:t>Out/26</w:t>
            </w:r>
          </w:p>
        </w:tc>
        <w:tc>
          <w:tcPr>
            <w:tcW w:w="991"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b/>
                <w:i/>
                <w:color w:val="000000"/>
                <w:sz w:val="15"/>
                <w:lang w:eastAsia="en-US"/>
              </w:rPr>
              <w:t>Nov/26</w:t>
            </w:r>
          </w:p>
        </w:tc>
        <w:tc>
          <w:tcPr>
            <w:tcW w:w="993"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b/>
                <w:color w:val="000000"/>
                <w:sz w:val="15"/>
                <w:lang w:eastAsia="en-US"/>
              </w:rPr>
              <w:t>Dez/26</w:t>
            </w:r>
          </w:p>
        </w:tc>
        <w:tc>
          <w:tcPr>
            <w:tcW w:w="991"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b/>
                <w:color w:val="000000"/>
                <w:sz w:val="15"/>
                <w:lang w:eastAsia="en-US"/>
              </w:rPr>
              <w:t>Jan/27</w:t>
            </w:r>
          </w:p>
        </w:tc>
        <w:tc>
          <w:tcPr>
            <w:tcW w:w="991" w:type="dxa"/>
            <w:tcBorders>
              <w:top w:val="single" w:sz="8" w:space="0" w:color="8C8C8C"/>
              <w:left w:val="single" w:sz="8" w:space="0" w:color="8C8C8C"/>
              <w:bottom w:val="single" w:sz="8" w:space="0" w:color="8C8C8C"/>
              <w:right w:val="single" w:sz="8" w:space="0" w:color="8C8C8C"/>
            </w:tcBorders>
            <w:shd w:color="auto" w:fill="D9EAF2" w:val="clear"/>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b/>
                <w:i/>
                <w:color w:val="000000"/>
                <w:sz w:val="15"/>
                <w:lang w:eastAsia="en-US"/>
              </w:rPr>
              <w:t>Fev/27</w:t>
            </w:r>
          </w:p>
        </w:tc>
      </w:tr>
      <w:tr>
        <w:trPr>
          <w:trHeight w:val="765" w:hRule="atLeast"/>
          <w:cantSplit w:val="true"/>
        </w:trPr>
        <w:tc>
          <w:tcPr>
            <w:tcW w:w="5952"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rPr>
                <w:rFonts w:ascii="Times New Roman" w:hAnsi="Times New Roman" w:eastAsia="MS Mincho" w:cs="Times New Roman"/>
                <w:sz w:val="20"/>
                <w:lang w:eastAsia="en-US"/>
              </w:rPr>
            </w:pPr>
            <w:r>
              <w:rPr>
                <w:rFonts w:eastAsia="MS Mincho" w:cs="Times New Roman"/>
                <w:color w:val="000000"/>
                <w:sz w:val="17"/>
                <w:lang w:eastAsia="en-US"/>
              </w:rPr>
              <w:t>T9 - Validação com especialista em piscicultura</w:t>
            </w:r>
          </w:p>
        </w:tc>
        <w:tc>
          <w:tcPr>
            <w:tcW w:w="992"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3"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1"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3"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2"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1"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3"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b/>
                <w:color w:val="FFFFFF"/>
                <w:sz w:val="18"/>
                <w:lang w:eastAsia="en-US"/>
              </w:rPr>
              <w:t>x</w:t>
            </w:r>
          </w:p>
        </w:tc>
        <w:tc>
          <w:tcPr>
            <w:tcW w:w="991"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b/>
                <w:color w:val="FFFFFF"/>
                <w:sz w:val="18"/>
                <w:lang w:eastAsia="en-US"/>
              </w:rPr>
              <w:t>x</w:t>
            </w:r>
          </w:p>
        </w:tc>
        <w:tc>
          <w:tcPr>
            <w:tcW w:w="991"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r>
      <w:tr>
        <w:trPr>
          <w:trHeight w:val="765" w:hRule="atLeast"/>
          <w:cantSplit w:val="true"/>
        </w:trPr>
        <w:tc>
          <w:tcPr>
            <w:tcW w:w="5952"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rPr>
                <w:rFonts w:ascii="Times New Roman" w:hAnsi="Times New Roman" w:eastAsia="MS Mincho" w:cs="Times New Roman"/>
                <w:sz w:val="20"/>
                <w:lang w:eastAsia="en-US"/>
              </w:rPr>
            </w:pPr>
            <w:r>
              <w:rPr>
                <w:rFonts w:eastAsia="MS Mincho" w:cs="Times New Roman"/>
                <w:color w:val="000000"/>
                <w:sz w:val="17"/>
                <w:lang w:eastAsia="en-US"/>
              </w:rPr>
              <w:t>T10 - Avaliação do artefato, análise da V&amp;V e explicitação das aprendizagens</w:t>
            </w:r>
          </w:p>
        </w:tc>
        <w:tc>
          <w:tcPr>
            <w:tcW w:w="992"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3"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1"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3"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2"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1"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3"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1"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b/>
                <w:color w:val="FFFFFF"/>
                <w:sz w:val="18"/>
                <w:lang w:eastAsia="en-US"/>
              </w:rPr>
              <w:t>x</w:t>
            </w:r>
          </w:p>
        </w:tc>
        <w:tc>
          <w:tcPr>
            <w:tcW w:w="991"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r>
      <w:tr>
        <w:trPr>
          <w:trHeight w:val="765" w:hRule="atLeast"/>
          <w:cantSplit w:val="true"/>
        </w:trPr>
        <w:tc>
          <w:tcPr>
            <w:tcW w:w="5952"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rPr>
                <w:rFonts w:ascii="Times New Roman" w:hAnsi="Times New Roman" w:eastAsia="MS Mincho" w:cs="Times New Roman"/>
                <w:sz w:val="20"/>
                <w:lang w:eastAsia="en-US"/>
              </w:rPr>
            </w:pPr>
            <w:r>
              <w:rPr>
                <w:rFonts w:eastAsia="MS Mincho" w:cs="Times New Roman"/>
                <w:color w:val="000000"/>
                <w:sz w:val="17"/>
                <w:lang w:eastAsia="en-US"/>
              </w:rPr>
              <w:t>T11 - Redação dos capítulos de resultados, discussão, conclusão e generalização</w:t>
            </w:r>
          </w:p>
        </w:tc>
        <w:tc>
          <w:tcPr>
            <w:tcW w:w="992"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3"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1"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3"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2"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1"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3"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1"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b/>
                <w:color w:val="FFFFFF"/>
                <w:sz w:val="18"/>
                <w:lang w:eastAsia="en-US"/>
              </w:rPr>
              <w:t>x</w:t>
            </w:r>
          </w:p>
        </w:tc>
        <w:tc>
          <w:tcPr>
            <w:tcW w:w="991"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b/>
                <w:color w:val="FFFFFF"/>
                <w:sz w:val="18"/>
                <w:lang w:eastAsia="en-US"/>
              </w:rPr>
              <w:t>x</w:t>
            </w:r>
          </w:p>
        </w:tc>
      </w:tr>
      <w:tr>
        <w:trPr>
          <w:trHeight w:val="765" w:hRule="atLeast"/>
          <w:cantSplit w:val="true"/>
        </w:trPr>
        <w:tc>
          <w:tcPr>
            <w:tcW w:w="5952"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rPr>
                <w:rFonts w:ascii="Times New Roman" w:hAnsi="Times New Roman" w:eastAsia="MS Mincho" w:cs="Times New Roman"/>
                <w:sz w:val="20"/>
                <w:lang w:eastAsia="en-US"/>
              </w:rPr>
            </w:pPr>
            <w:r>
              <w:rPr>
                <w:rFonts w:eastAsia="MS Mincho" w:cs="Times New Roman"/>
                <w:color w:val="000000"/>
                <w:sz w:val="17"/>
                <w:lang w:eastAsia="en-US"/>
              </w:rPr>
              <w:t>T12 - Revisão final, formatação ABNT, entrega à banca e comunicação dos resultados</w:t>
            </w:r>
          </w:p>
        </w:tc>
        <w:tc>
          <w:tcPr>
            <w:tcW w:w="992"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3"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1"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3"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2"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1"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3"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1"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1"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b/>
                <w:color w:val="FFFFFF"/>
                <w:sz w:val="18"/>
                <w:lang w:eastAsia="en-US"/>
              </w:rPr>
              <w:t>x</w:t>
            </w:r>
          </w:p>
        </w:tc>
      </w:tr>
      <w:tr>
        <w:trPr>
          <w:trHeight w:val="765" w:hRule="atLeast"/>
          <w:cantSplit w:val="true"/>
        </w:trPr>
        <w:tc>
          <w:tcPr>
            <w:tcW w:w="5952"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rPr>
                <w:rFonts w:ascii="Times New Roman" w:hAnsi="Times New Roman" w:eastAsia="MS Mincho" w:cs="Times New Roman"/>
                <w:sz w:val="20"/>
                <w:lang w:eastAsia="en-US"/>
              </w:rPr>
            </w:pPr>
            <w:r>
              <w:rPr>
                <w:rFonts w:eastAsia="MS Mincho" w:cs="Times New Roman"/>
                <w:color w:val="000000"/>
                <w:sz w:val="17"/>
                <w:lang w:eastAsia="en-US"/>
              </w:rPr>
              <w:t>T13 - Defesa final da dissertação</w:t>
            </w:r>
          </w:p>
        </w:tc>
        <w:tc>
          <w:tcPr>
            <w:tcW w:w="992"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3"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1"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3"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2"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1"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3"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1" w:type="dxa"/>
            <w:tcBorders>
              <w:top w:val="single" w:sz="8" w:space="0" w:color="8C8C8C"/>
              <w:left w:val="single" w:sz="8" w:space="0" w:color="8C8C8C"/>
              <w:bottom w:val="single" w:sz="8" w:space="0" w:color="8C8C8C"/>
              <w:right w:val="single" w:sz="8" w:space="0" w:color="8C8C8C"/>
            </w:tcBorders>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sz w:val="20"/>
                <w:lang w:eastAsia="en-US"/>
              </w:rPr>
            </w:r>
          </w:p>
        </w:tc>
        <w:tc>
          <w:tcPr>
            <w:tcW w:w="991" w:type="dxa"/>
            <w:tcBorders>
              <w:top w:val="single" w:sz="8" w:space="0" w:color="8C8C8C"/>
              <w:left w:val="single" w:sz="8" w:space="0" w:color="8C8C8C"/>
              <w:bottom w:val="single" w:sz="8" w:space="0" w:color="8C8C8C"/>
              <w:right w:val="single" w:sz="8" w:space="0" w:color="8C8C8C"/>
            </w:tcBorders>
            <w:shd w:color="auto" w:fill="2E75B6" w:val="clear"/>
            <w:vAlign w:val="center"/>
          </w:tcPr>
          <w:p>
            <w:pPr>
              <w:pStyle w:val="Normal"/>
              <w:suppressAutoHyphens w:val="false"/>
              <w:spacing w:lineRule="auto" w:line="240" w:before="0" w:after="0"/>
              <w:jc w:val="center"/>
              <w:rPr>
                <w:rFonts w:ascii="Times New Roman" w:hAnsi="Times New Roman" w:eastAsia="MS Mincho" w:cs="Times New Roman"/>
                <w:sz w:val="20"/>
                <w:lang w:eastAsia="en-US"/>
              </w:rPr>
            </w:pPr>
            <w:r>
              <w:rPr>
                <w:rFonts w:eastAsia="MS Mincho" w:cs="Times New Roman"/>
                <w:b/>
                <w:color w:val="FFFFFF"/>
                <w:sz w:val="18"/>
                <w:lang w:eastAsia="en-US"/>
              </w:rPr>
              <w:t>x</w:t>
            </w:r>
          </w:p>
        </w:tc>
      </w:tr>
    </w:tbl>
    <w:p>
      <w:pPr>
        <w:sectPr>
          <w:headerReference w:type="default" r:id="rId40"/>
          <w:headerReference w:type="first" r:id="rId41"/>
          <w:footerReference w:type="default" r:id="rId42"/>
          <w:footerReference w:type="first" r:id="rId43"/>
          <w:footnotePr>
            <w:numFmt w:val="decimal"/>
          </w:footnotePr>
          <w:type w:val="nextPage"/>
          <w:pgSz w:orient="landscape" w:w="16838" w:h="11906"/>
          <w:pgMar w:left="1417" w:right="1417" w:gutter="0" w:header="708" w:top="1701" w:footer="0" w:bottom="1701"/>
          <w:pgNumType w:fmt="decimal"/>
          <w:formProt w:val="false"/>
          <w:textDirection w:val="lrTb"/>
          <w:docGrid w:type="default" w:linePitch="299" w:charSpace="4096"/>
        </w:sectPr>
        <w:pStyle w:val="Normal"/>
        <w:spacing w:before="100" w:after="0"/>
        <w:jc w:val="center"/>
        <w:rPr/>
      </w:pPr>
      <w:r>
        <w:rPr>
          <w:color w:val="000000"/>
          <w:sz w:val="18"/>
        </w:rPr>
        <w:t>Fonte: Elaborado pelo autor (2026).</w:t>
      </w:r>
    </w:p>
    <w:p>
      <w:pPr>
        <w:pStyle w:val="Normal"/>
        <w:spacing w:lineRule="auto" w:line="360" w:before="0" w:after="0"/>
        <w:ind w:firstLine="708"/>
        <w:jc w:val="both"/>
        <w:rPr>
          <w:rFonts w:ascii="Times New Roman" w:hAnsi="Times New Roman" w:eastAsia="Times New Roman" w:cs="Times New Roman"/>
          <w:sz w:val="24"/>
          <w:szCs w:val="24"/>
        </w:rPr>
      </w:pPr>
      <w:r>
        <w:rPr>
          <w:rFonts w:eastAsia="Times New Roman" w:cs="Times New Roman"/>
          <w:sz w:val="24"/>
          <w:szCs w:val="24"/>
        </w:rPr>
        <w:t xml:space="preserve">Cabe ressaltar o caráter intencionalmente iterativo do cronograma proposto, coerente com a natureza recursiva da </w:t>
      </w:r>
      <w:r>
        <w:rPr>
          <w:rFonts w:eastAsia="Times New Roman" w:cs="Times New Roman"/>
          <w:i/>
          <w:iCs/>
          <w:sz w:val="24"/>
          <w:szCs w:val="24"/>
        </w:rPr>
        <w:t>DSR</w:t>
      </w:r>
      <w:r>
        <w:rPr>
          <w:rFonts w:eastAsia="Times New Roman" w:cs="Times New Roman"/>
          <w:sz w:val="24"/>
          <w:szCs w:val="24"/>
        </w:rPr>
        <w:t xml:space="preserve"> e com a possibilidade de retroalimentação entre as etapas de desenvolvimento, verificação e validação. Os períodos indicados são estimativas sujeitas a ajustes decorrentes das recomendações da banca e das inspeções dos especialistas. A defesa final está prevista para fevereiro de 2027, encerrando o ciclo de nove meses úteis dedicados ao desenvolvimento, validação e comunicação dos resultados do </w:t>
      </w:r>
      <w:r>
        <w:rPr>
          <w:rFonts w:eastAsia="Times New Roman" w:cs="Times New Roman"/>
          <w:i/>
          <w:iCs/>
          <w:sz w:val="24"/>
          <w:szCs w:val="24"/>
        </w:rPr>
        <w:t>framework</w:t>
      </w:r>
      <w:r>
        <w:rPr>
          <w:rFonts w:eastAsia="Times New Roman" w:cs="Times New Roman"/>
          <w:sz w:val="24"/>
          <w:szCs w:val="24"/>
        </w:rPr>
        <w:t xml:space="preserve"> EVTEAS-Py.</w:t>
      </w:r>
      <w:r>
        <w:br w:type="page"/>
      </w:r>
    </w:p>
    <w:p>
      <w:pPr>
        <w:pStyle w:val="Heading1"/>
        <w:rPr/>
      </w:pPr>
      <w:r>
        <w:rPr>
          <w:rFonts w:ascii="Times New Roman" w:hAnsi="Times New Roman"/>
          <w:b/>
          <w:sz w:val="32"/>
        </w:rPr>
        <w:t>4 RESULTADOS E DISCUSSÃO</w:t>
      </w:r>
    </w:p>
    <w:p>
      <w:pPr>
        <w:pStyle w:val="Normal"/>
        <w:spacing w:lineRule="auto" w:line="360" w:before="0" w:after="0"/>
        <w:ind w:firstLine="709"/>
        <w:jc w:val="both"/>
        <w:rPr/>
      </w:pPr>
      <w:r>
        <w:rPr>
          <w:sz w:val="24"/>
        </w:rPr>
        <w:t>O Capítulo 4 apresenta os resultados da construção e da execução computacional do EVTEAS-Py, tomando como evidência central o código efetivamente implementado e uma execução reproduzível do caso-base incorporado ao próprio artefato. A apresentação segue a lógica Input → Processamento → Output → Verificação → Interpretação, aproximando a descrição do framework do percurso metodológico definido no Capítulo 3. O caso-base não é tratado como validação empírica de um empreendimento real; trata-se de uma configuração ilustrativa, registrada com a origem de cada premissa, utilizada para verificar a coerência funcional do pipeline, demonstrar a propagação das entradas e produzir uma primeira leitura dos indicadores.</w:t>
      </w:r>
    </w:p>
    <w:p>
      <w:pPr>
        <w:pStyle w:val="Normal"/>
        <w:spacing w:lineRule="auto" w:line="360" w:before="0" w:after="0"/>
        <w:ind w:firstLine="709"/>
        <w:jc w:val="both"/>
        <w:rPr/>
      </w:pPr>
      <w:r>
        <w:rPr>
          <w:sz w:val="24"/>
        </w:rPr>
        <w:t>Nesta revisão, o notebook da versão anterior foi reestruturado como o pacote Python evteas_py 2.0, acompanhado do notebook autocontido EVTEAS_Py_Rev187, de uma suíte de testes automatizados e de um script de execução do estudo. Foram executadas as funções criar_config_caso_base() e executar_evteas(), com Monte Carlo habilitado, 10.000 iterações e seed 20260612. O caso-base representa um Projeto de Geração de Trabalho e Renda (PGTR) de tilapicultura em viveiros escavados, conduzido por cooperativa de pescadores artesanais, com 4 ha de lâmina d'água. Dessa forma, os números apresentados adiante constituem resultados computacionais reproduzíveis do próprio artefato, não observações de campo. Essa distinção preserva a coerência entre o que efetivamente foi executado e o que ainda depende de validação externa.</w:t>
      </w:r>
    </w:p>
    <w:p>
      <w:pPr>
        <w:pStyle w:val="Normal"/>
        <w:spacing w:lineRule="auto" w:line="360" w:before="0" w:after="0"/>
        <w:ind w:firstLine="709"/>
        <w:jc w:val="both"/>
        <w:rPr/>
      </w:pPr>
      <w:r>
        <w:rPr>
          <w:sz w:val="24"/>
        </w:rPr>
        <w:t>O preset utilizado na Rev. 186 foi mantido no pacote como caso de regressão. Na revisão anterior, ele produzia custos fixos de R$ 87.000 mensais para uma receita mensal da ordem de R$ 12.000, o que tornava o diagnóstico de inviabilidade trivial e pouco informativo. A comparação entre as duas versões é apresentada na Seção 4.10 como evidência de verificação.</w:t>
      </w:r>
    </w:p>
    <w:p>
      <w:pPr>
        <w:pStyle w:val="Heading2"/>
        <w:pageBreakBefore w:val="false"/>
        <w:rPr/>
      </w:pPr>
      <w:r>
        <w:rPr>
          <w:rFonts w:ascii="Times New Roman" w:hAnsi="Times New Roman"/>
          <w:b w:val="false"/>
          <w:sz w:val="28"/>
        </w:rPr>
        <w:t>4.1 Construção e arquitetura do artefato EVTEAS-Py</w:t>
      </w:r>
    </w:p>
    <w:p>
      <w:pPr>
        <w:pStyle w:val="Normal"/>
        <w:spacing w:lineRule="auto" w:line="360" w:before="0" w:after="0"/>
        <w:ind w:firstLine="709"/>
        <w:jc w:val="both"/>
        <w:rPr/>
      </w:pPr>
      <w:r>
        <w:rPr>
          <w:sz w:val="24"/>
        </w:rPr>
        <w:t>O EVTEAS-Py foi estruturado como um framework modular em Python. A decisão central foi concentrar as premissas em estruturas de configuração e fazer com que um único objeto EVTEASConfig atravesse o pipeline. A configuração agrega os blocos técnico, econômico, ambiental, social, de governança, de pesos, de decisão e de Monte Carlo, além de um registro de fontes que associa cada premissa à sua origem. Essa organização permite separar a camada de aquisição de dados das rotinas analíticas e facilita a reprodução do estudo com um novo conjunto de premissas.</w:t>
      </w:r>
    </w:p>
    <w:p>
      <w:pPr>
        <w:pStyle w:val="Normal"/>
        <w:spacing w:lineRule="auto" w:line="360" w:before="0" w:after="0"/>
        <w:ind w:firstLine="709"/>
        <w:jc w:val="both"/>
        <w:rPr/>
      </w:pPr>
      <w:r>
        <w:rPr>
          <w:sz w:val="24"/>
        </w:rPr>
        <w:t>O código foi distribuído em dez módulos, cada um vinculado a uma seção da dissertação, como sintetiza o Quadro 10. A Figura 11 apresenta o fluxo entre as camadas.</w:t>
      </w:r>
    </w:p>
    <w:p>
      <w:pPr>
        <w:pStyle w:val="Caption"/>
        <w:keepNext w:val="true"/>
        <w:spacing w:before="160" w:after="60"/>
        <w:ind w:hanging="0"/>
        <w:rPr/>
      </w:pPr>
      <w:r>
        <w:rPr>
          <w:b/>
          <w:sz w:val="18"/>
        </w:rPr>
        <w:t>Quadro 10 – Módulos do pacote evteas_py e vínculo com a dissertação</w:t>
      </w:r>
    </w:p>
    <w:tbl>
      <w:tblPr>
        <w:tblW w:w="8500" w:type="dxa"/>
        <w:jc w:val="center"/>
        <w:tblInd w:w="0" w:type="dxa"/>
        <w:tblLayout w:type="fixed"/>
        <w:tblCellMar>
          <w:top w:w="0" w:type="dxa"/>
          <w:left w:w="70" w:type="dxa"/>
          <w:bottom w:w="0" w:type="dxa"/>
          <w:right w:w="70" w:type="dxa"/>
        </w:tblCellMar>
        <w:tblLook w:val="04a0" w:noHBand="1" w:noVBand="1" w:firstColumn="0" w:lastRow="0" w:lastColumn="0" w:firstRow="1"/>
      </w:tblPr>
      <w:tblGrid>
        <w:gridCol w:w="1500"/>
        <w:gridCol w:w="4300"/>
        <w:gridCol w:w="2700"/>
      </w:tblGrid>
      <w:tr>
        <w:trPr>
          <w:tblHeader w:val="true"/>
          <w:cantSplit w:val="true"/>
        </w:trPr>
        <w:tc>
          <w:tcPr>
            <w:tcW w:w="1500" w:type="dxa"/>
            <w:tcBorders>
              <w:top w:val="single" w:sz="8" w:space="0" w:color="000000"/>
              <w:bottom w:val="single" w:sz="8" w:space="0" w:color="000000"/>
            </w:tcBorders>
            <w:vAlign w:val="center"/>
          </w:tcPr>
          <w:p>
            <w:pPr>
              <w:pStyle w:val="Normal"/>
              <w:spacing w:lineRule="auto" w:line="240" w:before="20" w:after="20"/>
              <w:ind w:hanging="0"/>
              <w:jc w:val="left"/>
              <w:rPr/>
            </w:pPr>
            <w:r>
              <w:rPr>
                <w:b/>
                <w:sz w:val="18"/>
              </w:rPr>
              <w:t>Módulo</w:t>
            </w:r>
          </w:p>
        </w:tc>
        <w:tc>
          <w:tcPr>
            <w:tcW w:w="4300"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Responsabilidade</w:t>
            </w:r>
          </w:p>
        </w:tc>
        <w:tc>
          <w:tcPr>
            <w:tcW w:w="2700"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Vínculo com a dissertação</w:t>
            </w:r>
          </w:p>
        </w:tc>
      </w:tr>
      <w:tr>
        <w:trPr>
          <w:cantSplit w:val="true"/>
        </w:trPr>
        <w:tc>
          <w:tcPr>
            <w:tcW w:w="15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config</w:t>
            </w:r>
          </w:p>
        </w:tc>
        <w:tc>
          <w:tcPr>
            <w:tcW w:w="4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Premissas, distribuições e registro de fontes</w:t>
            </w:r>
          </w:p>
        </w:tc>
        <w:tc>
          <w:tcPr>
            <w:tcW w:w="2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Seções 2.8.6 e 3.6</w:t>
            </w:r>
          </w:p>
        </w:tc>
      </w:tr>
      <w:tr>
        <w:trPr>
          <w:cantSplit w:val="true"/>
        </w:trPr>
        <w:tc>
          <w:tcPr>
            <w:tcW w:w="15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financeiro</w:t>
            </w:r>
          </w:p>
        </w:tc>
        <w:tc>
          <w:tcPr>
            <w:tcW w:w="4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VPL, TIR com diagnóstico e payback (vetorizados)</w:t>
            </w:r>
          </w:p>
        </w:tc>
        <w:tc>
          <w:tcPr>
            <w:tcW w:w="2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Seção 2.8.6; Assaf Neto (2014)</w:t>
            </w:r>
          </w:p>
        </w:tc>
      </w:tr>
      <w:tr>
        <w:trPr>
          <w:cantSplit w:val="true"/>
        </w:trPr>
        <w:tc>
          <w:tcPr>
            <w:tcW w:w="15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modelo</w:t>
            </w:r>
          </w:p>
        </w:tc>
        <w:tc>
          <w:tcPr>
            <w:tcW w:w="4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Dimensões técnica, econômica, ambiental, social e Lean-Green</w:t>
            </w:r>
          </w:p>
        </w:tc>
        <w:tc>
          <w:tcPr>
            <w:tcW w:w="2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Seção 2.8.6; Quadro 5</w:t>
            </w:r>
          </w:p>
        </w:tc>
      </w:tr>
      <w:tr>
        <w:trPr>
          <w:cantSplit w:val="true"/>
        </w:trPr>
        <w:tc>
          <w:tcPr>
            <w:tcW w:w="15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ponderacao</w:t>
            </w:r>
          </w:p>
        </w:tc>
        <w:tc>
          <w:tcPr>
            <w:tcW w:w="4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Normalização, pesos (preset, Likert, AHP), índice, decisão e TOPSIS</w:t>
            </w:r>
          </w:p>
        </w:tc>
        <w:tc>
          <w:tcPr>
            <w:tcW w:w="2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Seção 3.4; Quadro 7</w:t>
            </w:r>
          </w:p>
        </w:tc>
      </w:tr>
      <w:tr>
        <w:trPr>
          <w:cantSplit w:val="true"/>
        </w:trPr>
        <w:tc>
          <w:tcPr>
            <w:tcW w:w="15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incerteza</w:t>
            </w:r>
          </w:p>
        </w:tc>
        <w:tc>
          <w:tcPr>
            <w:tcW w:w="4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Monte Carlo, sensibilidade, valores críticos e cenários</w:t>
            </w:r>
          </w:p>
        </w:tc>
        <w:tc>
          <w:tcPr>
            <w:tcW w:w="2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Seção 3.6</w:t>
            </w:r>
          </w:p>
        </w:tc>
      </w:tr>
      <w:tr>
        <w:trPr>
          <w:cantSplit w:val="true"/>
        </w:trPr>
        <w:tc>
          <w:tcPr>
            <w:tcW w:w="15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pipeline</w:t>
            </w:r>
          </w:p>
        </w:tc>
        <w:tc>
          <w:tcPr>
            <w:tcW w:w="4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Execução integrada e comparação de alternativas</w:t>
            </w:r>
          </w:p>
        </w:tc>
        <w:tc>
          <w:tcPr>
            <w:tcW w:w="2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Etapas 6 e 7 da DSR</w:t>
            </w:r>
          </w:p>
        </w:tc>
      </w:tr>
      <w:tr>
        <w:trPr>
          <w:cantSplit w:val="true"/>
        </w:trPr>
        <w:tc>
          <w:tcPr>
            <w:tcW w:w="15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vv</w:t>
            </w:r>
          </w:p>
        </w:tc>
        <w:tc>
          <w:tcPr>
            <w:tcW w:w="4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Invariantes e testes de regressão</w:t>
            </w:r>
          </w:p>
        </w:tc>
        <w:tc>
          <w:tcPr>
            <w:tcW w:w="2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Seção 3.3.2 (Boehm, 1984)</w:t>
            </w:r>
          </w:p>
        </w:tc>
      </w:tr>
      <w:tr>
        <w:trPr>
          <w:cantSplit w:val="true"/>
        </w:trPr>
        <w:tc>
          <w:tcPr>
            <w:tcW w:w="15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casos</w:t>
            </w:r>
          </w:p>
        </w:tc>
        <w:tc>
          <w:tcPr>
            <w:tcW w:w="4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Caso-base, alternativas e preset legado</w:t>
            </w:r>
          </w:p>
        </w:tc>
        <w:tc>
          <w:tcPr>
            <w:tcW w:w="2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Etapa 8 da DSR</w:t>
            </w:r>
          </w:p>
        </w:tc>
      </w:tr>
      <w:tr>
        <w:trPr>
          <w:cantSplit w:val="true"/>
        </w:trPr>
        <w:tc>
          <w:tcPr>
            <w:tcW w:w="15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relatorios</w:t>
            </w:r>
          </w:p>
        </w:tc>
        <w:tc>
          <w:tcPr>
            <w:tcW w:w="4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Resumo executivo, Excel, JSON, Markdown e figuras</w:t>
            </w:r>
          </w:p>
        </w:tc>
        <w:tc>
          <w:tcPr>
            <w:tcW w:w="2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Etapa 12 da DSR</w:t>
            </w:r>
          </w:p>
        </w:tc>
      </w:tr>
      <w:tr>
        <w:trPr>
          <w:cantSplit w:val="true"/>
        </w:trPr>
        <w:tc>
          <w:tcPr>
            <w:tcW w:w="1500" w:type="dxa"/>
            <w:tcBorders>
              <w:top w:val="single" w:sz="2" w:space="0" w:color="BFBFBF"/>
              <w:bottom w:val="single" w:sz="8" w:space="0" w:color="000000"/>
            </w:tcBorders>
            <w:vAlign w:val="center"/>
          </w:tcPr>
          <w:p>
            <w:pPr>
              <w:pStyle w:val="Normal"/>
              <w:spacing w:lineRule="auto" w:line="240" w:before="20" w:after="20"/>
              <w:ind w:hanging="0"/>
              <w:jc w:val="left"/>
              <w:rPr/>
            </w:pPr>
            <w:r>
              <w:rPr>
                <w:sz w:val="18"/>
              </w:rPr>
              <w:t>interface</w:t>
            </w:r>
          </w:p>
        </w:tc>
        <w:tc>
          <w:tcPr>
            <w:tcW w:w="4300"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Wizard interativo, arquivos JSON e análise de preços</w:t>
            </w:r>
          </w:p>
        </w:tc>
        <w:tc>
          <w:tcPr>
            <w:tcW w:w="2700"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Seção 2.8.3 (PMBOK)</w:t>
            </w:r>
          </w:p>
        </w:tc>
      </w:tr>
    </w:tbl>
    <w:p>
      <w:pPr>
        <w:pStyle w:val="Caption"/>
        <w:ind w:hanging="0"/>
        <w:rPr/>
      </w:pPr>
      <w:r>
        <w:rPr>
          <w:sz w:val="18"/>
        </w:rPr>
        <w:t>Fonte: elaboração própria (2026).</w:t>
      </w:r>
    </w:p>
    <w:p>
      <w:pPr>
        <w:pStyle w:val="Caption"/>
        <w:keepNext w:val="true"/>
        <w:spacing w:before="160" w:after="60"/>
        <w:ind w:hanging="0"/>
        <w:rPr/>
      </w:pPr>
      <w:r>
        <w:rPr>
          <w:b/>
          <w:sz w:val="18"/>
        </w:rPr>
        <w:t>Figura 11 – Arquitetura do EVTEAS-Py 2.0</w:t>
      </w:r>
    </w:p>
    <w:p>
      <w:pPr>
        <w:pStyle w:val="Normal"/>
        <w:keepNext w:val="true"/>
        <w:spacing w:before="60" w:after="60"/>
        <w:ind w:hanging="0"/>
        <w:jc w:val="center"/>
        <w:rPr/>
      </w:pPr>
      <w:r>
        <w:rPr/>
        <w:drawing>
          <wp:inline distT="0" distB="0" distL="0" distR="0">
            <wp:extent cx="5219700" cy="2593340"/>
            <wp:effectExtent l="0" t="0" r="0" b="0"/>
            <wp:docPr id="13" name="Figura Rev187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 Rev187 1" descr=""/>
                    <pic:cNvPicPr>
                      <a:picLocks noChangeAspect="1" noChangeArrowheads="1"/>
                    </pic:cNvPicPr>
                  </pic:nvPicPr>
                  <pic:blipFill>
                    <a:blip r:embed="rId44"/>
                    <a:stretch>
                      <a:fillRect/>
                    </a:stretch>
                  </pic:blipFill>
                  <pic:spPr bwMode="auto">
                    <a:xfrm>
                      <a:off x="0" y="0"/>
                      <a:ext cx="5219700" cy="2593340"/>
                    </a:xfrm>
                    <a:prstGeom prst="rect">
                      <a:avLst/>
                    </a:prstGeom>
                  </pic:spPr>
                </pic:pic>
              </a:graphicData>
            </a:graphic>
          </wp:inline>
        </w:drawing>
      </w:r>
    </w:p>
    <w:p>
      <w:pPr>
        <w:pStyle w:val="Caption"/>
        <w:ind w:hanging="0"/>
        <w:rPr/>
      </w:pPr>
      <w:r>
        <w:rPr>
          <w:sz w:val="18"/>
        </w:rPr>
        <w:t>Fonte: elaboração própria (2026).</w:t>
      </w:r>
    </w:p>
    <w:p>
      <w:pPr>
        <w:pStyle w:val="Caption"/>
        <w:spacing w:before="160" w:after="60"/>
        <w:ind w:hanging="0"/>
        <w:rPr/>
      </w:pPr>
      <w:r>
        <w:rPr>
          <w:b/>
          <w:sz w:val="18"/>
        </w:rPr>
        <w:t>Código 1 – Estrutura de configuração do EVTEAS-Py</w:t>
      </w:r>
    </w:p>
    <w:p>
      <w:pPr>
        <w:pStyle w:val="Normal"/>
        <w:shd w:fill="F2F2F2"/>
        <w:spacing w:lineRule="auto" w:line="240" w:before="40" w:after="40"/>
        <w:ind w:hanging="0" w:left="283" w:right="113"/>
        <w:jc w:val="left"/>
        <w:rPr/>
      </w:pPr>
      <w:r>
        <w:rPr>
          <w:rFonts w:ascii="Consolas" w:hAnsi="Consolas"/>
          <w:sz w:val="16"/>
        </w:rPr>
        <w:t>@dataclass</w:t>
        <w:br/>
        <w:t>class EVTEASConfig:</w:t>
        <w:br/>
        <w:t xml:space="preserve">    projeto: str = "Projeto de Piscicultura — EVTEAS-Py"</w:t>
        <w:br/>
        <w:t xml:space="preserve">    autor: str = "Rafael Alves Bastos"</w:t>
        <w:br/>
        <w:t xml:space="preserve">    versao: str = VERSAO</w:t>
        <w:br/>
        <w:t xml:space="preserve">    tecnico: TecnicoConfig = field(default_factory=TecnicoConfig)</w:t>
        <w:br/>
        <w:t xml:space="preserve">    economico: EconomicoConfig = field(default_factory=EconomicoConfig)</w:t>
        <w:br/>
        <w:t xml:space="preserve">    ambiental: AmbientalConfig = field(default_factory=AmbientalConfig)</w:t>
        <w:br/>
        <w:t xml:space="preserve">    social: SocialConfig = field(default_factory=SocialConfig)</w:t>
        <w:br/>
        <w:t xml:space="preserve">    governanca: GovernancaConfig = field(default_factory=GovernancaConfig)</w:t>
        <w:br/>
        <w:t xml:space="preserve">    pesos: PesosConfig = field(default_factory=PesosConfig)</w:t>
        <w:br/>
        <w:t xml:space="preserve">    decisao: DecisaoConfig = field(default_factory=DecisaoConfig)</w:t>
        <w:br/>
        <w:t xml:space="preserve">    monte_carlo: MonteCarloConfig = field(default_factory=MonteCarloConfig)</w:t>
        <w:br/>
        <w:t xml:space="preserve">    fontes: Dict[str, Fonte] = field(default_factory=dict)  # "bloco.campo" -&gt; Fonte</w:t>
      </w:r>
    </w:p>
    <w:p>
      <w:pPr>
        <w:pStyle w:val="Caption"/>
        <w:ind w:hanging="0"/>
        <w:rPr/>
      </w:pPr>
      <w:r>
        <w:rPr>
          <w:sz w:val="18"/>
        </w:rPr>
        <w:t>Fonte: elaboração própria, a partir do pacote evteas_py 2.0 (notebook EVTEAS_Py_Rev187).</w:t>
      </w:r>
    </w:p>
    <w:p>
      <w:pPr>
        <w:pStyle w:val="Normal"/>
        <w:spacing w:lineRule="auto" w:line="360" w:before="0" w:after="0"/>
        <w:ind w:firstLine="709"/>
        <w:jc w:val="both"/>
        <w:rPr/>
      </w:pPr>
      <w:r>
        <w:rPr>
          <w:sz w:val="24"/>
        </w:rPr>
        <w:t>A principal decisão arquitetural desta revisão foi a vetorização do núcleo de cálculo. A classe Contexto devolve qualquer parâmetro numérico como um vetor de tamanho n: com n = 1 o modelo é determinístico; com n = 10.000 ele é a própria simulação de Monte Carlo. Na Rev. 186, a simulação estocástica utilizava um modelo anual simplificado, distinto do modelo mensal determinístico, o que fazia as duas camadas divergirem. Com o motor único (Código 2), a mesma fórmula produz o resultado pontual e a distribuição de resultados, e essa equivalência passou a ser verificada por teste automatizado.</w:t>
      </w:r>
    </w:p>
    <w:p>
      <w:pPr>
        <w:pStyle w:val="Caption"/>
        <w:keepNext w:val="true"/>
        <w:spacing w:before="160" w:after="60"/>
        <w:ind w:hanging="0"/>
        <w:rPr/>
      </w:pPr>
      <w:r>
        <w:rPr>
          <w:b/>
          <w:sz w:val="18"/>
        </w:rPr>
        <w:t>Código 2 – Contexto vetorizado e motor único das quatro dimensões</w:t>
      </w:r>
    </w:p>
    <w:p>
      <w:pPr>
        <w:pStyle w:val="Normal"/>
        <w:shd w:fill="F2F2F2"/>
        <w:spacing w:lineRule="auto" w:line="240" w:before="40" w:after="40"/>
        <w:ind w:hanging="0" w:left="283" w:right="113"/>
        <w:jc w:val="left"/>
        <w:rPr/>
      </w:pPr>
      <w:r>
        <w:rPr>
          <w:rFonts w:ascii="Consolas" w:hAnsi="Consolas"/>
          <w:sz w:val="16"/>
        </w:rPr>
        <w:t>class Contexto:</w:t>
        <w:br/>
        <w:t xml:space="preserve">    """Acesso vetorizado aos parâmetros, com substituições (overrides) por caminho."""</w:t>
        <w:br/>
        <w:br/>
        <w:t xml:space="preserve">    def __init__(self, cfg: EVTEASConfig, overrides: Optional[Dict[str, np.ndarray]] = None, n: int = 1):</w:t>
        <w:br/>
        <w:t xml:space="preserve">        self.cfg = cfg</w:t>
        <w:br/>
        <w:t xml:space="preserve">        self.overrides = overrides or {}</w:t>
        <w:br/>
        <w:t xml:space="preserve">        self.n = int(n)</w:t>
        <w:br/>
        <w:t xml:space="preserve">        for k, v in self.overrides.items():</w:t>
        <w:br/>
        <w:t xml:space="preserve">            if np.ndim(v) and len(v) != self.n:</w:t>
        <w:br/>
        <w:t xml:space="preserve">                raise ValueError(f"Override '{k}' com tamanho {len(v)} != n={self.n}")</w:t>
        <w:br/>
        <w:br/>
        <w:t xml:space="preserve">    def v(self, caminho: str) -&gt; np.ndarray:</w:t>
        <w:br/>
        <w:t xml:space="preserve">        if caminho in self.overrides:</w:t>
        <w:br/>
        <w:t xml:space="preserve">            return np.broadcast_to(np.asarray(self.overrides[caminho], dtype=float), (self.n,)).astype(float)</w:t>
        <w:br/>
        <w:t xml:space="preserve">        valor = obter_por_caminho(self.cfg, caminho)</w:t>
        <w:br/>
        <w:t xml:space="preserve">        return np.full(self.n, float(valor), dtype=float)</w:t>
        <w:br/>
        <w:br/>
        <w:br/>
        <w:t>def motor(cfg: EVTEASConfig, overrides: Optional[Dict[str, np.ndarray]] = None, n: int = 1,</w:t>
        <w:br/>
        <w:t xml:space="preserve">          pesos: Optional[Dict[str, Any]] = None) -&gt; Dict[str, Any]:</w:t>
        <w:br/>
        <w:t xml:space="preserve">    """Executa as quatro dimensões e o índice para n realizações das premissas."""</w:t>
        <w:br/>
        <w:t xml:space="preserve">    ctx = Contexto(cfg, overrides, n)</w:t>
        <w:br/>
        <w:t xml:space="preserve">    tec = calcular_tecnico(ctx)</w:t>
        <w:br/>
        <w:t xml:space="preserve">    eco = calcular_economico(ctx, tec)</w:t>
        <w:br/>
        <w:t xml:space="preserve">    amb = calcular_ambiental(ctx, tec, eco)</w:t>
        <w:br/>
        <w:t xml:space="preserve">    soc = calcular_social(ctx, eco)</w:t>
        <w:br/>
        <w:t xml:space="preserve">    gov = calcular_governanca(cfg)</w:t>
        <w:br/>
        <w:t xml:space="preserve">    lean = calcular_lean_green(ctx, tec, eco)</w:t>
        <w:br/>
        <w:t xml:space="preserve">    idx = calcular_indice(cfg, tec, eco, amb, soc, gov, pesos)</w:t>
        <w:br/>
        <w:t xml:space="preserve">    return {"tecnico": tec, "economico": eco, "ambiental": amb, "social": soc,</w:t>
        <w:br/>
        <w:t xml:space="preserve">            "governanca": gov, "lean_green": lean, "indice": idx}</w:t>
      </w:r>
    </w:p>
    <w:p>
      <w:pPr>
        <w:pStyle w:val="Caption"/>
        <w:ind w:hanging="0"/>
        <w:rPr/>
      </w:pPr>
      <w:r>
        <w:rPr>
          <w:sz w:val="18"/>
        </w:rPr>
        <w:t>Fonte: elaboração própria, a partir do pacote evteas_py 2.0 (notebook EVTEAS_Py_Rev187).</w:t>
      </w:r>
    </w:p>
    <w:p>
      <w:pPr>
        <w:pStyle w:val="Normal"/>
        <w:spacing w:lineRule="auto" w:line="360" w:before="0" w:after="0"/>
        <w:ind w:firstLine="709"/>
        <w:jc w:val="both"/>
        <w:rPr/>
      </w:pPr>
      <w:r>
        <w:rPr>
          <w:sz w:val="24"/>
        </w:rPr>
        <w:t>As rotinas de AHP e TOPSIS, que na Rev. 186 estavam implementadas mas não eram chamadas pelo pipeline, foram integradas. O AHP é uma das três formas de obter os pesos dimensionais (ao lado do preset e da escala Likert do Quadro 7), com cálculo da razão de consistência (Saaty, 1980); o TOPSIS ordena alternativas de projeto pela proximidade relativa à solução ideal (Hwang; Yoon, 1981) e é utilizado na Seção 4.9.</w:t>
      </w:r>
    </w:p>
    <w:p>
      <w:pPr>
        <w:pStyle w:val="Heading2"/>
        <w:pageBreakBefore w:val="false"/>
        <w:rPr/>
      </w:pPr>
      <w:r>
        <w:rPr>
          <w:rFonts w:ascii="Times New Roman" w:hAnsi="Times New Roman"/>
          <w:b w:val="false"/>
          <w:sz w:val="28"/>
        </w:rPr>
        <w:t>4.2 Interface de entrada e parametrização do estudo</w:t>
      </w:r>
    </w:p>
    <w:p>
      <w:pPr>
        <w:pStyle w:val="Normal"/>
        <w:spacing w:lineRule="auto" w:line="360" w:before="0" w:after="0"/>
        <w:ind w:firstLine="709"/>
        <w:jc w:val="both"/>
        <w:rPr/>
      </w:pPr>
      <w:r>
        <w:rPr>
          <w:sz w:val="24"/>
        </w:rPr>
        <w:t>A função wizard_evteas() constitui a interface textual de parametrização. O desenho do wizard recupera os campos presentes nas versões anteriores do estudo de viabilidade econômica, como tipo de organização, mix de produtos, cooperados, distribuição de sobras e tributos, e acrescenta os parâmetros técnico-ambientais-sociais e o checklist de governança. Cada pergunta exibe o valor atual entre colchetes e aceita Enter para mantê-lo, o que permite revisar um estudo existente sem redigitar todas as premissas. Os valores são validados quanto a limites mínimos e máximos e aceitam vírgula ou ponto decimal.</w:t>
      </w:r>
    </w:p>
    <w:p>
      <w:pPr>
        <w:pStyle w:val="Normal"/>
        <w:spacing w:lineRule="auto" w:line="360" w:before="0" w:after="0"/>
        <w:ind w:firstLine="709"/>
        <w:jc w:val="both"/>
        <w:rPr/>
      </w:pPr>
      <w:r>
        <w:rPr>
          <w:sz w:val="24"/>
        </w:rPr>
        <w:t>Além do wizard, a configuração pode ser salva e carregada em arquivo JSON, o que dispensa a entrada interativa em execuções repetidas e permite versionar as premissas de cada estudo. A análise de preços a partir de planilha, herdada das versões anteriores, foi mantida em forma enxuta: com uma coluna de preços, o artefato sugere preços por estratégia (percentis 25, 50 e 75); com preços e quantidades, estima uma curva de demanda linear e o preço que maximiza a margem de contribuição.</w:t>
      </w:r>
    </w:p>
    <w:p>
      <w:pPr>
        <w:pStyle w:val="Caption"/>
        <w:spacing w:before="160" w:after="60"/>
        <w:ind w:hanging="0"/>
        <w:rPr/>
      </w:pPr>
      <w:r>
        <w:rPr>
          <w:b/>
          <w:sz w:val="18"/>
        </w:rPr>
        <w:t>Código 3 – Entrada interativa e parametrização do estudo (trecho)</w:t>
      </w:r>
    </w:p>
    <w:p>
      <w:pPr>
        <w:pStyle w:val="Normal"/>
        <w:shd w:fill="F2F2F2"/>
        <w:spacing w:lineRule="auto" w:line="240" w:before="40" w:after="40"/>
        <w:ind w:hanging="0" w:left="283" w:right="113"/>
        <w:jc w:val="left"/>
        <w:rPr/>
      </w:pPr>
      <w:r>
        <w:rPr>
          <w:rFonts w:ascii="Consolas" w:hAnsi="Consolas"/>
          <w:sz w:val="16"/>
        </w:rPr>
        <w:t>def wizard_evteas(entrada: Callable[[str], str] = input, base: Optional[EVTEASConfig] = None) -&gt; EVTEASConfig:</w:t>
        <w:br/>
        <w:t xml:space="preserve">    """Coleta guiada das premissas, bloco a bloco (lógica PMBOK de iniciação/planejamento)."""</w:t>
        <w:br/>
        <w:t xml:space="preserve">    cfg = base or criar_config_caso_base()</w:t>
        <w:br/>
        <w:t xml:space="preserve">    t, e, a, s = cfg.tecnico, cfg.economico, cfg.ambiental, cfg.social</w:t>
        <w:br/>
        <w:t xml:space="preserve">    print("=== EVTEAS-Py — entrada de dados (Enter mantém o valor) ===")</w:t>
        <w:br/>
        <w:t xml:space="preserve">    cfg.projeto = entrada(f"Nome do projeto [{cfg.projeto}]: ").strip() or cfg.projeto</w:t>
        <w:br/>
        <w:br/>
        <w:t xml:space="preserve">    print("\n--- 1. Técnico: infraestrutura ---")</w:t>
        <w:br/>
        <w:t xml:space="preserve">    t.sistema_produtivo = perguntar_opcao("Sistema produtivo", t.sistema_produtivo,</w:t>
        <w:br/>
        <w:t xml:space="preserve">                                          ["extensivo", "semi-intensivo", "intensivo", "superintensivo"], entrada)</w:t>
        <w:br/>
        <w:t xml:space="preserve">    t.area_lamina_m2 = perguntar_numero("Área de lâmina d'água (m²)", t.area_lamina_m2, 1, None, entrada)</w:t>
        <w:br/>
        <w:t xml:space="preserve">    t.profundidade_media_m = perguntar_numero("Profundidade média (m)", t.profundidade_media_m, 0.1, 10, entrada)</w:t>
        <w:br/>
        <w:t xml:space="preserve">    t.numero_tanques = int(perguntar_numero("Número de viveiros/tanques", t.numero_tanques, 1, None, entrada))</w:t>
        <w:br/>
        <w:t xml:space="preserve">    t.tanques_ativos = int(perguntar_numero("Viveiros ativos", t.tanques_ativos, 0, t.numero_tanques, entrada))</w:t>
        <w:br/>
        <w:t xml:space="preserve">    print("--- 1. Técnico: parâmetros biológicos e insumos ---")</w:t>
        <w:br/>
        <w:t xml:space="preserve">    t.peso_inicial_g = perguntar_numero("Peso inicial dos alevinos/juvenis (g)", t.peso_inicial_g, 0.1, None, entrada)</w:t>
        <w:br/>
        <w:t xml:space="preserve">    t.peso_final_g = perguntar_numero("Peso de abate (g)", t.peso_final_g, t.peso_inicial_g, None, entrada)</w:t>
        <w:br/>
        <w:t xml:space="preserve">    t.ciclo_dias = int(perguntar_numero("Duração do ciclo (dias)", t.ciclo_dias, 1, 730, entrada))</w:t>
        <w:br/>
        <w:t xml:space="preserve">    t.ciclos_ano = perguntar_numero("Ciclos por ano (escalonados)", t.ciclos_ano, 0, 365 / t.ciclo_dias, entrada)</w:t>
        <w:br/>
        <w:t xml:space="preserve">    t.produtividade_esperada_kg_m2_ciclo = perguntar_numero("Produtividade esperada (kg/m²/ciclo; 0 ignora)",</w:t>
        <w:br/>
        <w:t xml:space="preserve">                                                            t.produtividade_esperada_kg_m2_ciclo, 0, None, entrada)</w:t>
        <w:br/>
        <w:t xml:space="preserve">    t.fcr = perguntar_numero("Conversão alimentar — FCR/TCA", t.fcr, 0.5, 5, entrada)</w:t>
        <w:br/>
        <w:t xml:space="preserve">    t.mortalidade_pct = perguntar_numero("Mortalidade (%)", t.mortalidade_pct, 0, 100, entrada)</w:t>
      </w:r>
    </w:p>
    <w:p>
      <w:pPr>
        <w:pStyle w:val="Caption"/>
        <w:ind w:hanging="0"/>
        <w:rPr/>
      </w:pPr>
      <w:r>
        <w:rPr>
          <w:sz w:val="18"/>
        </w:rPr>
        <w:t>Fonte: elaboração própria, a partir do pacote evteas_py 2.0 (notebook EVTEAS_Py_Rev187).</w:t>
      </w:r>
    </w:p>
    <w:p>
      <w:pPr>
        <w:pStyle w:val="Normal"/>
        <w:spacing w:lineRule="auto" w:line="360" w:before="0" w:after="0"/>
        <w:ind w:firstLine="709"/>
        <w:jc w:val="both"/>
        <w:rPr/>
      </w:pPr>
      <w:r>
        <w:rPr>
          <w:sz w:val="24"/>
        </w:rPr>
        <w:t>A rastreabilidade prevista na Seção 3.6 foi operacionalizada pela tabela de premissas, exportada junto com os resultados: cada parâmetro numérico aparece com seu valor, a categoria da fonte (dado histórico, dado secundário, cotação, valor normativo, parâmetro bibliográfico, empreendimento análogo, especialista ou estimativa do autor), a referência e, quando houver, a distribuição de probabilidade com mínimo, valor mais provável e máximo. O Quadro 11 resume as principais premissas do caso-base.</w:t>
      </w:r>
    </w:p>
    <w:p>
      <w:pPr>
        <w:pStyle w:val="Caption"/>
        <w:keepNext w:val="true"/>
        <w:spacing w:before="160" w:after="60"/>
        <w:ind w:hanging="0"/>
        <w:rPr/>
      </w:pPr>
      <w:r>
        <w:rPr>
          <w:b/>
          <w:sz w:val="18"/>
        </w:rPr>
        <w:t>Quadro 11 – Principais premissas do caso-base e origem declarada</w:t>
      </w:r>
    </w:p>
    <w:tbl>
      <w:tblPr>
        <w:tblW w:w="8500" w:type="dxa"/>
        <w:jc w:val="center"/>
        <w:tblInd w:w="0" w:type="dxa"/>
        <w:tblLayout w:type="fixed"/>
        <w:tblCellMar>
          <w:top w:w="0" w:type="dxa"/>
          <w:left w:w="70" w:type="dxa"/>
          <w:bottom w:w="0" w:type="dxa"/>
          <w:right w:w="70" w:type="dxa"/>
        </w:tblCellMar>
        <w:tblLook w:val="04a0" w:noHBand="1" w:noVBand="1" w:firstColumn="0" w:lastRow="0" w:lastColumn="0" w:firstRow="1"/>
      </w:tblPr>
      <w:tblGrid>
        <w:gridCol w:w="1299"/>
        <w:gridCol w:w="2701"/>
        <w:gridCol w:w="2499"/>
        <w:gridCol w:w="2000"/>
      </w:tblGrid>
      <w:tr>
        <w:trPr>
          <w:tblHeader w:val="true"/>
          <w:cantSplit w:val="true"/>
        </w:trPr>
        <w:tc>
          <w:tcPr>
            <w:tcW w:w="1299" w:type="dxa"/>
            <w:tcBorders>
              <w:top w:val="single" w:sz="8" w:space="0" w:color="000000"/>
              <w:bottom w:val="single" w:sz="8" w:space="0" w:color="000000"/>
            </w:tcBorders>
            <w:vAlign w:val="center"/>
          </w:tcPr>
          <w:p>
            <w:pPr>
              <w:pStyle w:val="Normal"/>
              <w:spacing w:lineRule="auto" w:line="240" w:before="20" w:after="20"/>
              <w:ind w:hanging="0"/>
              <w:jc w:val="left"/>
              <w:rPr/>
            </w:pPr>
            <w:r>
              <w:rPr>
                <w:b/>
                <w:sz w:val="18"/>
              </w:rPr>
              <w:t>Bloco</w:t>
            </w:r>
          </w:p>
        </w:tc>
        <w:tc>
          <w:tcPr>
            <w:tcW w:w="2701"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Premissa</w:t>
            </w:r>
          </w:p>
        </w:tc>
        <w:tc>
          <w:tcPr>
            <w:tcW w:w="2499"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Valor no caso-base</w:t>
            </w:r>
          </w:p>
        </w:tc>
        <w:tc>
          <w:tcPr>
            <w:tcW w:w="2000"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Origem declarada</w:t>
            </w:r>
          </w:p>
        </w:tc>
      </w:tr>
      <w:tr>
        <w:trPr>
          <w:cantSplit w:val="true"/>
        </w:trPr>
        <w:tc>
          <w:tcPr>
            <w:tcW w:w="1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Infraestrutura</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Área de lâmina d'água / profundidade</w:t>
            </w:r>
          </w:p>
        </w:tc>
        <w:tc>
          <w:tcPr>
            <w:tcW w:w="24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40.000 m² / 1,4 m</w:t>
            </w:r>
          </w:p>
        </w:tc>
        <w:tc>
          <w:tcPr>
            <w:tcW w:w="20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Estimativa do autor</w:t>
            </w:r>
          </w:p>
        </w:tc>
      </w:tr>
      <w:tr>
        <w:trPr>
          <w:cantSplit w:val="true"/>
        </w:trPr>
        <w:tc>
          <w:tcPr>
            <w:tcW w:w="1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Infraestrutura</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Viveiros (total / ativos); sistema</w:t>
            </w:r>
          </w:p>
        </w:tc>
        <w:tc>
          <w:tcPr>
            <w:tcW w:w="24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32 / 30; semi-intensivo</w:t>
            </w:r>
          </w:p>
        </w:tc>
        <w:tc>
          <w:tcPr>
            <w:tcW w:w="20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Estimativa do autor</w:t>
            </w:r>
          </w:p>
        </w:tc>
      </w:tr>
      <w:tr>
        <w:trPr>
          <w:cantSplit w:val="true"/>
        </w:trPr>
        <w:tc>
          <w:tcPr>
            <w:tcW w:w="1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Biológico</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Peso inicial / de abate; ciclo</w:t>
            </w:r>
          </w:p>
        </w:tc>
        <w:tc>
          <w:tcPr>
            <w:tcW w:w="24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30 g / 800 g; 180 dias</w:t>
            </w:r>
          </w:p>
        </w:tc>
        <w:tc>
          <w:tcPr>
            <w:tcW w:w="20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Bibliográfico (Kubitza, 2017)</w:t>
            </w:r>
          </w:p>
        </w:tc>
      </w:tr>
      <w:tr>
        <w:trPr>
          <w:cantSplit w:val="true"/>
        </w:trPr>
        <w:tc>
          <w:tcPr>
            <w:tcW w:w="1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Biológico</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Ciclos/ano (escalonados); produtividade</w:t>
            </w:r>
          </w:p>
        </w:tc>
        <w:tc>
          <w:tcPr>
            <w:tcW w:w="24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1,8; 1,3 kg/m²/ciclo</w:t>
            </w:r>
          </w:p>
        </w:tc>
        <w:tc>
          <w:tcPr>
            <w:tcW w:w="20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Bibliográfico (Kubitza, 2017)</w:t>
            </w:r>
          </w:p>
        </w:tc>
      </w:tr>
      <w:tr>
        <w:trPr>
          <w:cantSplit w:val="true"/>
        </w:trPr>
        <w:tc>
          <w:tcPr>
            <w:tcW w:w="1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Insumos</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FCR; mortalidade</w:t>
            </w:r>
          </w:p>
        </w:tc>
        <w:tc>
          <w:tcPr>
            <w:tcW w:w="24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1,50; 10%</w:t>
            </w:r>
          </w:p>
        </w:tc>
        <w:tc>
          <w:tcPr>
            <w:tcW w:w="20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Bibliográfico (Kubitza, 2017)</w:t>
            </w:r>
          </w:p>
        </w:tc>
      </w:tr>
      <w:tr>
        <w:trPr>
          <w:cantSplit w:val="true"/>
        </w:trPr>
        <w:tc>
          <w:tcPr>
            <w:tcW w:w="1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Econômico</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CAPEX (7 itens); capital de giro</w:t>
            </w:r>
          </w:p>
        </w:tc>
        <w:tc>
          <w:tcPr>
            <w:tcW w:w="24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R$ 745.000; R$ 60.000</w:t>
            </w:r>
          </w:p>
        </w:tc>
        <w:tc>
          <w:tcPr>
            <w:tcW w:w="20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Estimativa Classe 5 (AACE, 2020)</w:t>
            </w:r>
          </w:p>
        </w:tc>
      </w:tr>
      <w:tr>
        <w:trPr>
          <w:cantSplit w:val="true"/>
        </w:trPr>
        <w:tc>
          <w:tcPr>
            <w:tcW w:w="1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Econômico</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Fomento não reembolsável</w:t>
            </w:r>
          </w:p>
        </w:tc>
        <w:tc>
          <w:tcPr>
            <w:tcW w:w="24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70% do CAPEX</w:t>
            </w:r>
          </w:p>
        </w:tc>
        <w:tc>
          <w:tcPr>
            <w:tcW w:w="20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Hipótese (IBAMA, 2010, 2012)</w:t>
            </w:r>
          </w:p>
        </w:tc>
      </w:tr>
      <w:tr>
        <w:trPr>
          <w:cantSplit w:val="true"/>
        </w:trPr>
        <w:tc>
          <w:tcPr>
            <w:tcW w:w="1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Econômico</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Preço; ração; milheiro de alevinos</w:t>
            </w:r>
          </w:p>
        </w:tc>
        <w:tc>
          <w:tcPr>
            <w:tcW w:w="24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R$ 10,50/kg; R$ 3,10/kg; R$ 280</w:t>
            </w:r>
          </w:p>
        </w:tc>
        <w:tc>
          <w:tcPr>
            <w:tcW w:w="20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Cotação (a atualizar)</w:t>
            </w:r>
          </w:p>
        </w:tc>
      </w:tr>
      <w:tr>
        <w:trPr>
          <w:cantSplit w:val="true"/>
        </w:trPr>
        <w:tc>
          <w:tcPr>
            <w:tcW w:w="1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Econômico</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Retiradas de 6 cooperados; encargos</w:t>
            </w:r>
          </w:p>
        </w:tc>
        <w:tc>
          <w:tcPr>
            <w:tcW w:w="24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R$ 12.000/mês; 20%</w:t>
            </w:r>
          </w:p>
        </w:tc>
        <w:tc>
          <w:tcPr>
            <w:tcW w:w="20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Estimativa do autor</w:t>
            </w:r>
          </w:p>
        </w:tc>
      </w:tr>
      <w:tr>
        <w:trPr>
          <w:cantSplit w:val="true"/>
        </w:trPr>
        <w:tc>
          <w:tcPr>
            <w:tcW w:w="1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Econômico</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TMA; horizonte; rampa</w:t>
            </w:r>
          </w:p>
        </w:tc>
        <w:tc>
          <w:tcPr>
            <w:tcW w:w="24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10% a.a.; 10 anos; 70% → 100% em 12 meses</w:t>
            </w:r>
          </w:p>
        </w:tc>
        <w:tc>
          <w:tcPr>
            <w:tcW w:w="20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Estimativa do autor</w:t>
            </w:r>
          </w:p>
        </w:tc>
      </w:tr>
      <w:tr>
        <w:trPr>
          <w:cantSplit w:val="true"/>
        </w:trPr>
        <w:tc>
          <w:tcPr>
            <w:tcW w:w="1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Ambiental</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Limites de N e P (classe 2, lótico)</w:t>
            </w:r>
          </w:p>
        </w:tc>
        <w:tc>
          <w:tcPr>
            <w:tcW w:w="24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2,18 e 0,10 mg/L</w:t>
            </w:r>
          </w:p>
        </w:tc>
        <w:tc>
          <w:tcPr>
            <w:tcW w:w="20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Normativo (CONAMA 357/2005)</w:t>
            </w:r>
          </w:p>
        </w:tc>
      </w:tr>
      <w:tr>
        <w:trPr>
          <w:cantSplit w:val="true"/>
        </w:trPr>
        <w:tc>
          <w:tcPr>
            <w:tcW w:w="1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Ambiental</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Remoção de N/P no tratamento; energia</w:t>
            </w:r>
          </w:p>
        </w:tc>
        <w:tc>
          <w:tcPr>
            <w:tcW w:w="24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40% / 60%; rede</w:t>
            </w:r>
          </w:p>
        </w:tc>
        <w:tc>
          <w:tcPr>
            <w:tcW w:w="20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Estimativa do autor</w:t>
            </w:r>
          </w:p>
        </w:tc>
      </w:tr>
      <w:tr>
        <w:trPr>
          <w:cantSplit w:val="true"/>
        </w:trPr>
        <w:tc>
          <w:tcPr>
            <w:tcW w:w="1299" w:type="dxa"/>
            <w:tcBorders>
              <w:top w:val="single" w:sz="2" w:space="0" w:color="BFBFBF"/>
              <w:bottom w:val="single" w:sz="8" w:space="0" w:color="000000"/>
            </w:tcBorders>
            <w:vAlign w:val="center"/>
          </w:tcPr>
          <w:p>
            <w:pPr>
              <w:pStyle w:val="Normal"/>
              <w:spacing w:lineRule="auto" w:line="240" w:before="20" w:after="20"/>
              <w:ind w:hanging="0"/>
              <w:jc w:val="left"/>
              <w:rPr/>
            </w:pPr>
            <w:r>
              <w:rPr>
                <w:sz w:val="18"/>
              </w:rPr>
              <w:t>Social</w:t>
            </w:r>
          </w:p>
        </w:tc>
        <w:tc>
          <w:tcPr>
            <w:tcW w:w="2701"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Empregos diretos/indiretos; mão de obra local</w:t>
            </w:r>
          </w:p>
        </w:tc>
        <w:tc>
          <w:tcPr>
            <w:tcW w:w="2499"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6 / 10; 100%</w:t>
            </w:r>
          </w:p>
        </w:tc>
        <w:tc>
          <w:tcPr>
            <w:tcW w:w="2000"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Estimativa do autor</w:t>
            </w:r>
          </w:p>
        </w:tc>
      </w:tr>
    </w:tbl>
    <w:p>
      <w:pPr>
        <w:pStyle w:val="Caption"/>
        <w:ind w:hanging="0"/>
        <w:rPr/>
      </w:pPr>
      <w:r>
        <w:rPr>
          <w:sz w:val="18"/>
        </w:rPr>
        <w:t>Fonte: elaboração própria (2026).</w:t>
      </w:r>
    </w:p>
    <w:p>
      <w:pPr>
        <w:pStyle w:val="Normal"/>
        <w:spacing w:lineRule="auto" w:line="360" w:before="0" w:after="0"/>
        <w:ind w:firstLine="709"/>
        <w:jc w:val="both"/>
        <w:rPr/>
      </w:pPr>
      <w:r>
        <w:rPr>
          <w:sz w:val="24"/>
        </w:rPr>
        <w:t>A parametrização tributária aceita alíquotas individuais (ICMS, PIS, COFINS, IRPJ, CSLL e contribuições sobre a folha ou sobre os cooperados) associadas a uma base de cálculo (faturamento, lucro ou folha), que o modelo consolida antes do cálculo econômico. No caso-base, adotou-se 2,3% sobre o faturamento e alíquota nula sobre o resultado, coerente com o tratamento do ato cooperativo. Isso é diferente de afirmar que o framework reproduz integralmente a complexidade jurídico-contábil de todos os regimes tributários.</w:t>
      </w:r>
    </w:p>
    <w:p>
      <w:pPr>
        <w:pStyle w:val="Heading2"/>
        <w:pageBreakBefore w:val="false"/>
        <w:rPr/>
      </w:pPr>
      <w:r>
        <w:rPr>
          <w:rFonts w:ascii="Times New Roman" w:hAnsi="Times New Roman"/>
          <w:b w:val="false"/>
          <w:sz w:val="28"/>
        </w:rPr>
        <w:t>4.3 Resultados da dimensão técnica</w:t>
      </w:r>
    </w:p>
    <w:p>
      <w:pPr>
        <w:pStyle w:val="Normal"/>
        <w:spacing w:lineRule="auto" w:line="360" w:before="0" w:after="0"/>
        <w:ind w:firstLine="709"/>
        <w:jc w:val="both"/>
        <w:rPr/>
      </w:pPr>
      <w:r>
        <w:rPr>
          <w:sz w:val="24"/>
        </w:rPr>
        <w:t>A função calcular_tecnico() operacionaliza a dimensão técnica a partir dos três blocos de entrada descritos na Seção 2.8.6: infraestrutura, parâmetros biológicos e eficiência de insumos. Nesta revisão, a estocagem passou a ser tratada como decisão de projeto: o número de alevinos por ciclo é dimensionado para atingir a biomassa-alvo com a mortalidade esperada, enquanto a mortalidade e o desempenho de crescimento efetivos são incertos. Assim, quando a mortalidade simulada é maior, a biomassa despescada diminui, o que não ocorria na versão anterior.</w:t>
      </w:r>
    </w:p>
    <w:p>
      <w:pPr>
        <w:pStyle w:val="Normal"/>
        <w:spacing w:lineRule="auto" w:line="360" w:before="0" w:after="0"/>
        <w:ind w:firstLine="709"/>
        <w:jc w:val="both"/>
        <w:rPr/>
      </w:pPr>
      <w:r>
        <w:rPr>
          <w:sz w:val="24"/>
        </w:rPr>
        <w:t>Uma particularidade importante é o mecanismo de restrição dupla da biomassa. A biomassa-alvo é o menor valor entre o limite dado pela capacidade de suporte (volume útil × kg/m³) e o limite dado pela produtividade esperada por área. O OEE aquícola resulta do produto de disponibilidade (viveiros ativos/total), performance (crescimento realizado/esperado) e qualidade. Em alinhamento ao Quadro 5, a qualidade passou a ser a taxa de sobrevivência, e não um parâmetro independente, como ocorria na Rev. 186.</w:t>
      </w:r>
    </w:p>
    <w:p>
      <w:pPr>
        <w:pStyle w:val="Caption"/>
        <w:spacing w:before="160" w:after="60"/>
        <w:ind w:hanging="0"/>
        <w:rPr/>
      </w:pPr>
      <w:r>
        <w:rPr>
          <w:b/>
          <w:sz w:val="18"/>
        </w:rPr>
        <w:t>Código 4 – Cálculo da dimensão técnica e OEE (trecho)</w:t>
      </w:r>
    </w:p>
    <w:p>
      <w:pPr>
        <w:pStyle w:val="Normal"/>
        <w:shd w:fill="F2F2F2"/>
        <w:spacing w:lineRule="auto" w:line="240" w:before="40" w:after="40"/>
        <w:ind w:hanging="0" w:left="283" w:right="113"/>
        <w:jc w:val="left"/>
        <w:rPr/>
      </w:pPr>
      <w:r>
        <w:rPr>
          <w:rFonts w:ascii="Consolas" w:hAnsi="Consolas"/>
          <w:sz w:val="16"/>
        </w:rPr>
        <w:t>def calcular_tecnico(ctx: Contexto) -&gt; Dict[str, Any]:</w:t>
        <w:br/>
        <w:t xml:space="preserve">    # (...)</w:t>
        <w:br/>
        <w:t xml:space="preserve">    # Restrição dupla da biomassa: capacidade de suporte (volume) e produtividade (área)</w:t>
        <w:br/>
        <w:t xml:space="preserve">    limite_volume = vol * cap * disponibilidade</w:t>
        <w:br/>
        <w:t xml:space="preserve">    limite_area = (t.area_lamina_m2 * t.produtividade_esperada_kg_m2_ciclo * disponibilidade</w:t>
        <w:br/>
        <w:t xml:space="preserve">                   if t.produtividade_esperada_kg_m2_ciclo &gt; 0 else np.inf)</w:t>
        <w:br/>
        <w:t xml:space="preserve">    biomassa_alvo = min(limite_volume, limite_area)</w:t>
        <w:br/>
        <w:t xml:space="preserve">    restricao = "capacidade de suporte (volume)" if limite_volume &lt;= limite_area else "produtividade por área"</w:t>
        <w:br/>
        <w:br/>
        <w:t xml:space="preserve">    peso_final_kg = t.peso_final_g / 1000</w:t>
        <w:br/>
        <w:t xml:space="preserve">    sobrevivencia_planejada = 1 - t.mortalidade_pct / 100</w:t>
        <w:br/>
        <w:t xml:space="preserve">    alevinos = (t.alevinos_por_ciclo if t.alevinos_por_ciclo &gt; 0</w:t>
        <w:br/>
        <w:t xml:space="preserve">                else safe_div(biomassa_alvo, peso_final_kg * sobrevivencia_planejada, 0.0))</w:t>
        <w:br/>
        <w:br/>
        <w:t xml:space="preserve">    # A estocagem é decisão de projeto; a mortalidade e o crescimento são incertos.</w:t>
        <w:br/>
        <w:t xml:space="preserve">    biomassa_despesca = np.minimum(alevinos * sobrevivencia * peso_final_kg * desempenho, limite_volume)</w:t>
        <w:br/>
        <w:t xml:space="preserve">    biomassa_inicial = alevinos * t.peso_inicial_g / 1000</w:t>
        <w:br/>
        <w:t xml:space="preserve">    ganho_ciclo = np.maximum(biomassa_despesca - biomassa_inicial, 0)</w:t>
        <w:br/>
        <w:t xml:space="preserve">    racao_ciclo = ganho_ciclo * fcr</w:t>
        <w:br/>
        <w:br/>
        <w:t xml:space="preserve">    producao_ano = biomassa_despesca * ciclos</w:t>
        <w:br/>
        <w:t xml:space="preserve">    performance = np.minimum(desempenho, 1.0)</w:t>
        <w:br/>
        <w:t xml:space="preserve">    oee = disponibilidade * performance * sobrevivencia     # Quadro 5: Qualidade = sobrevivência</w:t>
      </w:r>
    </w:p>
    <w:p>
      <w:pPr>
        <w:pStyle w:val="Caption"/>
        <w:ind w:hanging="0"/>
        <w:rPr/>
      </w:pPr>
      <w:r>
        <w:rPr>
          <w:sz w:val="18"/>
        </w:rPr>
        <w:t>Fonte: elaboração própria, a partir do pacote evteas_py 2.0 (notebook EVTEAS_Py_Rev187).</w:t>
      </w:r>
    </w:p>
    <w:p>
      <w:pPr>
        <w:pStyle w:val="Normal"/>
        <w:spacing w:lineRule="auto" w:line="360" w:before="0" w:after="0"/>
        <w:ind w:firstLine="709"/>
        <w:jc w:val="both"/>
        <w:rPr/>
      </w:pPr>
      <w:r>
        <w:rPr>
          <w:sz w:val="24"/>
        </w:rPr>
        <w:t>No caso-base, com 40.000 m² de lâmina, 1,4 m de profundidade média, 32 viveiros (30 ativos), produtividade esperada de 1,3 kg/m² por ciclo, peso de abate de 800 g, ciclo de 180 dias, 1,8 ciclo por ano, FCR de 1,50 e mortalidade de 10%, a restrição ativa foi a produtividade por área. O modelo dimensionou 67.708 juvenis por ciclo (densidade de 1,29 peixes/m³), com despesca de 48.750 kg por ciclo e produção de 87.750 kg/ano (2,19 kg/m²/ano, 72,5% do potencial do sistema). O OEE foi 0,844, resultado de disponibilidade 0,9375, performance 1,00 e sobrevivência 0,90. O consumo de ração foi 126.141 kg/ano.</w:t>
      </w:r>
    </w:p>
    <w:p>
      <w:pPr>
        <w:pStyle w:val="Normal"/>
        <w:spacing w:lineRule="auto" w:line="360" w:before="0" w:after="0"/>
        <w:ind w:firstLine="709"/>
        <w:jc w:val="both"/>
        <w:rPr/>
      </w:pPr>
      <w:r>
        <w:rPr>
          <w:sz w:val="24"/>
        </w:rPr>
        <w:t>A curva de crescimento (Figura 12) é obtida por taxa de crescimento específico constante, com mortalidade distribuída ao longo do ciclo e arraçoamento calibrado para reproduzir o FCR. A curva subsidia o planejamento logístico do estoque de ração, em linha com a lógica Lean de redução de desperdícios.</w:t>
      </w:r>
    </w:p>
    <w:p>
      <w:pPr>
        <w:pStyle w:val="Caption"/>
        <w:keepNext w:val="true"/>
        <w:spacing w:before="160" w:after="60"/>
        <w:ind w:hanging="0"/>
        <w:rPr/>
      </w:pPr>
      <w:r>
        <w:rPr>
          <w:b/>
          <w:sz w:val="18"/>
        </w:rPr>
        <w:t>Figura 12 – Curva de crescimento, biomassa e ração acumulada no ciclo do caso-base</w:t>
      </w:r>
    </w:p>
    <w:p>
      <w:pPr>
        <w:pStyle w:val="Normal"/>
        <w:keepNext w:val="true"/>
        <w:spacing w:before="60" w:after="60"/>
        <w:ind w:hanging="0"/>
        <w:jc w:val="center"/>
        <w:rPr/>
      </w:pPr>
      <w:r>
        <w:rPr/>
        <w:drawing>
          <wp:inline distT="0" distB="0" distL="0" distR="0">
            <wp:extent cx="5219700" cy="2575560"/>
            <wp:effectExtent l="0" t="0" r="0" b="0"/>
            <wp:docPr id="14" name="Figura Rev187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 Rev187 2" descr=""/>
                    <pic:cNvPicPr>
                      <a:picLocks noChangeAspect="1" noChangeArrowheads="1"/>
                    </pic:cNvPicPr>
                  </pic:nvPicPr>
                  <pic:blipFill>
                    <a:blip r:embed="rId45"/>
                    <a:stretch>
                      <a:fillRect/>
                    </a:stretch>
                  </pic:blipFill>
                  <pic:spPr bwMode="auto">
                    <a:xfrm>
                      <a:off x="0" y="0"/>
                      <a:ext cx="5219700" cy="2575560"/>
                    </a:xfrm>
                    <a:prstGeom prst="rect">
                      <a:avLst/>
                    </a:prstGeom>
                  </pic:spPr>
                </pic:pic>
              </a:graphicData>
            </a:graphic>
          </wp:inline>
        </w:drawing>
      </w:r>
    </w:p>
    <w:p>
      <w:pPr>
        <w:pStyle w:val="Caption"/>
        <w:ind w:hanging="0"/>
        <w:rPr/>
      </w:pPr>
      <w:r>
        <w:rPr>
          <w:sz w:val="18"/>
        </w:rPr>
        <w:t>Fonte: elaboração própria, a partir da execução do EVTEAS-Py 2.0 (seed 20260612).</w:t>
      </w:r>
    </w:p>
    <w:p>
      <w:pPr>
        <w:pStyle w:val="Normal"/>
        <w:spacing w:lineRule="auto" w:line="360" w:before="0" w:after="0"/>
        <w:ind w:firstLine="709"/>
        <w:jc w:val="both"/>
        <w:rPr/>
      </w:pPr>
      <w:r>
        <w:rPr>
          <w:sz w:val="24"/>
        </w:rPr>
        <w:t>O módulo Lean-Green quantifica, em reais por ano, os desperdícios evitáveis em relação a referências declaradas (FCR de 1,40, mortalidade de 5% e 0,40 kWh/kg). No caso-base, a ração excedente custa R$ 26.069 por ano, a mortalidade evitável R$ 13.041 e a energia excedente R$ 13.162, totalizando R$ 52.272, ou 7,2% do custo operacional. Esse resultado traduz em valor monetário a identificação sistemática de desperdícios defendida por Lawrence et al. (2023).</w:t>
      </w:r>
    </w:p>
    <w:p>
      <w:pPr>
        <w:pStyle w:val="Heading2"/>
        <w:pageBreakBefore w:val="false"/>
        <w:rPr/>
      </w:pPr>
      <w:r>
        <w:rPr>
          <w:rFonts w:ascii="Times New Roman" w:hAnsi="Times New Roman"/>
          <w:b w:val="false"/>
          <w:sz w:val="28"/>
        </w:rPr>
        <w:t>4.4 Resultados da dimensão econômica</w:t>
      </w:r>
    </w:p>
    <w:p>
      <w:pPr>
        <w:pStyle w:val="Normal"/>
        <w:spacing w:lineRule="auto" w:line="360" w:before="0" w:after="0"/>
        <w:ind w:firstLine="709"/>
        <w:jc w:val="both"/>
        <w:rPr/>
      </w:pPr>
      <w:r>
        <w:rPr>
          <w:sz w:val="24"/>
        </w:rPr>
        <w:t>A função calcular_economico() transforma a produção técnica em uma projeção mensal. Três refinamentos foram introduzidos em relação à Rev. 186. Primeiro, a receita só ocorre após a primeira despesca (6 meses no caso-base), enquanto ração, alevinos e energia são desembolsados durante a engorda; ao final do horizonte, o estoque em engorda é recuperado pelo seu custo, junto com o valor residual e o capital de giro. Segundo, a depreciação passou a compor a base dos tributos sobre o resultado e é somada de volta no fluxo de caixa operacional. Terceiro, foi incluída a perspectiva do beneficiário, na qual parte do CAPEX é aportada por fomento não reembolsável, situação típica de projetos financiados por condicionantes do licenciamento ambiental federal (IBAMA, 2010, 2012).</w:t>
      </w:r>
    </w:p>
    <w:p>
      <w:pPr>
        <w:pStyle w:val="Caption"/>
        <w:spacing w:before="160" w:after="60"/>
        <w:ind w:hanging="0"/>
        <w:rPr/>
      </w:pPr>
      <w:r>
        <w:rPr>
          <w:b/>
          <w:sz w:val="18"/>
        </w:rPr>
        <w:t>Código 5 – Projeção econômica mensal, DRE e indicadores financeiros (trecho)</w:t>
      </w:r>
    </w:p>
    <w:p>
      <w:pPr>
        <w:pStyle w:val="Normal"/>
        <w:shd w:fill="F2F2F2"/>
        <w:spacing w:lineRule="auto" w:line="240" w:before="40" w:after="40"/>
        <w:ind w:hanging="0" w:left="283" w:right="113"/>
        <w:jc w:val="left"/>
        <w:rPr/>
      </w:pPr>
      <w:r>
        <w:rPr>
          <w:rFonts w:ascii="Consolas" w:hAnsi="Consolas"/>
          <w:sz w:val="16"/>
        </w:rPr>
        <w:t>def calcular_economico(ctx: Contexto, tec: Dict[str, Any]) -&gt; Dict[str, Any]:</w:t>
        <w:br/>
        <w:t xml:space="preserve">    # (...)</w:t>
        <w:br/>
        <w:t xml:space="preserve">    prod_mes = tec["producao_kg_mes"][:, None]</w:t>
        <w:br/>
        <w:t xml:space="preserve">    em_engorda = prod_mes * rampa                                   # kg/mês em crescimento</w:t>
        <w:br/>
        <w:t xml:space="preserve">    vendida = np.zeros((n, M))</w:t>
        <w:br/>
        <w:t xml:space="preserve">    vendida[:, L:] = em_engorda[:, : M - L]                        # despesca após o 1º ciclo</w:t>
        <w:br/>
        <w:br/>
        <w:t xml:space="preserve">    escala_preco = safe_div(ctx.v("economico.preco_venda_kg"), e.preco_venda_kg, 1.0)</w:t>
        <w:br/>
        <w:t xml:space="preserve">    preco = preco_medio(cfg) * escala_preco[:, None] * fator_preco</w:t>
        <w:br/>
        <w:t xml:space="preserve">    receita_produtos = vendida * preco</w:t>
        <w:br/>
        <w:t xml:space="preserve">    receita_servicos = np.where(meses &gt; L, e.receita_servicos_mes, 0.0)[None, :] * fator_preco * np.ones((n, 1))</w:t>
        <w:br/>
        <w:t xml:space="preserve">    receita = receita_produtos + receita_servicos</w:t>
        <w:br/>
        <w:t xml:space="preserve">    # (...)</w:t>
        <w:br/>
        <w:t xml:space="preserve">    impostos_fat = receita * aliq["faturamento"]</w:t>
        <w:br/>
        <w:t xml:space="preserve">    receita_liquida = receita - impostos_fat</w:t>
        <w:br/>
        <w:t xml:space="preserve">    lucro_bruto = receita_liquida - custos_variaveis</w:t>
        <w:br/>
        <w:t xml:space="preserve">    ebitda = lucro_bruto - custos_fixos</w:t>
        <w:br/>
        <w:t xml:space="preserve">    lair = ebitda - depreciacao</w:t>
        <w:br/>
        <w:t xml:space="preserve">    impostos_lucro = np.maximum(lair, 0) * aliq["lucro"]</w:t>
        <w:br/>
        <w:t xml:space="preserve">    lucro_liquido = lair - impostos_lucro</w:t>
        <w:br/>
        <w:t xml:space="preserve">    fco = lucro_liquido + depreciacao</w:t>
        <w:br/>
        <w:br/>
        <w:t xml:space="preserve">    investimento = capex + e.capital_giro</w:t>
        <w:br/>
        <w:t xml:space="preserve">    residual = capex * e.valor_residual_pct / 100</w:t>
        <w:br/>
        <w:t xml:space="preserve">    estoque_final = (custo_racao + custo_alevinos + custo_energia)[:, M - L:].sum(axis=1) if L &gt; 0 else np.zeros(n)</w:t>
        <w:br/>
        <w:t xml:space="preserve">    terminal = residual + e.capital_giro + estoque_final</w:t>
        <w:br/>
        <w:br/>
        <w:t xml:space="preserve">    fluxo = np.zeros((n, M + 1))</w:t>
        <w:br/>
        <w:t xml:space="preserve">    fluxo[:, 0] = -investimento</w:t>
        <w:br/>
        <w:t xml:space="preserve">    fluxo[:, 1:] = fco</w:t>
        <w:br/>
        <w:t xml:space="preserve">    fluxo[:, -1] += terminal</w:t>
        <w:br/>
        <w:br/>
        <w:t xml:space="preserve">    tma_am = float(taxa_anual_para_mensal(e.tma_aa_pct / 100))</w:t>
        <w:br/>
        <w:t xml:space="preserve">    vpl_v = vpl(np.full(n, tma_am), fluxo)</w:t>
        <w:br/>
        <w:t xml:space="preserve">    tir_am, diag_tir = tir(fluxo)</w:t>
        <w:br/>
        <w:t xml:space="preserve">    tir_aa = taxa_mensal_para_anual(tir_am)</w:t>
        <w:br/>
        <w:t xml:space="preserve">    pb_s = payback(fluxo)</w:t>
        <w:br/>
        <w:t xml:space="preserve">    pb_d = payback(fluxo, np.full(n, tma_am))</w:t>
        <w:br/>
        <w:t xml:space="preserve">    il = safe_div(vpl_v + investimento, investimento, np.nan)</w:t>
      </w:r>
    </w:p>
    <w:p>
      <w:pPr>
        <w:pStyle w:val="Caption"/>
        <w:ind w:hanging="0"/>
        <w:rPr/>
      </w:pPr>
      <w:r>
        <w:rPr>
          <w:sz w:val="18"/>
        </w:rPr>
        <w:t>Fonte: elaboração própria, a partir do pacote evteas_py 2.0 (notebook EVTEAS_Py_Rev187).</w:t>
      </w:r>
    </w:p>
    <w:p>
      <w:pPr>
        <w:pStyle w:val="Normal"/>
        <w:spacing w:lineRule="auto" w:line="360" w:before="0" w:after="0"/>
        <w:ind w:firstLine="709"/>
        <w:jc w:val="both"/>
        <w:rPr/>
      </w:pPr>
      <w:r>
        <w:rPr>
          <w:sz w:val="24"/>
        </w:rPr>
        <w:t>A DRE mensal produz Receita Bruta, Impostos sobre Faturamento, Receita Líquida, Custos Variáveis, Lucro Bruto, Custos Fixos, EBITDA, Depreciação, LAIR, Impostos sobre Lucro e Resultado Líquido. O vetor de fluxo de caixa é então utilizado para calcular VPL, TIR, payback simples e descontado, índice de lucratividade, ponto de equilíbrio, margem de segurança e ROI. A TIR é obtida por varredura de malha seguida de bisseção vetorizada e retorna sempre um diagnóstico (convencional, múltiplas, múltiplas possíveis ou sem solução), de modo que a ausência de raiz nunca é confundida com o limite numérico do algoritmo (Código 10). A Tabela 3 apresenta os resultados.</w:t>
      </w:r>
    </w:p>
    <w:p>
      <w:pPr>
        <w:pStyle w:val="Caption"/>
        <w:keepNext w:val="true"/>
        <w:spacing w:before="160" w:after="60"/>
        <w:ind w:hanging="0"/>
        <w:rPr/>
      </w:pPr>
      <w:r>
        <w:rPr>
          <w:b/>
          <w:sz w:val="18"/>
        </w:rPr>
        <w:t>Tabela 3 – Indicadores econômicos do caso-base</w:t>
      </w:r>
    </w:p>
    <w:tbl>
      <w:tblPr>
        <w:tblW w:w="8500" w:type="dxa"/>
        <w:jc w:val="center"/>
        <w:tblInd w:w="0" w:type="dxa"/>
        <w:tblLayout w:type="fixed"/>
        <w:tblCellMar>
          <w:top w:w="0" w:type="dxa"/>
          <w:left w:w="70" w:type="dxa"/>
          <w:bottom w:w="0" w:type="dxa"/>
          <w:right w:w="70" w:type="dxa"/>
        </w:tblCellMar>
        <w:tblLook w:val="04a0" w:noHBand="1" w:noVBand="1" w:firstColumn="0" w:lastRow="0" w:lastColumn="0" w:firstRow="1"/>
      </w:tblPr>
      <w:tblGrid>
        <w:gridCol w:w="4300"/>
        <w:gridCol w:w="2099"/>
        <w:gridCol w:w="2101"/>
      </w:tblGrid>
      <w:tr>
        <w:trPr>
          <w:tblHeader w:val="true"/>
          <w:cantSplit w:val="true"/>
        </w:trPr>
        <w:tc>
          <w:tcPr>
            <w:tcW w:w="4300" w:type="dxa"/>
            <w:tcBorders>
              <w:top w:val="single" w:sz="8" w:space="0" w:color="000000"/>
              <w:bottom w:val="single" w:sz="8" w:space="0" w:color="000000"/>
            </w:tcBorders>
            <w:vAlign w:val="center"/>
          </w:tcPr>
          <w:p>
            <w:pPr>
              <w:pStyle w:val="Normal"/>
              <w:spacing w:lineRule="auto" w:line="240" w:before="20" w:after="20"/>
              <w:ind w:hanging="0"/>
              <w:jc w:val="left"/>
              <w:rPr/>
            </w:pPr>
            <w:r>
              <w:rPr>
                <w:b/>
                <w:sz w:val="18"/>
              </w:rPr>
              <w:t>Indicador</w:t>
            </w:r>
          </w:p>
        </w:tc>
        <w:tc>
          <w:tcPr>
            <w:tcW w:w="2099"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Projeto</w:t>
            </w:r>
          </w:p>
        </w:tc>
        <w:tc>
          <w:tcPr>
            <w:tcW w:w="2101"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Beneficiário (com fomento)</w:t>
            </w:r>
          </w:p>
        </w:tc>
      </w:tr>
      <w:tr>
        <w:trPr>
          <w:cantSplit w:val="true"/>
        </w:trPr>
        <w:tc>
          <w:tcPr>
            <w:tcW w:w="43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Investimento inicial (CAPEX + capital de giro)</w:t>
            </w:r>
          </w:p>
        </w:tc>
        <w:tc>
          <w:tcPr>
            <w:tcW w:w="2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R$ 805.000</w:t>
            </w:r>
          </w:p>
        </w:tc>
        <w:tc>
          <w:tcPr>
            <w:tcW w:w="21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R$ 283.500</w:t>
            </w:r>
          </w:p>
        </w:tc>
      </w:tr>
      <w:tr>
        <w:trPr>
          <w:cantSplit w:val="true"/>
        </w:trPr>
        <w:tc>
          <w:tcPr>
            <w:tcW w:w="43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VPL (TMA de 10% a.a.)</w:t>
            </w:r>
          </w:p>
        </w:tc>
        <w:tc>
          <w:tcPr>
            <w:tcW w:w="2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R$ 38.470</w:t>
            </w:r>
          </w:p>
        </w:tc>
        <w:tc>
          <w:tcPr>
            <w:tcW w:w="21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R$ 559.970</w:t>
            </w:r>
          </w:p>
        </w:tc>
      </w:tr>
      <w:tr>
        <w:trPr>
          <w:cantSplit w:val="true"/>
        </w:trPr>
        <w:tc>
          <w:tcPr>
            <w:tcW w:w="43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TIR anual (diagnóstico)</w:t>
            </w:r>
          </w:p>
        </w:tc>
        <w:tc>
          <w:tcPr>
            <w:tcW w:w="2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10,7% (convencional)</w:t>
            </w:r>
          </w:p>
        </w:tc>
        <w:tc>
          <w:tcPr>
            <w:tcW w:w="21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25,6%</w:t>
            </w:r>
          </w:p>
        </w:tc>
      </w:tr>
      <w:tr>
        <w:trPr>
          <w:cantSplit w:val="true"/>
        </w:trPr>
        <w:tc>
          <w:tcPr>
            <w:tcW w:w="43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Payback descontado (meses)</w:t>
            </w:r>
          </w:p>
        </w:tc>
        <w:tc>
          <w:tcPr>
            <w:tcW w:w="2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119,8</w:t>
            </w:r>
          </w:p>
        </w:tc>
        <w:tc>
          <w:tcPr>
            <w:tcW w:w="21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68,0</w:t>
            </w:r>
          </w:p>
        </w:tc>
      </w:tr>
      <w:tr>
        <w:trPr>
          <w:cantSplit w:val="true"/>
        </w:trPr>
        <w:tc>
          <w:tcPr>
            <w:tcW w:w="43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Payback simples (meses)</w:t>
            </w:r>
          </w:p>
        </w:tc>
        <w:tc>
          <w:tcPr>
            <w:tcW w:w="2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89,5</w:t>
            </w:r>
          </w:p>
        </w:tc>
        <w:tc>
          <w:tcPr>
            <w:tcW w:w="21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p>
        </w:tc>
      </w:tr>
      <w:tr>
        <w:trPr>
          <w:cantSplit w:val="true"/>
        </w:trPr>
        <w:tc>
          <w:tcPr>
            <w:tcW w:w="43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Índice de lucratividade</w:t>
            </w:r>
          </w:p>
        </w:tc>
        <w:tc>
          <w:tcPr>
            <w:tcW w:w="2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1,048</w:t>
            </w:r>
          </w:p>
        </w:tc>
        <w:tc>
          <w:tcPr>
            <w:tcW w:w="21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p>
        </w:tc>
      </w:tr>
      <w:tr>
        <w:trPr>
          <w:cantSplit w:val="true"/>
        </w:trPr>
        <w:tc>
          <w:tcPr>
            <w:tcW w:w="43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Receita bruta no ano de regime (ano 3)</w:t>
            </w:r>
          </w:p>
        </w:tc>
        <w:tc>
          <w:tcPr>
            <w:tcW w:w="2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R$ 921.375</w:t>
            </w:r>
          </w:p>
        </w:tc>
        <w:tc>
          <w:tcPr>
            <w:tcW w:w="21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p>
        </w:tc>
      </w:tr>
      <w:tr>
        <w:trPr>
          <w:cantSplit w:val="true"/>
        </w:trPr>
        <w:tc>
          <w:tcPr>
            <w:tcW w:w="43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Lucro (sobras) líquido no ano de regime</w:t>
            </w:r>
          </w:p>
        </w:tc>
        <w:tc>
          <w:tcPr>
            <w:tcW w:w="2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R$ 125.456</w:t>
            </w:r>
          </w:p>
        </w:tc>
        <w:tc>
          <w:tcPr>
            <w:tcW w:w="21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p>
        </w:tc>
      </w:tr>
      <w:tr>
        <w:trPr>
          <w:cantSplit w:val="true"/>
        </w:trPr>
        <w:tc>
          <w:tcPr>
            <w:tcW w:w="43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ROI anual em regime (Quadro 5)</w:t>
            </w:r>
          </w:p>
        </w:tc>
        <w:tc>
          <w:tcPr>
            <w:tcW w:w="2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15,6%</w:t>
            </w:r>
          </w:p>
        </w:tc>
        <w:tc>
          <w:tcPr>
            <w:tcW w:w="21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p>
        </w:tc>
      </w:tr>
      <w:tr>
        <w:trPr>
          <w:cantSplit w:val="true"/>
        </w:trPr>
        <w:tc>
          <w:tcPr>
            <w:tcW w:w="43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Ponto de equilíbrio (kg/ano) e margem de segurança</w:t>
            </w:r>
          </w:p>
        </w:tc>
        <w:tc>
          <w:tcPr>
            <w:tcW w:w="2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60.556 kg; 31,0%</w:t>
            </w:r>
          </w:p>
        </w:tc>
        <w:tc>
          <w:tcPr>
            <w:tcW w:w="21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p>
        </w:tc>
      </w:tr>
      <w:tr>
        <w:trPr>
          <w:cantSplit w:val="true"/>
        </w:trPr>
        <w:tc>
          <w:tcPr>
            <w:tcW w:w="4300" w:type="dxa"/>
            <w:tcBorders>
              <w:top w:val="single" w:sz="2" w:space="0" w:color="BFBFBF"/>
              <w:bottom w:val="single" w:sz="8" w:space="0" w:color="000000"/>
            </w:tcBorders>
            <w:vAlign w:val="center"/>
          </w:tcPr>
          <w:p>
            <w:pPr>
              <w:pStyle w:val="Normal"/>
              <w:spacing w:lineRule="auto" w:line="240" w:before="20" w:after="20"/>
              <w:ind w:hanging="0"/>
              <w:jc w:val="left"/>
              <w:rPr/>
            </w:pPr>
            <w:r>
              <w:rPr>
                <w:sz w:val="18"/>
              </w:rPr>
              <w:t>Custo total e custo operacional efetivo (R$/kg)</w:t>
            </w:r>
          </w:p>
        </w:tc>
        <w:tc>
          <w:tcPr>
            <w:tcW w:w="2099"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9,07 e 8,26</w:t>
            </w:r>
          </w:p>
        </w:tc>
        <w:tc>
          <w:tcPr>
            <w:tcW w:w="2101"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w:t>
            </w:r>
          </w:p>
        </w:tc>
      </w:tr>
    </w:tbl>
    <w:p>
      <w:pPr>
        <w:pStyle w:val="Caption"/>
        <w:ind w:hanging="0"/>
        <w:rPr/>
      </w:pPr>
      <w:r>
        <w:rPr>
          <w:sz w:val="18"/>
        </w:rPr>
        <w:t>Fonte: elaboração própria, a partir da execução do EVTEAS-Py 2.0 (seed 20260612).</w:t>
      </w:r>
    </w:p>
    <w:p>
      <w:pPr>
        <w:pStyle w:val="Normal"/>
        <w:spacing w:lineRule="auto" w:line="360" w:before="0" w:after="0"/>
        <w:ind w:firstLine="709"/>
        <w:jc w:val="both"/>
        <w:rPr/>
      </w:pPr>
      <w:r>
        <w:rPr>
          <w:sz w:val="24"/>
        </w:rPr>
        <w:t>Na perspectiva do projeto, com investimento total de R$ 805.000, o VPL foi R$ 38.470 e a TIR 10,7% a.a., ligeiramente acima da TMA de 10% a.a. O empreendimento é, portanto, marginalmente viável no cenário determinístico. Dois sinais indicam fragilidade: o payback descontado de 119,8 meses ocorre praticamente no último mês do horizonte, graças ao valor terminal, e o índice de lucratividade é de apenas 1,048. Em regime, a margem de segurança de 31,0% significa que as vendas podem cair até esse percentual antes de o resultado operacional se anular.</w:t>
      </w:r>
    </w:p>
    <w:p>
      <w:pPr>
        <w:pStyle w:val="Normal"/>
        <w:spacing w:lineRule="auto" w:line="360" w:before="0" w:after="0"/>
        <w:ind w:firstLine="709"/>
        <w:jc w:val="both"/>
        <w:rPr/>
      </w:pPr>
      <w:r>
        <w:rPr>
          <w:sz w:val="24"/>
        </w:rPr>
        <w:t>Na perspectiva da cooperativa, com 70% do CAPEX aportado como fomento, o VPL sobe para R$ 559.970 e a TIR para 25,6% a.a., com payback descontado de 68,0 meses. As sobras de R$ 125.456 no ano de regime, somadas às retiradas, proporcionam renda média de R$ 3.742 mensais a cada um dos seis cooperados. A distinção entre as perspectivas é relevante para o órgão fomentador: o recurso não reembolsável não torna o projeto economicamente eficiente, mas pode viabilizar a geração de renda para o público beneficiário.</w:t>
      </w:r>
    </w:p>
    <w:p>
      <w:pPr>
        <w:pStyle w:val="Normal"/>
        <w:spacing w:lineRule="auto" w:line="360" w:before="0" w:after="0"/>
        <w:ind w:firstLine="709"/>
        <w:jc w:val="both"/>
        <w:rPr/>
      </w:pPr>
      <w:r>
        <w:rPr>
          <w:sz w:val="24"/>
        </w:rPr>
        <w:t>O custo total de produção foi R$ 9,07/kg, dos quais a ração representa 53,9% dos custos operacionais. O resultado evidencia que o diagnóstico de viabilidade depende não apenas da produção, mas da relação entre capacidade, preço, custos e investimento. A Figura 13 apresenta a evolução da receita, dos custos e do fluxo de caixa acumulado.</w:t>
      </w:r>
    </w:p>
    <w:p>
      <w:pPr>
        <w:pStyle w:val="Caption"/>
        <w:keepNext w:val="true"/>
        <w:spacing w:before="160" w:after="60"/>
        <w:ind w:hanging="0"/>
        <w:rPr/>
      </w:pPr>
      <w:r>
        <w:rPr>
          <w:b/>
          <w:sz w:val="18"/>
        </w:rPr>
        <w:t>Figura 13 – Receita, custos operacionais e fluxo de caixa acumulado do caso-base</w:t>
      </w:r>
    </w:p>
    <w:p>
      <w:pPr>
        <w:pStyle w:val="Normal"/>
        <w:keepNext w:val="true"/>
        <w:spacing w:before="60" w:after="60"/>
        <w:ind w:hanging="0"/>
        <w:jc w:val="center"/>
        <w:rPr/>
      </w:pPr>
      <w:r>
        <w:rPr/>
        <w:drawing>
          <wp:inline distT="0" distB="0" distL="0" distR="0">
            <wp:extent cx="5219700" cy="2575560"/>
            <wp:effectExtent l="0" t="0" r="0" b="0"/>
            <wp:docPr id="15" name="Figura Rev187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 Rev187 3" descr=""/>
                    <pic:cNvPicPr>
                      <a:picLocks noChangeAspect="1" noChangeArrowheads="1"/>
                    </pic:cNvPicPr>
                  </pic:nvPicPr>
                  <pic:blipFill>
                    <a:blip r:embed="rId46"/>
                    <a:stretch>
                      <a:fillRect/>
                    </a:stretch>
                  </pic:blipFill>
                  <pic:spPr bwMode="auto">
                    <a:xfrm>
                      <a:off x="0" y="0"/>
                      <a:ext cx="5219700" cy="2575560"/>
                    </a:xfrm>
                    <a:prstGeom prst="rect">
                      <a:avLst/>
                    </a:prstGeom>
                  </pic:spPr>
                </pic:pic>
              </a:graphicData>
            </a:graphic>
          </wp:inline>
        </w:drawing>
      </w:r>
    </w:p>
    <w:p>
      <w:pPr>
        <w:pStyle w:val="Caption"/>
        <w:ind w:hanging="0"/>
        <w:rPr/>
      </w:pPr>
      <w:r>
        <w:rPr>
          <w:sz w:val="18"/>
        </w:rPr>
        <w:t>Fonte: elaboração própria, a partir da execução do EVTEAS-Py 2.0 (seed 20260612).</w:t>
      </w:r>
    </w:p>
    <w:p>
      <w:pPr>
        <w:pStyle w:val="Heading2"/>
        <w:pageBreakBefore w:val="false"/>
        <w:rPr/>
      </w:pPr>
      <w:r>
        <w:rPr>
          <w:rFonts w:ascii="Times New Roman" w:hAnsi="Times New Roman"/>
          <w:b w:val="false"/>
          <w:sz w:val="28"/>
        </w:rPr>
        <w:t>4.5 Resultados da dimensão ambiental</w:t>
      </w:r>
    </w:p>
    <w:p>
      <w:pPr>
        <w:pStyle w:val="Normal"/>
        <w:spacing w:lineRule="auto" w:line="360" w:before="0" w:after="0"/>
        <w:ind w:firstLine="709"/>
        <w:jc w:val="both"/>
        <w:rPr/>
      </w:pPr>
      <w:r>
        <w:rPr>
          <w:sz w:val="24"/>
        </w:rPr>
        <w:t>A função calcular_ambiental() utiliza a produção e o consumo de ração para estimar água, nutrientes, energia, emissões e resíduos. A pegada hídrica azul passou a seguir a definição de Hoekstra (2017): água consumida, isto é, evaporada ou devolvida a outra bacia, e não toda a água captada. A água captada (enchimento, renovação e reposição de perdas) alimenta o Índice de Uso de Água previsto na Seção 2.8.6.</w:t>
      </w:r>
    </w:p>
    <w:p>
      <w:pPr>
        <w:pStyle w:val="Normal"/>
        <w:spacing w:lineRule="auto" w:line="360" w:before="0" w:after="0"/>
        <w:ind w:firstLine="709"/>
        <w:jc w:val="both"/>
        <w:rPr/>
      </w:pPr>
      <w:r>
        <w:rPr>
          <w:sz w:val="24"/>
        </w:rPr>
        <w:t>A pegada hídrica cinza foi reformulada a partir de um balanço de nutrientes. O nitrogênio e o fósforo aportados pela ração, descontados os retidos na biomassa e os removidos pelo tratamento de efluentes, constituem a carga lançada; o volume de diluição é calculado pela diferença entre a concentração máxima da classe do corpo receptor (Brasil, 2005) e a concentração natural, e o poluente que exige maior volume define a pegada. Na Rev. 187, a ecoeficiência foi redefinida, segundo o WBCSD (2000), como valor adicionado (receita menos insumos externos) por unidade de impacto. Quando o valor adicionado não é positivo, o indicador é declarado não definido, distinguindo essa situação de uma ecoeficiência igual a zero, como recomendado na revisão anterior.</w:t>
      </w:r>
    </w:p>
    <w:p>
      <w:pPr>
        <w:pStyle w:val="Caption"/>
        <w:spacing w:before="160" w:after="60"/>
        <w:ind w:hanging="0"/>
        <w:rPr/>
      </w:pPr>
      <w:r>
        <w:rPr>
          <w:b/>
          <w:sz w:val="18"/>
        </w:rPr>
        <w:t>Código 6 – Balanço de nutrientes, pegada hídrica cinza e ecoeficiência (trecho)</w:t>
      </w:r>
    </w:p>
    <w:p>
      <w:pPr>
        <w:pStyle w:val="Normal"/>
        <w:shd w:fill="F2F2F2"/>
        <w:spacing w:lineRule="auto" w:line="240" w:before="40" w:after="40"/>
        <w:ind w:hanging="0" w:left="283" w:right="113"/>
        <w:jc w:val="left"/>
        <w:rPr/>
      </w:pPr>
      <w:r>
        <w:rPr>
          <w:rFonts w:ascii="Consolas" w:hAnsi="Consolas"/>
          <w:sz w:val="16"/>
        </w:rPr>
        <w:t>def calcular_ambiental(ctx: Contexto, tec: Dict[str, Any], eco: Dict[str, Any]) -&gt; Dict[str, Any]:</w:t>
        <w:br/>
        <w:t xml:space="preserve">    # (...)</w:t>
        <w:br/>
        <w:t xml:space="preserve">    # Balanço de nutrientes e pegada hídrica cinza (poluente crítico)</w:t>
        <w:br/>
        <w:t xml:space="preserve">    racao = tec["racao_ano_kg"]</w:t>
        <w:br/>
        <w:t xml:space="preserve">    ganho = tec["ganho_biomassa_ano_kg"]</w:t>
        <w:br/>
        <w:t xml:space="preserve">    n_in = racao * a.proteina_racao_pct / 100 / 6.25</w:t>
        <w:br/>
        <w:t xml:space="preserve">    p_in = racao * a.fosforo_racao_pct / 100</w:t>
        <w:br/>
        <w:t xml:space="preserve">    n_ret = ganho * a.nitrogenio_peixe_pct / 100</w:t>
        <w:br/>
        <w:t xml:space="preserve">    p_ret = ganho * a.fosforo_peixe_pct / 100</w:t>
        <w:br/>
        <w:t xml:space="preserve">    n_carga = np.maximum(n_in - n_ret, 0) * (1 - a.remocao_n_tratamento_pct / 100)</w:t>
        <w:br/>
        <w:t xml:space="preserve">    p_carga = np.maximum(p_in - p_ret, 0) * (1 - a.remocao_p_tratamento_pct / 100)</w:t>
        <w:br/>
        <w:t xml:space="preserve">    dn = a.n_max_mg_l - a.n_natural_mg_l</w:t>
        <w:br/>
        <w:t xml:space="preserve">    dp = a.p_max_mg_l - a.p_natural_mg_l</w:t>
        <w:br/>
        <w:t xml:space="preserve">    if dn &lt;= 0 or dp &lt;= 0:</w:t>
        <w:br/>
        <w:t xml:space="preserve">        raise ValueError("Concentração máxima deve superar a natural (pegada hídrica cinza indefinida)")</w:t>
        <w:br/>
        <w:t xml:space="preserve">    cinza_n = n_carga * 1000 / dn       # kg -&gt; g; mg/L = g/m³</w:t>
        <w:br/>
        <w:t xml:space="preserve">    cinza_p = p_carga * 1000 / dp</w:t>
        <w:br/>
        <w:t xml:space="preserve">    cinza = np.maximum(cinza_n, cinza_p)</w:t>
        <w:br/>
        <w:t xml:space="preserve">    critico = np.where(cinza_p &gt;= cinza_n, "fósforo total", "nitrogênio total")</w:t>
        <w:br/>
        <w:t xml:space="preserve">    # (...)</w:t>
        <w:br/>
        <w:t xml:space="preserve">    va = eco["valor_adicionado_regime"]</w:t>
        <w:br/>
        <w:t xml:space="preserve">    # Ecoeficiência (WBCSD): valor adicionado / influência ambiental. Indefinida se VA &lt;= 0.</w:t>
        <w:br/>
        <w:t xml:space="preserve">    eco_carbono = np.where(va &gt; 0, safe_div(va, co2_total, np.nan), np.nan)</w:t>
      </w:r>
    </w:p>
    <w:p>
      <w:pPr>
        <w:pStyle w:val="Caption"/>
        <w:ind w:hanging="0"/>
        <w:rPr/>
      </w:pPr>
      <w:r>
        <w:rPr>
          <w:sz w:val="18"/>
        </w:rPr>
        <w:t>Fonte: elaboração própria, a partir do pacote evteas_py 2.0 (notebook EVTEAS_Py_Rev187).</w:t>
      </w:r>
    </w:p>
    <w:p>
      <w:pPr>
        <w:pStyle w:val="Normal"/>
        <w:spacing w:lineRule="auto" w:line="360" w:before="0" w:after="0"/>
        <w:ind w:firstLine="709"/>
        <w:jc w:val="both"/>
        <w:rPr/>
      </w:pPr>
      <w:r>
        <w:rPr>
          <w:sz w:val="24"/>
        </w:rPr>
        <w:t>No caso-base, a água captada foi de 751.500 m³/ano, dominada pela renovação diária, com Índice de Uso de Água de 0,117 kg/m³. A pegada hídrica azul foi 624 m³/t, correspondente à evaporação. A pegada hídrica cinza foi 38.333 m³/t, tendo o fósforo total como poluente crítico: dos 1.261 kg de P aportados, 589 kg ficam na biomassa e 269 kg são lançados após remoção de 60% no tratamento. O resultado é muito sensível à classe do corpo receptor e à eficiência de remoção de fósforo, o que reforça a lógica Lean Green de tratar o efluente como ineficiência de processo.</w:t>
      </w:r>
    </w:p>
    <w:p>
      <w:pPr>
        <w:pStyle w:val="Normal"/>
        <w:spacing w:lineRule="auto" w:line="360" w:before="0" w:after="0"/>
        <w:ind w:firstLine="709"/>
        <w:jc w:val="both"/>
        <w:rPr/>
      </w:pPr>
      <w:r>
        <w:rPr>
          <w:sz w:val="24"/>
        </w:rPr>
        <w:t>As emissões estimadas foram 144,6 tCO2e/ano, ou 1,65 kgCO2e por kg de peixe, das quais 95,9% decorrem da ração, o que desloca a prioridade de mitigação para o FCR e não para a matriz elétrica. A ecoeficiência foi R$ 2,95 de valor adicionado por kgCO2e. O Score de Conformidade Ambiental, calculado sobre um checklist normativo ponderado (licença ambiental da aquicultura, outorga, APP, tratamento de efluentes, monitoramento, CAR, gestão de resíduos, prevenção de escape e energia renovável), foi 8,75 de 10. Os itens não atendidos foram o plano de gestão de resíduos e o uso de energia renovável; nenhum item eliminatório foi violado.</w:t>
      </w:r>
    </w:p>
    <w:p>
      <w:pPr>
        <w:pStyle w:val="Caption"/>
        <w:keepNext w:val="true"/>
        <w:spacing w:before="160" w:after="60"/>
        <w:ind w:hanging="0"/>
        <w:rPr/>
      </w:pPr>
      <w:r>
        <w:rPr>
          <w:b/>
          <w:sz w:val="18"/>
        </w:rPr>
        <w:t>Tabela 4 – Indicadores ambientais, sociais e de governança do caso-base</w:t>
      </w:r>
    </w:p>
    <w:tbl>
      <w:tblPr>
        <w:tblW w:w="8500" w:type="dxa"/>
        <w:jc w:val="center"/>
        <w:tblInd w:w="0" w:type="dxa"/>
        <w:tblLayout w:type="fixed"/>
        <w:tblCellMar>
          <w:top w:w="0" w:type="dxa"/>
          <w:left w:w="70" w:type="dxa"/>
          <w:bottom w:w="0" w:type="dxa"/>
          <w:right w:w="70" w:type="dxa"/>
        </w:tblCellMar>
        <w:tblLook w:val="04a0" w:noHBand="1" w:noVBand="1" w:firstColumn="0" w:lastRow="0" w:lastColumn="0" w:firstRow="1"/>
      </w:tblPr>
      <w:tblGrid>
        <w:gridCol w:w="1599"/>
        <w:gridCol w:w="3700"/>
        <w:gridCol w:w="3201"/>
      </w:tblGrid>
      <w:tr>
        <w:trPr>
          <w:tblHeader w:val="true"/>
          <w:cantSplit w:val="true"/>
        </w:trPr>
        <w:tc>
          <w:tcPr>
            <w:tcW w:w="1599" w:type="dxa"/>
            <w:tcBorders>
              <w:top w:val="single" w:sz="8" w:space="0" w:color="000000"/>
              <w:bottom w:val="single" w:sz="8" w:space="0" w:color="000000"/>
            </w:tcBorders>
            <w:vAlign w:val="center"/>
          </w:tcPr>
          <w:p>
            <w:pPr>
              <w:pStyle w:val="Normal"/>
              <w:spacing w:lineRule="auto" w:line="240" w:before="20" w:after="20"/>
              <w:ind w:hanging="0"/>
              <w:jc w:val="left"/>
              <w:rPr/>
            </w:pPr>
            <w:r>
              <w:rPr>
                <w:b/>
                <w:sz w:val="18"/>
              </w:rPr>
              <w:t>Dimensão</w:t>
            </w:r>
          </w:p>
        </w:tc>
        <w:tc>
          <w:tcPr>
            <w:tcW w:w="3700"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Indicador</w:t>
            </w:r>
          </w:p>
        </w:tc>
        <w:tc>
          <w:tcPr>
            <w:tcW w:w="3201"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Resultado</w:t>
            </w:r>
          </w:p>
        </w:tc>
      </w:tr>
      <w:tr>
        <w:trPr>
          <w:cantSplit w:val="true"/>
        </w:trPr>
        <w:tc>
          <w:tcPr>
            <w:tcW w:w="15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Ambiental</w:t>
            </w:r>
          </w:p>
        </w:tc>
        <w:tc>
          <w:tcPr>
            <w:tcW w:w="3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Água captada / índice de uso da água</w:t>
            </w:r>
          </w:p>
        </w:tc>
        <w:tc>
          <w:tcPr>
            <w:tcW w:w="3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751.500 m³/ano; 0,117 kg/m³</w:t>
            </w:r>
          </w:p>
        </w:tc>
      </w:tr>
      <w:tr>
        <w:trPr>
          <w:cantSplit w:val="true"/>
        </w:trPr>
        <w:tc>
          <w:tcPr>
            <w:tcW w:w="15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Ambiental</w:t>
            </w:r>
          </w:p>
        </w:tc>
        <w:tc>
          <w:tcPr>
            <w:tcW w:w="3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Pegada hídrica azul</w:t>
            </w:r>
          </w:p>
        </w:tc>
        <w:tc>
          <w:tcPr>
            <w:tcW w:w="3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624 m³/t</w:t>
            </w:r>
          </w:p>
        </w:tc>
      </w:tr>
      <w:tr>
        <w:trPr>
          <w:cantSplit w:val="true"/>
        </w:trPr>
        <w:tc>
          <w:tcPr>
            <w:tcW w:w="15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Ambiental</w:t>
            </w:r>
          </w:p>
        </w:tc>
        <w:tc>
          <w:tcPr>
            <w:tcW w:w="3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Pegada hídrica cinza (poluente crítico)</w:t>
            </w:r>
          </w:p>
        </w:tc>
        <w:tc>
          <w:tcPr>
            <w:tcW w:w="3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38.333 m³/t (fósforo total)</w:t>
            </w:r>
          </w:p>
        </w:tc>
      </w:tr>
      <w:tr>
        <w:trPr>
          <w:cantSplit w:val="true"/>
        </w:trPr>
        <w:tc>
          <w:tcPr>
            <w:tcW w:w="15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Ambiental</w:t>
            </w:r>
          </w:p>
        </w:tc>
        <w:tc>
          <w:tcPr>
            <w:tcW w:w="3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N e P lançados após tratamento</w:t>
            </w:r>
          </w:p>
        </w:tc>
        <w:tc>
          <w:tcPr>
            <w:tcW w:w="3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2.563 kg N; 269 kg P</w:t>
            </w:r>
          </w:p>
        </w:tc>
      </w:tr>
      <w:tr>
        <w:trPr>
          <w:cantSplit w:val="true"/>
        </w:trPr>
        <w:tc>
          <w:tcPr>
            <w:tcW w:w="15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Ambiental</w:t>
            </w:r>
          </w:p>
        </w:tc>
        <w:tc>
          <w:tcPr>
            <w:tcW w:w="3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Emissões (ração / energia / diesel)</w:t>
            </w:r>
          </w:p>
        </w:tc>
        <w:tc>
          <w:tcPr>
            <w:tcW w:w="3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144,6 tCO2e/ano (138,8 / 4,3 / 1,6)</w:t>
            </w:r>
          </w:p>
        </w:tc>
      </w:tr>
      <w:tr>
        <w:trPr>
          <w:cantSplit w:val="true"/>
        </w:trPr>
        <w:tc>
          <w:tcPr>
            <w:tcW w:w="15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Ambiental</w:t>
            </w:r>
          </w:p>
        </w:tc>
        <w:tc>
          <w:tcPr>
            <w:tcW w:w="3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Intensidade de carbono; ecoeficiência</w:t>
            </w:r>
          </w:p>
        </w:tc>
        <w:tc>
          <w:tcPr>
            <w:tcW w:w="3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1,65 kgCO2e/kg; R$ 2,95/kgCO2e</w:t>
            </w:r>
          </w:p>
        </w:tc>
      </w:tr>
      <w:tr>
        <w:trPr>
          <w:cantSplit w:val="true"/>
        </w:trPr>
        <w:tc>
          <w:tcPr>
            <w:tcW w:w="15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Ambiental</w:t>
            </w:r>
          </w:p>
        </w:tc>
        <w:tc>
          <w:tcPr>
            <w:tcW w:w="3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Score de conformidade ambiental</w:t>
            </w:r>
          </w:p>
        </w:tc>
        <w:tc>
          <w:tcPr>
            <w:tcW w:w="3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8,75 de 10</w:t>
            </w:r>
          </w:p>
        </w:tc>
      </w:tr>
      <w:tr>
        <w:trPr>
          <w:cantSplit w:val="true"/>
        </w:trPr>
        <w:tc>
          <w:tcPr>
            <w:tcW w:w="15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Social</w:t>
            </w:r>
          </w:p>
        </w:tc>
        <w:tc>
          <w:tcPr>
            <w:tcW w:w="3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Retenção de Valor Local (RVL)</w:t>
            </w:r>
          </w:p>
        </w:tc>
        <w:tc>
          <w:tcPr>
            <w:tcW w:w="3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38,9% do custo operacional</w:t>
            </w:r>
          </w:p>
        </w:tc>
      </w:tr>
      <w:tr>
        <w:trPr>
          <w:cantSplit w:val="true"/>
        </w:trPr>
        <w:tc>
          <w:tcPr>
            <w:tcW w:w="15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Social</w:t>
            </w:r>
          </w:p>
        </w:tc>
        <w:tc>
          <w:tcPr>
            <w:tcW w:w="3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Índice de Impacto Local</w:t>
            </w:r>
          </w:p>
        </w:tc>
        <w:tc>
          <w:tcPr>
            <w:tcW w:w="3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29,2% da receita retorna como renda local</w:t>
            </w:r>
          </w:p>
        </w:tc>
      </w:tr>
      <w:tr>
        <w:trPr>
          <w:cantSplit w:val="true"/>
        </w:trPr>
        <w:tc>
          <w:tcPr>
            <w:tcW w:w="15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Social</w:t>
            </w:r>
          </w:p>
        </w:tc>
        <w:tc>
          <w:tcPr>
            <w:tcW w:w="3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Renda mensal por cooperado</w:t>
            </w:r>
          </w:p>
        </w:tc>
        <w:tc>
          <w:tcPr>
            <w:tcW w:w="3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R$ 3.742 (2,47 salários mínimos)</w:t>
            </w:r>
          </w:p>
        </w:tc>
      </w:tr>
      <w:tr>
        <w:trPr>
          <w:cantSplit w:val="true"/>
        </w:trPr>
        <w:tc>
          <w:tcPr>
            <w:tcW w:w="15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Social</w:t>
            </w:r>
          </w:p>
        </w:tc>
        <w:tc>
          <w:tcPr>
            <w:tcW w:w="3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LSO; Score de Risco Social</w:t>
            </w:r>
          </w:p>
        </w:tc>
        <w:tc>
          <w:tcPr>
            <w:tcW w:w="3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72,1 de 100; 0,145</w:t>
            </w:r>
          </w:p>
        </w:tc>
      </w:tr>
      <w:tr>
        <w:trPr>
          <w:cantSplit w:val="true"/>
        </w:trPr>
        <w:tc>
          <w:tcPr>
            <w:tcW w:w="15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Social</w:t>
            </w:r>
          </w:p>
        </w:tc>
        <w:tc>
          <w:tcPr>
            <w:tcW w:w="3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Radar Social (média dos seis eixos)</w:t>
            </w:r>
          </w:p>
        </w:tc>
        <w:tc>
          <w:tcPr>
            <w:tcW w:w="3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0,847</w:t>
            </w:r>
          </w:p>
        </w:tc>
      </w:tr>
      <w:tr>
        <w:trPr>
          <w:cantSplit w:val="true"/>
        </w:trPr>
        <w:tc>
          <w:tcPr>
            <w:tcW w:w="1599" w:type="dxa"/>
            <w:tcBorders>
              <w:top w:val="single" w:sz="2" w:space="0" w:color="BFBFBF"/>
              <w:bottom w:val="single" w:sz="8" w:space="0" w:color="000000"/>
            </w:tcBorders>
            <w:vAlign w:val="center"/>
          </w:tcPr>
          <w:p>
            <w:pPr>
              <w:pStyle w:val="Normal"/>
              <w:spacing w:lineRule="auto" w:line="240" w:before="20" w:after="20"/>
              <w:ind w:hanging="0"/>
              <w:jc w:val="left"/>
              <w:rPr/>
            </w:pPr>
            <w:r>
              <w:rPr>
                <w:sz w:val="18"/>
              </w:rPr>
              <w:t>Governança</w:t>
            </w:r>
          </w:p>
        </w:tc>
        <w:tc>
          <w:tcPr>
            <w:tcW w:w="3700"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Checklist do pilar G</w:t>
            </w:r>
          </w:p>
        </w:tc>
        <w:tc>
          <w:tcPr>
            <w:tcW w:w="3201"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5 de 7 itens (0,714)</w:t>
            </w:r>
          </w:p>
        </w:tc>
      </w:tr>
    </w:tbl>
    <w:p>
      <w:pPr>
        <w:pStyle w:val="Caption"/>
        <w:ind w:hanging="0"/>
        <w:rPr/>
      </w:pPr>
      <w:r>
        <w:rPr>
          <w:sz w:val="18"/>
        </w:rPr>
        <w:t>Fonte: elaboração própria, a partir da execução do EVTEAS-Py 2.0 (seed 20260612).</w:t>
      </w:r>
    </w:p>
    <w:p>
      <w:pPr>
        <w:pStyle w:val="Heading2"/>
        <w:pageBreakBefore w:val="false"/>
        <w:rPr/>
      </w:pPr>
      <w:r>
        <w:rPr>
          <w:rFonts w:ascii="Times New Roman" w:hAnsi="Times New Roman"/>
          <w:b w:val="false"/>
          <w:sz w:val="28"/>
        </w:rPr>
        <w:t>4.6 Resultados da dimensão social e ESG</w:t>
      </w:r>
    </w:p>
    <w:p>
      <w:pPr>
        <w:pStyle w:val="Normal"/>
        <w:spacing w:lineRule="auto" w:line="360" w:before="0" w:after="0"/>
        <w:ind w:firstLine="709"/>
        <w:jc w:val="both"/>
        <w:rPr/>
      </w:pPr>
      <w:r>
        <w:rPr>
          <w:sz w:val="24"/>
        </w:rPr>
        <w:t>O módulo social transforma emprego, renda local, compras locais e relacionamento com stakeholders em indicadores comparáveis. Nesta revisão, a Retenção de Valor Local (RVL) passou a seguir exatamente a fórmula do Quadro 5: despesas com mão de obra e fornecedores locais divididas pelo custo operacional total. A Rev. 186 dividia esse valor pela receita, o que misturava as bases. O Índice de Impacto Local estima a proporção da receita que retorna à economia local como renda (massa salarial local e sobras distribuídas).</w:t>
      </w:r>
    </w:p>
    <w:p>
      <w:pPr>
        <w:pStyle w:val="Normal"/>
        <w:spacing w:lineRule="auto" w:line="360" w:before="0" w:after="0"/>
        <w:ind w:firstLine="709"/>
        <w:jc w:val="both"/>
        <w:rPr/>
      </w:pPr>
      <w:r>
        <w:rPr>
          <w:sz w:val="24"/>
        </w:rPr>
        <w:t>A Licença Social para Operar (LSO) é um índice de 0 a 100 composto por cinco componentes: relação com a comunidade (inexistente, parcial ou consolidada), existência de canais formais de comunicação, frequência de engajamento, ausência de conflitos e participação da comunidade na governança (Hurst; Ihlen, 2018). O Score de Risco Social converte o déficit de LSO em uma escala de 0 a 1 por função logística; trata-se de heurística explícita, a ser calibrada com os especialistas, e não de probabilidade estimada estatisticamente.</w:t>
      </w:r>
    </w:p>
    <w:p>
      <w:pPr>
        <w:pStyle w:val="Caption"/>
        <w:spacing w:before="160" w:after="60"/>
        <w:ind w:hanging="0"/>
        <w:rPr/>
      </w:pPr>
      <w:r>
        <w:rPr>
          <w:b/>
          <w:sz w:val="18"/>
        </w:rPr>
        <w:t>Código 7 – Cálculo da dimensão social, RVL e LSO (trecho)</w:t>
      </w:r>
    </w:p>
    <w:p>
      <w:pPr>
        <w:pStyle w:val="Normal"/>
        <w:shd w:fill="F2F2F2"/>
        <w:spacing w:lineRule="auto" w:line="240" w:before="40" w:after="40"/>
        <w:ind w:hanging="0" w:left="283" w:right="113"/>
        <w:jc w:val="left"/>
        <w:rPr/>
      </w:pPr>
      <w:r>
        <w:rPr>
          <w:rFonts w:ascii="Consolas" w:hAnsi="Consolas"/>
          <w:sz w:val="16"/>
        </w:rPr>
        <w:t>def calcular_social(ctx: Contexto, eco: Dict[str, Any]) -&gt; Dict[str, Any]:</w:t>
        <w:br/>
        <w:t xml:space="preserve">    # (...)</w:t>
        <w:br/>
        <w:t xml:space="preserve">    massa_anual = cfg.economico.mao_obra_mes * 12</w:t>
        <w:br/>
        <w:t xml:space="preserve">    massa_local = massa_anual * s.mao_obra_local_pct / 100</w:t>
        <w:br/>
        <w:t xml:space="preserve">    compras = (eco["custos_variaveis_regime"] + eco["custos_fixos_regime"] - eco["pessoal_regime"])</w:t>
        <w:br/>
        <w:t xml:space="preserve">    compras_locais = np.maximum(compras, 0) * s.compras_locais_pct / 100</w:t>
        <w:br/>
        <w:t xml:space="preserve">    custo_operacional = eco["custos_variaveis_regime"] + eco["custos_fixos_regime"]</w:t>
        <w:br/>
        <w:t xml:space="preserve">    rvl = 100 * safe_div(massa_local + compras_locais, custo_operacional, 0.0)</w:t>
        <w:br/>
        <w:br/>
        <w:t xml:space="preserve">    sobras = np.maximum(eco["lucro_liquido_regime"], 0) * cfg.economico.perc_sobras_trabalhadores / 100</w:t>
        <w:br/>
        <w:t xml:space="preserve">    if cfg.economico.tipo_organizacao == "empresa":</w:t>
        <w:br/>
        <w:t xml:space="preserve">        sobras = np.zeros(ctx.n)</w:t>
        <w:br/>
        <w:t xml:space="preserve">    renda_local = massa_local + sobras * s.mao_obra_local_pct / 100</w:t>
        <w:br/>
        <w:t xml:space="preserve">    iil = safe_div(renda_local, eco["receita_regime"], 0.0)</w:t>
        <w:br/>
        <w:t xml:space="preserve">    n_trab = max(cfg.economico.cooperados_trabalhadores if cfg.economico.tipo_organizacao != "empresa"</w:t>
        <w:br/>
        <w:t xml:space="preserve">                 else s.empregos_diretos, 1)</w:t>
        <w:br/>
        <w:t xml:space="preserve">    renda_mensal = (massa_anual + sobras) / n_trab / 12</w:t>
        <w:br/>
        <w:t xml:space="preserve">    renda_sm = renda_mensal / s.salario_minimo</w:t>
        <w:br/>
        <w:br/>
        <w:t xml:space="preserve">    relacao = RELACAO_COMUNIDADE.get(s.relacao_comunidade)</w:t>
        <w:br/>
        <w:t xml:space="preserve">    if relacao is None:</w:t>
        <w:br/>
        <w:t xml:space="preserve">        raise ValueError(f"relacao_comunidade deve ser uma de {list(RELACAO_COMUNIDADE)}")</w:t>
        <w:br/>
        <w:t xml:space="preserve">    participacao = 1.0 if cfg.governanca.itens.get("assembleias_regulares") else 0.0</w:t>
        <w:br/>
        <w:t xml:space="preserve">    componentes_lso = {</w:t>
        <w:br/>
        <w:t xml:space="preserve">        "Relação com a comunidade": relacao,</w:t>
        <w:br/>
        <w:t xml:space="preserve">        "Canais formais de comunicação": 1.0 if s.canais_formais_comunicacao else 0.0,</w:t>
        <w:br/>
        <w:t xml:space="preserve">        "Frequência de engajamento": min(s.reunioes_comunidade_ano / 12, 1.0),</w:t>
        <w:br/>
        <w:t xml:space="preserve">        "Ausência de conflitos": math.exp(-0.5 * max(s.conflitos_registrados_ano, 0)),</w:t>
        <w:br/>
        <w:t xml:space="preserve">        "Participação na governança": participacao,</w:t>
        <w:br/>
        <w:t xml:space="preserve">    }</w:t>
        <w:br/>
        <w:t xml:space="preserve">    lso = 100 * float(np.mean(list(componentes_lso.values())))</w:t>
        <w:br/>
        <w:t xml:space="preserve">    risco = 1 / (1 + math.exp(8 * (lso / 100 - 0.5)))   # heurística logística (a calibrar)</w:t>
      </w:r>
    </w:p>
    <w:p>
      <w:pPr>
        <w:pStyle w:val="Caption"/>
        <w:ind w:hanging="0"/>
        <w:rPr/>
      </w:pPr>
      <w:r>
        <w:rPr>
          <w:sz w:val="18"/>
        </w:rPr>
        <w:t>Fonte: elaboração própria, a partir do pacote evteas_py 2.0 (notebook EVTEAS_Py_Rev187).</w:t>
      </w:r>
    </w:p>
    <w:p>
      <w:pPr>
        <w:pStyle w:val="Normal"/>
        <w:spacing w:lineRule="auto" w:line="360" w:before="0" w:after="0"/>
        <w:ind w:firstLine="709"/>
        <w:jc w:val="both"/>
        <w:rPr/>
      </w:pPr>
      <w:r>
        <w:rPr>
          <w:sz w:val="24"/>
        </w:rPr>
        <w:t>No caso-base, com 6 empregos diretos e 10 indiretos, 100% de mão de obra local e 25% de compras locais, a RVL foi 38,9% e o Índice de Impacto Local 29,2%. A renda média por cooperado correspondeu a 2,47 salários mínimos. A LSO foi 72,1, reduzida pela relação apenas parcial com a comunidade, pela frequência de engajamento de seis reuniões anuais e por um conflito registrado; o risco social foi 0,145. O Radar Social (Figura 14) obteve média 0,847, com menores valores nos eixos de relação com a comunidade e inclusão.</w:t>
      </w:r>
    </w:p>
    <w:p>
      <w:pPr>
        <w:pStyle w:val="Normal"/>
        <w:spacing w:lineRule="auto" w:line="360" w:before="0" w:after="0"/>
        <w:ind w:firstLine="709"/>
        <w:jc w:val="both"/>
        <w:rPr/>
      </w:pPr>
      <w:r>
        <w:rPr>
          <w:sz w:val="24"/>
        </w:rPr>
        <w:t>O alinhamento aos Objetivos de Desenvolvimento Sustentável é identificado automaticamente por regras explícitas e auditáveis. O caso-base atende a 10 dos 11 ODS avaliados (ODS 1, ODS 2, ODS 5, ODS 6, ODS 8, ODS 12, ODS 13, ODS 14, ODS 15, ODS 16); ODS 7 não é atendido porque a energia provém da rede. O pilar de governança, avaliado por checklist de sete itens (estatuto, assembleias, conselho fiscal, prestação de contas pública, plano de negócios, registro auditável das premissas e canal de denúncia), obteve 0,714. O score ESG, média dos pilares ambiental (0,633), social (0,653) e de governança (0,714), foi 0,667.</w:t>
      </w:r>
    </w:p>
    <w:p>
      <w:pPr>
        <w:pStyle w:val="Caption"/>
        <w:keepNext w:val="true"/>
        <w:spacing w:before="160" w:after="60"/>
        <w:ind w:hanging="0"/>
        <w:rPr/>
      </w:pPr>
      <w:r>
        <w:rPr>
          <w:b/>
          <w:sz w:val="18"/>
        </w:rPr>
        <w:t>Figura 14 – Radar Social do caso-base</w:t>
      </w:r>
    </w:p>
    <w:p>
      <w:pPr>
        <w:pStyle w:val="Normal"/>
        <w:keepNext w:val="true"/>
        <w:spacing w:before="60" w:after="60"/>
        <w:ind w:hanging="0"/>
        <w:jc w:val="center"/>
        <w:rPr/>
      </w:pPr>
      <w:r>
        <w:rPr/>
        <w:drawing>
          <wp:inline distT="0" distB="0" distL="0" distR="0">
            <wp:extent cx="5219700" cy="4279900"/>
            <wp:effectExtent l="0" t="0" r="0" b="0"/>
            <wp:docPr id="16" name="Figura Rev187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 Rev187 4" descr=""/>
                    <pic:cNvPicPr>
                      <a:picLocks noChangeAspect="1" noChangeArrowheads="1"/>
                    </pic:cNvPicPr>
                  </pic:nvPicPr>
                  <pic:blipFill>
                    <a:blip r:embed="rId47"/>
                    <a:stretch>
                      <a:fillRect/>
                    </a:stretch>
                  </pic:blipFill>
                  <pic:spPr bwMode="auto">
                    <a:xfrm>
                      <a:off x="0" y="0"/>
                      <a:ext cx="5219700" cy="4279900"/>
                    </a:xfrm>
                    <a:prstGeom prst="rect">
                      <a:avLst/>
                    </a:prstGeom>
                  </pic:spPr>
                </pic:pic>
              </a:graphicData>
            </a:graphic>
          </wp:inline>
        </w:drawing>
      </w:r>
    </w:p>
    <w:p>
      <w:pPr>
        <w:pStyle w:val="Caption"/>
        <w:ind w:hanging="0"/>
        <w:rPr/>
      </w:pPr>
      <w:r>
        <w:rPr>
          <w:sz w:val="18"/>
        </w:rPr>
        <w:t>Fonte: elaboração própria, a partir da execução do EVTEAS-Py 2.0 (seed 20260612).</w:t>
      </w:r>
    </w:p>
    <w:p>
      <w:pPr>
        <w:pStyle w:val="Heading2"/>
        <w:pageBreakBefore w:val="false"/>
        <w:rPr/>
      </w:pPr>
      <w:r>
        <w:rPr>
          <w:rFonts w:ascii="Times New Roman" w:hAnsi="Times New Roman"/>
          <w:b w:val="false"/>
          <w:sz w:val="28"/>
        </w:rPr>
        <w:t>4.7 Índice integrado EVTEAS</w:t>
      </w:r>
    </w:p>
    <w:p>
      <w:pPr>
        <w:pStyle w:val="Normal"/>
        <w:spacing w:lineRule="auto" w:line="360" w:before="0" w:after="0"/>
        <w:ind w:firstLine="709"/>
        <w:jc w:val="both"/>
        <w:rPr/>
      </w:pPr>
      <w:r>
        <w:rPr>
          <w:sz w:val="24"/>
        </w:rPr>
        <w:t>O índice integrado usa uma etapa explícita de normalização para transformar KPIs com escalas e sentidos diferentes em valores de 0 a 1. Cada KPI recebe um sentido (benefício ou custo) e uma faixa de referência declarada, que fica disponível para auditoria e pode ser revisada pelos especialistas. O Quadro 12 apresenta as referências, os valores brutos e os valores normalizados do caso-base. Os scores dimensionais são médias ponderadas dos KPIs de cada dimensão, e o índice EVTEAS é a média ponderada das quatro dimensões.</w:t>
      </w:r>
    </w:p>
    <w:p>
      <w:pPr>
        <w:pStyle w:val="Caption"/>
        <w:spacing w:before="160" w:after="60"/>
        <w:ind w:hanging="0"/>
        <w:rPr/>
      </w:pPr>
      <w:r>
        <w:rPr>
          <w:b/>
          <w:sz w:val="18"/>
        </w:rPr>
        <w:t>Quadro 12 – Normalização dos KPIs do caso-base</w:t>
      </w:r>
    </w:p>
    <w:p>
      <w:pPr>
        <w:pStyle w:val="Normal"/>
        <w:shd w:fill="F2F2F2"/>
        <w:spacing w:lineRule="auto" w:line="240" w:before="40" w:after="40"/>
        <w:ind w:hanging="0" w:left="283" w:right="113"/>
        <w:jc w:val="left"/>
        <w:rPr>
          <w:rFonts w:ascii="Consolas" w:hAnsi="Consolas"/>
          <w:sz w:val="16"/>
        </w:rPr>
      </w:pPr>
      <w:r>
        <w:rPr/>
      </w:r>
    </w:p>
    <w:tbl>
      <w:tblPr>
        <w:tblW w:w="8500" w:type="dxa"/>
        <w:jc w:val="center"/>
        <w:tblInd w:w="0" w:type="dxa"/>
        <w:tblLayout w:type="fixed"/>
        <w:tblCellMar>
          <w:top w:w="0" w:type="dxa"/>
          <w:left w:w="70" w:type="dxa"/>
          <w:bottom w:w="0" w:type="dxa"/>
          <w:right w:w="70" w:type="dxa"/>
        </w:tblCellMar>
        <w:tblLook w:val="04a0" w:noHBand="1" w:noVBand="1" w:firstColumn="0" w:lastRow="0" w:lastColumn="0" w:firstRow="1"/>
      </w:tblPr>
      <w:tblGrid>
        <w:gridCol w:w="1200"/>
        <w:gridCol w:w="2300"/>
        <w:gridCol w:w="1100"/>
        <w:gridCol w:w="1700"/>
        <w:gridCol w:w="1100"/>
        <w:gridCol w:w="1099"/>
      </w:tblGrid>
      <w:tr>
        <w:trPr>
          <w:tblHeader w:val="true"/>
          <w:cantSplit w:val="true"/>
        </w:trPr>
        <w:tc>
          <w:tcPr>
            <w:tcW w:w="1200" w:type="dxa"/>
            <w:tcBorders>
              <w:top w:val="single" w:sz="8" w:space="0" w:color="000000"/>
              <w:bottom w:val="single" w:sz="8" w:space="0" w:color="000000"/>
            </w:tcBorders>
            <w:vAlign w:val="center"/>
          </w:tcPr>
          <w:p>
            <w:pPr>
              <w:pStyle w:val="Normal"/>
              <w:spacing w:lineRule="auto" w:line="240" w:before="20" w:after="20"/>
              <w:ind w:hanging="0"/>
              <w:jc w:val="left"/>
              <w:rPr/>
            </w:pPr>
            <w:r>
              <w:rPr>
                <w:b/>
                <w:sz w:val="18"/>
              </w:rPr>
              <w:t>Dimensão</w:t>
            </w:r>
          </w:p>
        </w:tc>
        <w:tc>
          <w:tcPr>
            <w:tcW w:w="2300"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KPI</w:t>
            </w:r>
          </w:p>
        </w:tc>
        <w:tc>
          <w:tcPr>
            <w:tcW w:w="1100"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Sentido</w:t>
            </w:r>
          </w:p>
        </w:tc>
        <w:tc>
          <w:tcPr>
            <w:tcW w:w="1700"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Faixa de referência</w:t>
            </w:r>
          </w:p>
        </w:tc>
        <w:tc>
          <w:tcPr>
            <w:tcW w:w="1100"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Valor bruto</w:t>
            </w:r>
          </w:p>
        </w:tc>
        <w:tc>
          <w:tcPr>
            <w:tcW w:w="1099"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Normalizado</w:t>
            </w:r>
          </w:p>
        </w:tc>
      </w:tr>
      <w:tr>
        <w:trPr>
          <w:cantSplit w:val="true"/>
        </w:trPr>
        <w:tc>
          <w:tcPr>
            <w:tcW w:w="12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Técnica</w:t>
            </w:r>
          </w:p>
        </w:tc>
        <w:tc>
          <w:tcPr>
            <w:tcW w:w="2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OEE</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benefício</w:t>
            </w:r>
          </w:p>
        </w:tc>
        <w:tc>
          <w:tcPr>
            <w:tcW w:w="1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0,00 a 1,00</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0,844</w:t>
            </w:r>
          </w:p>
        </w:tc>
        <w:tc>
          <w:tcPr>
            <w:tcW w:w="1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0,844</w:t>
            </w:r>
          </w:p>
        </w:tc>
      </w:tr>
      <w:tr>
        <w:trPr>
          <w:cantSplit w:val="true"/>
        </w:trPr>
        <w:tc>
          <w:tcPr>
            <w:tcW w:w="12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Técnica</w:t>
            </w:r>
          </w:p>
        </w:tc>
        <w:tc>
          <w:tcPr>
            <w:tcW w:w="2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FCR</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custo</w:t>
            </w:r>
          </w:p>
        </w:tc>
        <w:tc>
          <w:tcPr>
            <w:tcW w:w="1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1,00 a 2,50</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1,500</w:t>
            </w:r>
          </w:p>
        </w:tc>
        <w:tc>
          <w:tcPr>
            <w:tcW w:w="1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0,667</w:t>
            </w:r>
          </w:p>
        </w:tc>
      </w:tr>
      <w:tr>
        <w:trPr>
          <w:cantSplit w:val="true"/>
        </w:trPr>
        <w:tc>
          <w:tcPr>
            <w:tcW w:w="12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Técnica</w:t>
            </w:r>
          </w:p>
        </w:tc>
        <w:tc>
          <w:tcPr>
            <w:tcW w:w="2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Produtividade relativa</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benefício</w:t>
            </w:r>
          </w:p>
        </w:tc>
        <w:tc>
          <w:tcPr>
            <w:tcW w:w="1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0,00 a 1,00</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0,725</w:t>
            </w:r>
          </w:p>
        </w:tc>
        <w:tc>
          <w:tcPr>
            <w:tcW w:w="1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0,725</w:t>
            </w:r>
          </w:p>
        </w:tc>
      </w:tr>
      <w:tr>
        <w:trPr>
          <w:cantSplit w:val="true"/>
        </w:trPr>
        <w:tc>
          <w:tcPr>
            <w:tcW w:w="12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Econômica</w:t>
            </w:r>
          </w:p>
        </w:tc>
        <w:tc>
          <w:tcPr>
            <w:tcW w:w="2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VPL/investimento</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benefício</w:t>
            </w:r>
          </w:p>
        </w:tc>
        <w:tc>
          <w:tcPr>
            <w:tcW w:w="1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-1,00 a 1,00</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0,048</w:t>
            </w:r>
          </w:p>
        </w:tc>
        <w:tc>
          <w:tcPr>
            <w:tcW w:w="1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0,524</w:t>
            </w:r>
          </w:p>
        </w:tc>
      </w:tr>
      <w:tr>
        <w:trPr>
          <w:cantSplit w:val="true"/>
        </w:trPr>
        <w:tc>
          <w:tcPr>
            <w:tcW w:w="12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Econômica</w:t>
            </w:r>
          </w:p>
        </w:tc>
        <w:tc>
          <w:tcPr>
            <w:tcW w:w="2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ROI anual</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benefício</w:t>
            </w:r>
          </w:p>
        </w:tc>
        <w:tc>
          <w:tcPr>
            <w:tcW w:w="1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-0,10 a 0,30</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0,156</w:t>
            </w:r>
          </w:p>
        </w:tc>
        <w:tc>
          <w:tcPr>
            <w:tcW w:w="1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0,640</w:t>
            </w:r>
          </w:p>
        </w:tc>
      </w:tr>
      <w:tr>
        <w:trPr>
          <w:cantSplit w:val="true"/>
        </w:trPr>
        <w:tc>
          <w:tcPr>
            <w:tcW w:w="12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Econômica</w:t>
            </w:r>
          </w:p>
        </w:tc>
        <w:tc>
          <w:tcPr>
            <w:tcW w:w="2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Margem de segurança</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benefício</w:t>
            </w:r>
          </w:p>
        </w:tc>
        <w:tc>
          <w:tcPr>
            <w:tcW w:w="1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0,00 a 0,50</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0,310</w:t>
            </w:r>
          </w:p>
        </w:tc>
        <w:tc>
          <w:tcPr>
            <w:tcW w:w="1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0,620</w:t>
            </w:r>
          </w:p>
        </w:tc>
      </w:tr>
      <w:tr>
        <w:trPr>
          <w:cantSplit w:val="true"/>
        </w:trPr>
        <w:tc>
          <w:tcPr>
            <w:tcW w:w="12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Ambiental</w:t>
            </w:r>
          </w:p>
        </w:tc>
        <w:tc>
          <w:tcPr>
            <w:tcW w:w="2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PH azul (m³/t)</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custo</w:t>
            </w:r>
          </w:p>
        </w:tc>
        <w:tc>
          <w:tcPr>
            <w:tcW w:w="1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0,00 a 3.000,00</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624</w:t>
            </w:r>
          </w:p>
        </w:tc>
        <w:tc>
          <w:tcPr>
            <w:tcW w:w="1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0,792</w:t>
            </w:r>
          </w:p>
        </w:tc>
      </w:tr>
      <w:tr>
        <w:trPr>
          <w:cantSplit w:val="true"/>
        </w:trPr>
        <w:tc>
          <w:tcPr>
            <w:tcW w:w="12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Ambiental</w:t>
            </w:r>
          </w:p>
        </w:tc>
        <w:tc>
          <w:tcPr>
            <w:tcW w:w="2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PH cinza (m³/t)</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custo</w:t>
            </w:r>
          </w:p>
        </w:tc>
        <w:tc>
          <w:tcPr>
            <w:tcW w:w="1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0,00 a 100.000,00</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38.333</w:t>
            </w:r>
          </w:p>
        </w:tc>
        <w:tc>
          <w:tcPr>
            <w:tcW w:w="1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0,617</w:t>
            </w:r>
          </w:p>
        </w:tc>
      </w:tr>
      <w:tr>
        <w:trPr>
          <w:cantSplit w:val="true"/>
        </w:trPr>
        <w:tc>
          <w:tcPr>
            <w:tcW w:w="12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Ambiental</w:t>
            </w:r>
          </w:p>
        </w:tc>
        <w:tc>
          <w:tcPr>
            <w:tcW w:w="2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Ecoeficiência (R$/kgCO2e)</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benefício</w:t>
            </w:r>
          </w:p>
        </w:tc>
        <w:tc>
          <w:tcPr>
            <w:tcW w:w="1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0,00 a 10,00</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2,946</w:t>
            </w:r>
          </w:p>
        </w:tc>
        <w:tc>
          <w:tcPr>
            <w:tcW w:w="1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0,295</w:t>
            </w:r>
          </w:p>
        </w:tc>
      </w:tr>
      <w:tr>
        <w:trPr>
          <w:cantSplit w:val="true"/>
        </w:trPr>
        <w:tc>
          <w:tcPr>
            <w:tcW w:w="12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Ambiental</w:t>
            </w:r>
          </w:p>
        </w:tc>
        <w:tc>
          <w:tcPr>
            <w:tcW w:w="2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Intensidade de carbono</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custo</w:t>
            </w:r>
          </w:p>
        </w:tc>
        <w:tc>
          <w:tcPr>
            <w:tcW w:w="1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0,00 a 4,00</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1,648</w:t>
            </w:r>
          </w:p>
        </w:tc>
        <w:tc>
          <w:tcPr>
            <w:tcW w:w="1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0,588</w:t>
            </w:r>
          </w:p>
        </w:tc>
      </w:tr>
      <w:tr>
        <w:trPr>
          <w:cantSplit w:val="true"/>
        </w:trPr>
        <w:tc>
          <w:tcPr>
            <w:tcW w:w="12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Ambiental</w:t>
            </w:r>
          </w:p>
        </w:tc>
        <w:tc>
          <w:tcPr>
            <w:tcW w:w="2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Conformidade (0–10)</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benefício</w:t>
            </w:r>
          </w:p>
        </w:tc>
        <w:tc>
          <w:tcPr>
            <w:tcW w:w="1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0,00 a 10,00</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8,750</w:t>
            </w:r>
          </w:p>
        </w:tc>
        <w:tc>
          <w:tcPr>
            <w:tcW w:w="1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0,875</w:t>
            </w:r>
          </w:p>
        </w:tc>
      </w:tr>
      <w:tr>
        <w:trPr>
          <w:cantSplit w:val="true"/>
        </w:trPr>
        <w:tc>
          <w:tcPr>
            <w:tcW w:w="12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Social</w:t>
            </w:r>
          </w:p>
        </w:tc>
        <w:tc>
          <w:tcPr>
            <w:tcW w:w="2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LSO (0–100)</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benefício</w:t>
            </w:r>
          </w:p>
        </w:tc>
        <w:tc>
          <w:tcPr>
            <w:tcW w:w="1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0,00 a 100,00</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72</w:t>
            </w:r>
          </w:p>
        </w:tc>
        <w:tc>
          <w:tcPr>
            <w:tcW w:w="1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0,721</w:t>
            </w:r>
          </w:p>
        </w:tc>
      </w:tr>
      <w:tr>
        <w:trPr>
          <w:cantSplit w:val="true"/>
        </w:trPr>
        <w:tc>
          <w:tcPr>
            <w:tcW w:w="12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Social</w:t>
            </w:r>
          </w:p>
        </w:tc>
        <w:tc>
          <w:tcPr>
            <w:tcW w:w="2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RVL (%)</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benefício</w:t>
            </w:r>
          </w:p>
        </w:tc>
        <w:tc>
          <w:tcPr>
            <w:tcW w:w="1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0,00 a 100,00</w:t>
            </w:r>
          </w:p>
        </w:tc>
        <w:tc>
          <w:tcPr>
            <w:tcW w:w="11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39</w:t>
            </w:r>
          </w:p>
        </w:tc>
        <w:tc>
          <w:tcPr>
            <w:tcW w:w="10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0,389</w:t>
            </w:r>
          </w:p>
        </w:tc>
      </w:tr>
      <w:tr>
        <w:trPr>
          <w:cantSplit w:val="true"/>
        </w:trPr>
        <w:tc>
          <w:tcPr>
            <w:tcW w:w="1200" w:type="dxa"/>
            <w:tcBorders>
              <w:top w:val="single" w:sz="2" w:space="0" w:color="BFBFBF"/>
              <w:bottom w:val="single" w:sz="8" w:space="0" w:color="000000"/>
            </w:tcBorders>
            <w:vAlign w:val="center"/>
          </w:tcPr>
          <w:p>
            <w:pPr>
              <w:pStyle w:val="Normal"/>
              <w:spacing w:lineRule="auto" w:line="240" w:before="20" w:after="20"/>
              <w:ind w:hanging="0"/>
              <w:jc w:val="left"/>
              <w:rPr/>
            </w:pPr>
            <w:r>
              <w:rPr>
                <w:sz w:val="18"/>
              </w:rPr>
              <w:t>Social</w:t>
            </w:r>
          </w:p>
        </w:tc>
        <w:tc>
          <w:tcPr>
            <w:tcW w:w="2300"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Radar Social</w:t>
            </w:r>
          </w:p>
        </w:tc>
        <w:tc>
          <w:tcPr>
            <w:tcW w:w="1100"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benefício</w:t>
            </w:r>
          </w:p>
        </w:tc>
        <w:tc>
          <w:tcPr>
            <w:tcW w:w="1700"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0,00 a 1,00</w:t>
            </w:r>
          </w:p>
        </w:tc>
        <w:tc>
          <w:tcPr>
            <w:tcW w:w="1100"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0,847</w:t>
            </w:r>
          </w:p>
        </w:tc>
        <w:tc>
          <w:tcPr>
            <w:tcW w:w="1099"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0,847</w:t>
            </w:r>
          </w:p>
        </w:tc>
      </w:tr>
    </w:tbl>
    <w:p>
      <w:pPr>
        <w:pStyle w:val="Caption"/>
        <w:ind w:hanging="0"/>
        <w:rPr/>
      </w:pPr>
      <w:r>
        <w:rPr>
          <w:sz w:val="18"/>
        </w:rPr>
        <w:t>Fonte: elaboração própria, a partir da execução do EVTEAS-Py 2.0 (seed 20260612).</w:t>
      </w:r>
    </w:p>
    <w:p>
      <w:pPr>
        <w:pStyle w:val="Normal"/>
        <w:spacing w:lineRule="auto" w:line="360" w:before="0" w:after="0"/>
        <w:ind w:firstLine="709"/>
        <w:jc w:val="both"/>
        <w:rPr/>
      </w:pPr>
      <w:r>
        <w:rPr>
          <w:sz w:val="24"/>
        </w:rPr>
        <w:t>Com os pesos do preset (0,25 técnica, 0,35 econômica, 0,20 ambiental e 0,20 social), os scores dimensionais foram 0,745, 0,594, 0,633 e 0,653, respectivamente, resultando em índice EVTEAS de 0,652 (Figura 15). Os KPIs de pior desempenho relativo foram a ecoeficiência e a RVL, o que aponta onde concentrar ajustes de projeto.</w:t>
      </w:r>
    </w:p>
    <w:p>
      <w:pPr>
        <w:pStyle w:val="Normal"/>
        <w:spacing w:lineRule="auto" w:line="360" w:before="0" w:after="0"/>
        <w:ind w:firstLine="709"/>
        <w:jc w:val="both"/>
        <w:rPr/>
      </w:pPr>
      <w:r>
        <w:rPr>
          <w:sz w:val="24"/>
        </w:rPr>
        <w:t>A regra de decisão foi reformulada em dois estágios para evitar que o índice compensatório oculte fragilidades, limitação apontada na Rev. 186. No primeiro estágio, vetos não compensatórios impedem a classificação “VIÁVEL” quando o VPL do projeto é negativo, quando um item ambiental eliminatório não é atendido ou quando a LSO está abaixo de 40. No segundo, o índice é comparado aos limiares de 0,60 (viável) e 0,50 (viável com ressalvas), e a probabilidade de VPL positivo obtida no Monte Carlo é confrontada com o mínimo de 70%. Essa estrutura responde à crítica da “eficiência obscena” de Garnett, Röös e Little (2015): bom desempenho econômico não compensa violação ambiental ou social.</w:t>
      </w:r>
    </w:p>
    <w:p>
      <w:pPr>
        <w:pStyle w:val="Caption"/>
        <w:keepNext w:val="true"/>
        <w:spacing w:before="160" w:after="60"/>
        <w:ind w:hanging="0"/>
        <w:rPr/>
      </w:pPr>
      <w:r>
        <w:rPr>
          <w:b/>
          <w:sz w:val="18"/>
        </w:rPr>
        <w:t>Código 8 – Regra de decisão com vetos não compensatórios</w:t>
      </w:r>
    </w:p>
    <w:p>
      <w:pPr>
        <w:pStyle w:val="Normal"/>
        <w:shd w:fill="F2F2F2"/>
        <w:spacing w:lineRule="auto" w:line="240" w:before="40" w:after="40"/>
        <w:ind w:hanging="0" w:left="283" w:right="113"/>
        <w:jc w:val="left"/>
        <w:rPr/>
      </w:pPr>
      <w:r>
        <w:rPr>
          <w:rFonts w:ascii="Consolas" w:hAnsi="Consolas"/>
          <w:sz w:val="16"/>
        </w:rPr>
        <w:t>def classificar(cfg: EVTEASConfig, vpl: float, indice: float, lso: float, vetos_ambientais: List[str],</w:t>
        <w:br/>
        <w:t xml:space="preserve">                prob_vpl_positivo: Optional[float] = None) -&gt; Dict[str, Any]:</w:t>
        <w:br/>
        <w:t xml:space="preserve">    """Regra de decisão em dois estágios: vetos não compensatórios + índice compensatório.</w:t>
        <w:br/>
        <w:br/>
        <w:t xml:space="preserve">    O índice agregado sozinho pode ocultar fragilidades (Rev. 186, Seção 5.4);</w:t>
        <w:br/>
        <w:t xml:space="preserve">    por isso VPL negativo, item ambiental eliminatório não atendido ou LSO abaixo</w:t>
        <w:br/>
        <w:t xml:space="preserve">    do mínimo impedem a classificação "VIÁVEL", qualquer que seja o índice.</w:t>
        <w:br/>
        <w:t xml:space="preserve">    """</w:t>
        <w:br/>
        <w:t xml:space="preserve">    d = cfg.decisao</w:t>
        <w:br/>
        <w:t xml:space="preserve">    motivos = []</w:t>
        <w:br/>
        <w:t xml:space="preserve">    if d.aplicar_vetos:</w:t>
        <w:br/>
        <w:t xml:space="preserve">        if vpl &lt; 0:</w:t>
        <w:br/>
        <w:t xml:space="preserve">            motivos.append("VPL negativo (veto econômico)")</w:t>
        <w:br/>
        <w:t xml:space="preserve">        motivos += [f"Item eliminatório não atendido: {v}" for v in vetos_ambientais]</w:t>
        <w:br/>
        <w:t xml:space="preserve">        if lso &lt; d.lso_minimo:</w:t>
        <w:br/>
        <w:t xml:space="preserve">            motivos.append(f"LSO abaixo do mínimo ({lso:.0f} &lt; {d.lso_minimo:.0f})")</w:t>
        <w:br/>
        <w:t xml:space="preserve">    ressalvas = []</w:t>
        <w:br/>
        <w:t xml:space="preserve">    if prob_vpl_positivo is not None and prob_vpl_positivo &lt; d.prob_vpl_positivo_minima:</w:t>
        <w:br/>
        <w:t xml:space="preserve">        ressalvas.append(f"P(VPL &gt; 0) = {prob_vpl_positivo:.0%} abaixo de {d.prob_vpl_positivo_minima:.0%}")</w:t>
        <w:br/>
        <w:t xml:space="preserve">    if motivos:</w:t>
        <w:br/>
        <w:t xml:space="preserve">        classe = "NÃO VIÁVEL"</w:t>
        <w:br/>
        <w:t xml:space="preserve">    elif indice &gt;= d.limiar_indice_viavel and not ressalvas:</w:t>
        <w:br/>
        <w:t xml:space="preserve">        classe = "VIÁVEL"</w:t>
        <w:br/>
        <w:t xml:space="preserve">    elif indice &gt;= d.limiar_indice_ressalvas:</w:t>
        <w:br/>
        <w:t xml:space="preserve">        classe = "VIÁVEL COM RESSALVAS"</w:t>
        <w:br/>
        <w:t xml:space="preserve">        if indice &lt; d.limiar_indice_viavel:</w:t>
        <w:br/>
        <w:t xml:space="preserve">            ressalvas.append(f"Índice EVTEAS {indice:.3f} abaixo do limiar {d.limiar_indice_viavel:.2f}")</w:t>
        <w:br/>
        <w:t xml:space="preserve">    else:</w:t>
        <w:br/>
        <w:t xml:space="preserve">        classe = "NÃO VIÁVEL"</w:t>
        <w:br/>
        <w:t xml:space="preserve">        motivos.append(f"Índice EVTEAS {indice:.3f} abaixo de {d.limiar_indice_ressalvas:.2f}")</w:t>
        <w:br/>
        <w:t xml:space="preserve">    return {"classificacao": classe, "vetos": motivos, "ressalvas": ressalvas}</w:t>
      </w:r>
    </w:p>
    <w:p>
      <w:pPr>
        <w:pStyle w:val="Caption"/>
        <w:ind w:hanging="0"/>
        <w:rPr/>
      </w:pPr>
      <w:r>
        <w:rPr>
          <w:sz w:val="18"/>
        </w:rPr>
        <w:t>Fonte: elaboração própria, a partir do pacote evteas_py 2.0 (notebook EVTEAS_Py_Rev187).</w:t>
      </w:r>
    </w:p>
    <w:p>
      <w:pPr>
        <w:pStyle w:val="Normal"/>
        <w:spacing w:lineRule="auto" w:line="360" w:before="0" w:after="0"/>
        <w:ind w:firstLine="709"/>
        <w:jc w:val="both"/>
        <w:rPr/>
      </w:pPr>
      <w:r>
        <w:rPr>
          <w:sz w:val="24"/>
        </w:rPr>
        <w:t>O caso-base foi classificado como “VIÁVEL COM RESSALVAS”: não houve vetos e o índice superou 0,60, mas a probabilidade de VPL positivo (13,6%) ficou abaixo do mínimo. O limiar de 0,60 e a probabilidade mínima de 70% são regras operacionais do artefato e devem ser tratados como parâmetros de decisão, não como padrões universais de mercado ou de engenharia.</w:t>
      </w:r>
    </w:p>
    <w:p>
      <w:pPr>
        <w:pStyle w:val="Normal"/>
        <w:spacing w:lineRule="auto" w:line="360" w:before="0" w:after="0"/>
        <w:ind w:firstLine="709"/>
        <w:jc w:val="both"/>
        <w:rPr/>
      </w:pPr>
      <w:r>
        <w:rPr>
          <w:sz w:val="24"/>
        </w:rPr>
        <w:t>Para demonstrar a parametrização prevista na Seção 3.4, o pipeline foi executado com escores Likert ilustrativos de dois avaliadores. Os pesos normalizados resultaram em 0,272 (técnica), 0,303 (econômica), 0,213 (ambiental) e 0,211 (social), com concordância média de 0,812 entre os avaliadores, e o índice passou a 0,656. Os escores efetivos dos especialistas substituirão esses valores na Fase 3 da pesquisa, e a divergência por critério será registrada como evidência da triangulação.</w:t>
      </w:r>
    </w:p>
    <w:p>
      <w:pPr>
        <w:pStyle w:val="Caption"/>
        <w:keepNext w:val="true"/>
        <w:spacing w:before="160" w:after="60"/>
        <w:ind w:hanging="0"/>
        <w:rPr/>
      </w:pPr>
      <w:r>
        <w:rPr>
          <w:b/>
          <w:sz w:val="18"/>
        </w:rPr>
        <w:t>Figura 15 – Scores dimensionais e índice EVTEAS do caso-base</w:t>
      </w:r>
    </w:p>
    <w:p>
      <w:pPr>
        <w:pStyle w:val="Normal"/>
        <w:keepNext w:val="true"/>
        <w:spacing w:before="60" w:after="60"/>
        <w:ind w:hanging="0"/>
        <w:jc w:val="center"/>
        <w:rPr/>
      </w:pPr>
      <w:r>
        <w:rPr/>
        <w:drawing>
          <wp:inline distT="0" distB="0" distL="0" distR="0">
            <wp:extent cx="5219700" cy="2577465"/>
            <wp:effectExtent l="0" t="0" r="0" b="0"/>
            <wp:docPr id="17" name="Figura Rev187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 Rev187 5" descr=""/>
                    <pic:cNvPicPr>
                      <a:picLocks noChangeAspect="1" noChangeArrowheads="1"/>
                    </pic:cNvPicPr>
                  </pic:nvPicPr>
                  <pic:blipFill>
                    <a:blip r:embed="rId48"/>
                    <a:stretch>
                      <a:fillRect/>
                    </a:stretch>
                  </pic:blipFill>
                  <pic:spPr bwMode="auto">
                    <a:xfrm>
                      <a:off x="0" y="0"/>
                      <a:ext cx="5219700" cy="2577465"/>
                    </a:xfrm>
                    <a:prstGeom prst="rect">
                      <a:avLst/>
                    </a:prstGeom>
                  </pic:spPr>
                </pic:pic>
              </a:graphicData>
            </a:graphic>
          </wp:inline>
        </w:drawing>
      </w:r>
    </w:p>
    <w:p>
      <w:pPr>
        <w:pStyle w:val="Caption"/>
        <w:ind w:hanging="0"/>
        <w:rPr/>
      </w:pPr>
      <w:r>
        <w:rPr>
          <w:sz w:val="18"/>
        </w:rPr>
        <w:t>Fonte: elaboração própria, a partir da execução do EVTEAS-Py 2.0 (seed 20260612).</w:t>
      </w:r>
    </w:p>
    <w:p>
      <w:pPr>
        <w:pStyle w:val="Heading2"/>
        <w:pageBreakBefore w:val="false"/>
        <w:rPr/>
      </w:pPr>
      <w:r>
        <w:rPr>
          <w:rFonts w:ascii="Times New Roman" w:hAnsi="Times New Roman"/>
          <w:b w:val="false"/>
          <w:sz w:val="28"/>
        </w:rPr>
        <w:t>4.8 Simulação de Monte Carlo</w:t>
      </w:r>
    </w:p>
    <w:p>
      <w:pPr>
        <w:pStyle w:val="Normal"/>
        <w:spacing w:lineRule="auto" w:line="360" w:before="0" w:after="0"/>
        <w:ind w:firstLine="709"/>
        <w:jc w:val="both"/>
        <w:rPr/>
      </w:pPr>
      <w:r>
        <w:rPr>
          <w:sz w:val="24"/>
        </w:rPr>
        <w:t>A camada de incerteza utiliza Monte Carlo sobre o mesmo motor vetorizado do modelo determinístico. As distribuições adotadas são apresentadas no Quadro 13. Seguindo Oliveira e Medeiros Neto (2012), utilizou-se a distribuição triangular quando havia valor mais provável. A incerteza do CAPEX deriva da faixa de exatidão de uma estimativa Classe 5 da AACE International (2020), de −30% a +50%. As amostras são geradas com np.random.default_rng(20260612), em ordem fixa de variáveis, o que garante reprodutibilidade.</w:t>
      </w:r>
    </w:p>
    <w:p>
      <w:pPr>
        <w:pStyle w:val="Caption"/>
        <w:keepNext w:val="true"/>
        <w:spacing w:before="160" w:after="60"/>
        <w:ind w:hanging="0"/>
        <w:rPr/>
      </w:pPr>
      <w:r>
        <w:rPr>
          <w:b/>
          <w:sz w:val="18"/>
        </w:rPr>
        <w:t>Quadro 13 – Distribuições de incerteza do caso-base</w:t>
      </w:r>
    </w:p>
    <w:tbl>
      <w:tblPr>
        <w:tblW w:w="8500" w:type="dxa"/>
        <w:jc w:val="center"/>
        <w:tblInd w:w="0" w:type="dxa"/>
        <w:tblLayout w:type="fixed"/>
        <w:tblCellMar>
          <w:top w:w="0" w:type="dxa"/>
          <w:left w:w="70" w:type="dxa"/>
          <w:bottom w:w="0" w:type="dxa"/>
          <w:right w:w="70" w:type="dxa"/>
        </w:tblCellMar>
        <w:tblLook w:val="04a0" w:noHBand="1" w:noVBand="1" w:firstColumn="0" w:lastRow="0" w:lastColumn="0" w:firstRow="1"/>
      </w:tblPr>
      <w:tblGrid>
        <w:gridCol w:w="3299"/>
        <w:gridCol w:w="1301"/>
        <w:gridCol w:w="1299"/>
        <w:gridCol w:w="1301"/>
        <w:gridCol w:w="1300"/>
      </w:tblGrid>
      <w:tr>
        <w:trPr>
          <w:tblHeader w:val="true"/>
          <w:cantSplit w:val="true"/>
        </w:trPr>
        <w:tc>
          <w:tcPr>
            <w:tcW w:w="3299" w:type="dxa"/>
            <w:tcBorders>
              <w:top w:val="single" w:sz="8" w:space="0" w:color="000000"/>
              <w:bottom w:val="single" w:sz="8" w:space="0" w:color="000000"/>
            </w:tcBorders>
            <w:vAlign w:val="center"/>
          </w:tcPr>
          <w:p>
            <w:pPr>
              <w:pStyle w:val="Normal"/>
              <w:spacing w:lineRule="auto" w:line="240" w:before="20" w:after="20"/>
              <w:ind w:hanging="0"/>
              <w:jc w:val="left"/>
              <w:rPr/>
            </w:pPr>
            <w:r>
              <w:rPr>
                <w:b/>
                <w:sz w:val="18"/>
              </w:rPr>
              <w:t>Variável</w:t>
            </w:r>
          </w:p>
        </w:tc>
        <w:tc>
          <w:tcPr>
            <w:tcW w:w="1301"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Distribuição</w:t>
            </w:r>
          </w:p>
        </w:tc>
        <w:tc>
          <w:tcPr>
            <w:tcW w:w="1299"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Mínimo</w:t>
            </w:r>
          </w:p>
        </w:tc>
        <w:tc>
          <w:tcPr>
            <w:tcW w:w="1301"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Mais provável</w:t>
            </w:r>
          </w:p>
        </w:tc>
        <w:tc>
          <w:tcPr>
            <w:tcW w:w="1300"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Máximo</w:t>
            </w:r>
          </w:p>
        </w:tc>
      </w:tr>
      <w:tr>
        <w:trPr>
          <w:cantSplit w:val="true"/>
        </w:trPr>
        <w:tc>
          <w:tcPr>
            <w:tcW w:w="3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Preço de venda (R$/kg)</w:t>
            </w:r>
          </w:p>
        </w:tc>
        <w:tc>
          <w:tcPr>
            <w:tcW w:w="13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triangular</w:t>
            </w:r>
          </w:p>
        </w:tc>
        <w:tc>
          <w:tcPr>
            <w:tcW w:w="12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9,00</w:t>
            </w:r>
          </w:p>
        </w:tc>
        <w:tc>
          <w:tcPr>
            <w:tcW w:w="13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10,50</w:t>
            </w:r>
          </w:p>
        </w:tc>
        <w:tc>
          <w:tcPr>
            <w:tcW w:w="1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11,50</w:t>
            </w:r>
          </w:p>
        </w:tc>
      </w:tr>
      <w:tr>
        <w:trPr>
          <w:cantSplit w:val="true"/>
        </w:trPr>
        <w:tc>
          <w:tcPr>
            <w:tcW w:w="3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Custo da ração (R$/kg)</w:t>
            </w:r>
          </w:p>
        </w:tc>
        <w:tc>
          <w:tcPr>
            <w:tcW w:w="13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triangular</w:t>
            </w:r>
          </w:p>
        </w:tc>
        <w:tc>
          <w:tcPr>
            <w:tcW w:w="12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2,80</w:t>
            </w:r>
          </w:p>
        </w:tc>
        <w:tc>
          <w:tcPr>
            <w:tcW w:w="13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3,10</w:t>
            </w:r>
          </w:p>
        </w:tc>
        <w:tc>
          <w:tcPr>
            <w:tcW w:w="1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3,70</w:t>
            </w:r>
          </w:p>
        </w:tc>
      </w:tr>
      <w:tr>
        <w:trPr>
          <w:cantSplit w:val="true"/>
        </w:trPr>
        <w:tc>
          <w:tcPr>
            <w:tcW w:w="3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Milheiro de alevinos (R$)</w:t>
            </w:r>
          </w:p>
        </w:tc>
        <w:tc>
          <w:tcPr>
            <w:tcW w:w="13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triangular</w:t>
            </w:r>
          </w:p>
        </w:tc>
        <w:tc>
          <w:tcPr>
            <w:tcW w:w="12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230</w:t>
            </w:r>
          </w:p>
        </w:tc>
        <w:tc>
          <w:tcPr>
            <w:tcW w:w="13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280</w:t>
            </w:r>
          </w:p>
        </w:tc>
        <w:tc>
          <w:tcPr>
            <w:tcW w:w="1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350</w:t>
            </w:r>
          </w:p>
        </w:tc>
      </w:tr>
      <w:tr>
        <w:trPr>
          <w:cantSplit w:val="true"/>
        </w:trPr>
        <w:tc>
          <w:tcPr>
            <w:tcW w:w="3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Tarifa de energia (R$/kWh)</w:t>
            </w:r>
          </w:p>
        </w:tc>
        <w:tc>
          <w:tcPr>
            <w:tcW w:w="13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triangular</w:t>
            </w:r>
          </w:p>
        </w:tc>
        <w:tc>
          <w:tcPr>
            <w:tcW w:w="12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0,65</w:t>
            </w:r>
          </w:p>
        </w:tc>
        <w:tc>
          <w:tcPr>
            <w:tcW w:w="13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0,75</w:t>
            </w:r>
          </w:p>
        </w:tc>
        <w:tc>
          <w:tcPr>
            <w:tcW w:w="1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0,95</w:t>
            </w:r>
          </w:p>
        </w:tc>
      </w:tr>
      <w:tr>
        <w:trPr>
          <w:cantSplit w:val="true"/>
        </w:trPr>
        <w:tc>
          <w:tcPr>
            <w:tcW w:w="3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Fator de custos fixos</w:t>
            </w:r>
          </w:p>
        </w:tc>
        <w:tc>
          <w:tcPr>
            <w:tcW w:w="13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triangular</w:t>
            </w:r>
          </w:p>
        </w:tc>
        <w:tc>
          <w:tcPr>
            <w:tcW w:w="12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0,95</w:t>
            </w:r>
          </w:p>
        </w:tc>
        <w:tc>
          <w:tcPr>
            <w:tcW w:w="13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1,00</w:t>
            </w:r>
          </w:p>
        </w:tc>
        <w:tc>
          <w:tcPr>
            <w:tcW w:w="1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1,15</w:t>
            </w:r>
          </w:p>
        </w:tc>
      </w:tr>
      <w:tr>
        <w:trPr>
          <w:cantSplit w:val="true"/>
        </w:trPr>
        <w:tc>
          <w:tcPr>
            <w:tcW w:w="3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Fator de CAPEX (AACE Classe 5)</w:t>
            </w:r>
          </w:p>
        </w:tc>
        <w:tc>
          <w:tcPr>
            <w:tcW w:w="13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triangular</w:t>
            </w:r>
          </w:p>
        </w:tc>
        <w:tc>
          <w:tcPr>
            <w:tcW w:w="12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0,70</w:t>
            </w:r>
          </w:p>
        </w:tc>
        <w:tc>
          <w:tcPr>
            <w:tcW w:w="13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1,00</w:t>
            </w:r>
          </w:p>
        </w:tc>
        <w:tc>
          <w:tcPr>
            <w:tcW w:w="1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1,50</w:t>
            </w:r>
          </w:p>
        </w:tc>
      </w:tr>
      <w:tr>
        <w:trPr>
          <w:cantSplit w:val="true"/>
        </w:trPr>
        <w:tc>
          <w:tcPr>
            <w:tcW w:w="3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FCR</w:t>
            </w:r>
          </w:p>
        </w:tc>
        <w:tc>
          <w:tcPr>
            <w:tcW w:w="13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triangular</w:t>
            </w:r>
          </w:p>
        </w:tc>
        <w:tc>
          <w:tcPr>
            <w:tcW w:w="12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1,30</w:t>
            </w:r>
          </w:p>
        </w:tc>
        <w:tc>
          <w:tcPr>
            <w:tcW w:w="13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1,50</w:t>
            </w:r>
          </w:p>
        </w:tc>
        <w:tc>
          <w:tcPr>
            <w:tcW w:w="1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1,85</w:t>
            </w:r>
          </w:p>
        </w:tc>
      </w:tr>
      <w:tr>
        <w:trPr>
          <w:cantSplit w:val="true"/>
        </w:trPr>
        <w:tc>
          <w:tcPr>
            <w:tcW w:w="32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Mortalidade (%)</w:t>
            </w:r>
          </w:p>
        </w:tc>
        <w:tc>
          <w:tcPr>
            <w:tcW w:w="13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triangular</w:t>
            </w:r>
          </w:p>
        </w:tc>
        <w:tc>
          <w:tcPr>
            <w:tcW w:w="12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5</w:t>
            </w:r>
          </w:p>
        </w:tc>
        <w:tc>
          <w:tcPr>
            <w:tcW w:w="13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10</w:t>
            </w:r>
          </w:p>
        </w:tc>
        <w:tc>
          <w:tcPr>
            <w:tcW w:w="1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20</w:t>
            </w:r>
          </w:p>
        </w:tc>
      </w:tr>
      <w:tr>
        <w:trPr>
          <w:cantSplit w:val="true"/>
        </w:trPr>
        <w:tc>
          <w:tcPr>
            <w:tcW w:w="3299" w:type="dxa"/>
            <w:tcBorders>
              <w:top w:val="single" w:sz="2" w:space="0" w:color="BFBFBF"/>
              <w:bottom w:val="single" w:sz="8" w:space="0" w:color="000000"/>
            </w:tcBorders>
            <w:vAlign w:val="center"/>
          </w:tcPr>
          <w:p>
            <w:pPr>
              <w:pStyle w:val="Normal"/>
              <w:spacing w:lineRule="auto" w:line="240" w:before="20" w:after="20"/>
              <w:ind w:hanging="0"/>
              <w:jc w:val="left"/>
              <w:rPr/>
            </w:pPr>
            <w:r>
              <w:rPr>
                <w:sz w:val="18"/>
              </w:rPr>
              <w:t>Desempenho de crescimento (%)</w:t>
            </w:r>
          </w:p>
        </w:tc>
        <w:tc>
          <w:tcPr>
            <w:tcW w:w="1301"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triangular</w:t>
            </w:r>
          </w:p>
        </w:tc>
        <w:tc>
          <w:tcPr>
            <w:tcW w:w="1299"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85</w:t>
            </w:r>
          </w:p>
        </w:tc>
        <w:tc>
          <w:tcPr>
            <w:tcW w:w="1301"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100</w:t>
            </w:r>
          </w:p>
        </w:tc>
        <w:tc>
          <w:tcPr>
            <w:tcW w:w="1300"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105</w:t>
            </w:r>
          </w:p>
        </w:tc>
      </w:tr>
    </w:tbl>
    <w:p>
      <w:pPr>
        <w:pStyle w:val="Caption"/>
        <w:ind w:hanging="0"/>
        <w:rPr/>
      </w:pPr>
      <w:r>
        <w:rPr>
          <w:sz w:val="18"/>
        </w:rPr>
        <w:t>Fonte: elaboração própria (2026).</w:t>
      </w:r>
    </w:p>
    <w:p>
      <w:pPr>
        <w:pStyle w:val="Caption"/>
        <w:spacing w:before="160" w:after="60"/>
        <w:ind w:hanging="0"/>
        <w:rPr/>
      </w:pPr>
      <w:r>
        <w:rPr>
          <w:b/>
          <w:sz w:val="18"/>
        </w:rPr>
        <w:t>Código 9 – Simulação de Monte Carlo sobre o motor único (trecho)</w:t>
      </w:r>
    </w:p>
    <w:p>
      <w:pPr>
        <w:pStyle w:val="Normal"/>
        <w:shd w:fill="F2F2F2"/>
        <w:spacing w:lineRule="auto" w:line="240" w:before="40" w:after="40"/>
        <w:ind w:hanging="0" w:left="283" w:right="113"/>
        <w:jc w:val="left"/>
        <w:rPr/>
      </w:pPr>
      <w:r>
        <w:rPr>
          <w:rFonts w:ascii="Consolas" w:hAnsi="Consolas"/>
          <w:sz w:val="16"/>
        </w:rPr>
        <w:t>def monte_carlo(cfg: EVTEASConfig, n: Optional[int] = None, seed: Optional[int] = None) -&gt; Dict[str, Any]:</w:t>
        <w:br/>
        <w:t xml:space="preserve">    # (...)</w:t>
        <w:br/>
        <w:t xml:space="preserve">    n = int(n or cfg.monte_carlo.iteracoes)</w:t>
        <w:br/>
        <w:t xml:space="preserve">    seed = int(cfg.monte_carlo.seed if seed is None else seed)</w:t>
        <w:br/>
        <w:t xml:space="preserve">    entradas = amostrar(cfg, n, seed)</w:t>
        <w:br/>
        <w:t xml:space="preserve">    r = motor(cfg, entradas, n)</w:t>
        <w:br/>
        <w:t xml:space="preserve">    eco, tec, amb, idx = r["economico"], r["tecnico"], r["ambiental"], r["indice"]</w:t>
        <w:br/>
        <w:t xml:space="preserve">    tma = cfg.economico.tma_aa_pct / 100</w:t>
        <w:br/>
        <w:br/>
        <w:t xml:space="preserve">    amostra = pd.DataFrame({k: v for k, v in entradas.items()})</w:t>
        <w:br/>
        <w:t xml:space="preserve">    amostra["VPL"] = eco["vpl"]</w:t>
      </w:r>
    </w:p>
    <w:p>
      <w:pPr>
        <w:pStyle w:val="Caption"/>
        <w:ind w:hanging="0"/>
        <w:rPr/>
      </w:pPr>
      <w:r>
        <w:rPr>
          <w:sz w:val="18"/>
        </w:rPr>
        <w:t>Fonte: elaboração própria, a partir do pacote evteas_py 2.0 (notebook EVTEAS_Py_Rev187).</w:t>
      </w:r>
    </w:p>
    <w:p>
      <w:pPr>
        <w:pStyle w:val="Caption"/>
        <w:keepNext w:val="true"/>
        <w:spacing w:before="160" w:after="60"/>
        <w:ind w:hanging="0"/>
        <w:rPr/>
      </w:pPr>
      <w:r>
        <w:rPr>
          <w:b/>
          <w:sz w:val="18"/>
        </w:rPr>
        <w:t>Tabela 5 – Estatísticas da simulação de Monte Carlo (n = 10.000)</w:t>
      </w:r>
    </w:p>
    <w:tbl>
      <w:tblPr>
        <w:tblW w:w="8500" w:type="dxa"/>
        <w:jc w:val="center"/>
        <w:tblInd w:w="0" w:type="dxa"/>
        <w:tblLayout w:type="fixed"/>
        <w:tblCellMar>
          <w:top w:w="0" w:type="dxa"/>
          <w:left w:w="70" w:type="dxa"/>
          <w:bottom w:w="0" w:type="dxa"/>
          <w:right w:w="70" w:type="dxa"/>
        </w:tblCellMar>
        <w:tblLook w:val="04a0" w:noHBand="1" w:noVBand="1" w:firstColumn="0" w:lastRow="0" w:lastColumn="0" w:firstRow="1"/>
      </w:tblPr>
      <w:tblGrid>
        <w:gridCol w:w="4300"/>
        <w:gridCol w:w="4199"/>
      </w:tblGrid>
      <w:tr>
        <w:trPr>
          <w:tblHeader w:val="true"/>
          <w:cantSplit w:val="true"/>
        </w:trPr>
        <w:tc>
          <w:tcPr>
            <w:tcW w:w="4300" w:type="dxa"/>
            <w:tcBorders>
              <w:top w:val="single" w:sz="8" w:space="0" w:color="000000"/>
              <w:bottom w:val="single" w:sz="8" w:space="0" w:color="000000"/>
            </w:tcBorders>
            <w:vAlign w:val="center"/>
          </w:tcPr>
          <w:p>
            <w:pPr>
              <w:pStyle w:val="Normal"/>
              <w:spacing w:lineRule="auto" w:line="240" w:before="20" w:after="20"/>
              <w:ind w:hanging="0"/>
              <w:jc w:val="left"/>
              <w:rPr/>
            </w:pPr>
            <w:r>
              <w:rPr>
                <w:b/>
                <w:sz w:val="18"/>
              </w:rPr>
              <w:t>Estatística</w:t>
            </w:r>
          </w:p>
        </w:tc>
        <w:tc>
          <w:tcPr>
            <w:tcW w:w="4199"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Valor</w:t>
            </w:r>
          </w:p>
        </w:tc>
      </w:tr>
      <w:tr>
        <w:trPr>
          <w:cantSplit w:val="true"/>
        </w:trPr>
        <w:tc>
          <w:tcPr>
            <w:tcW w:w="43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Média do VPL (IC 95% da média)</w:t>
            </w:r>
          </w:p>
        </w:tc>
        <w:tc>
          <w:tcPr>
            <w:tcW w:w="41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r>
              <w:rPr>
                <w:sz w:val="18"/>
              </w:rPr>
              <w:t>R$ 421.548 (−R$ 428.973 a −R$ 414.123)</w:t>
            </w:r>
          </w:p>
        </w:tc>
      </w:tr>
      <w:tr>
        <w:trPr>
          <w:cantSplit w:val="true"/>
        </w:trPr>
        <w:tc>
          <w:tcPr>
            <w:tcW w:w="43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Mediana; desvio-padrão; coeficiente de variação</w:t>
            </w:r>
          </w:p>
        </w:tc>
        <w:tc>
          <w:tcPr>
            <w:tcW w:w="41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r>
              <w:rPr>
                <w:sz w:val="18"/>
              </w:rPr>
              <w:t>R$ 417.245; R$ 378.808; 0,90</w:t>
            </w:r>
          </w:p>
        </w:tc>
      </w:tr>
      <w:tr>
        <w:trPr>
          <w:cantSplit w:val="true"/>
        </w:trPr>
        <w:tc>
          <w:tcPr>
            <w:tcW w:w="43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Percentis P5 / P50 / P95</w:t>
            </w:r>
          </w:p>
        </w:tc>
        <w:tc>
          <w:tcPr>
            <w:tcW w:w="41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r>
              <w:rPr>
                <w:sz w:val="18"/>
              </w:rPr>
              <w:t>R$ 1.056.753 / −R$ 417.245 / R$ 200.499</w:t>
            </w:r>
          </w:p>
        </w:tc>
      </w:tr>
      <w:tr>
        <w:trPr>
          <w:cantSplit w:val="true"/>
        </w:trPr>
        <w:tc>
          <w:tcPr>
            <w:tcW w:w="43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VaR 5% e CVaR 5% do VPL</w:t>
            </w:r>
          </w:p>
        </w:tc>
        <w:tc>
          <w:tcPr>
            <w:tcW w:w="41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r>
              <w:rPr>
                <w:sz w:val="18"/>
              </w:rPr>
              <w:t>R$ 1.056.753 e −R$ 1.205.674</w:t>
            </w:r>
          </w:p>
        </w:tc>
      </w:tr>
      <w:tr>
        <w:trPr>
          <w:cantSplit w:val="true"/>
        </w:trPr>
        <w:tc>
          <w:tcPr>
            <w:tcW w:w="43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P(VPL &gt; 0) = P(TIR &gt; TMA)</w:t>
            </w:r>
          </w:p>
        </w:tc>
        <w:tc>
          <w:tcPr>
            <w:tcW w:w="41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13,6%</w:t>
            </w:r>
          </w:p>
        </w:tc>
      </w:tr>
      <w:tr>
        <w:trPr>
          <w:cantSplit w:val="true"/>
        </w:trPr>
        <w:tc>
          <w:tcPr>
            <w:tcW w:w="43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TIR anual: P5 / P50 / P95</w:t>
            </w:r>
          </w:p>
        </w:tc>
        <w:tc>
          <w:tcPr>
            <w:tcW w:w="41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-8,0% / 2,9% / 13,5%</w:t>
            </w:r>
          </w:p>
        </w:tc>
      </w:tr>
      <w:tr>
        <w:trPr>
          <w:cantSplit w:val="true"/>
        </w:trPr>
        <w:tc>
          <w:tcPr>
            <w:tcW w:w="43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Índice EVTEAS: média; P(índice ≥ 0,60)</w:t>
            </w:r>
          </w:p>
        </w:tc>
        <w:tc>
          <w:tcPr>
            <w:tcW w:w="41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0,543; 26,1%</w:t>
            </w:r>
          </w:p>
        </w:tc>
      </w:tr>
      <w:tr>
        <w:trPr>
          <w:cantSplit w:val="true"/>
        </w:trPr>
        <w:tc>
          <w:tcPr>
            <w:tcW w:w="4300"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VPL do beneficiário: média; P(VPL &gt; 0)</w:t>
            </w:r>
          </w:p>
        </w:tc>
        <w:tc>
          <w:tcPr>
            <w:tcW w:w="41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R$ 134.059; 65,3%</w:t>
            </w:r>
          </w:p>
        </w:tc>
      </w:tr>
      <w:tr>
        <w:trPr>
          <w:cantSplit w:val="true"/>
        </w:trPr>
        <w:tc>
          <w:tcPr>
            <w:tcW w:w="4300" w:type="dxa"/>
            <w:tcBorders>
              <w:top w:val="single" w:sz="2" w:space="0" w:color="BFBFBF"/>
              <w:bottom w:val="single" w:sz="8" w:space="0" w:color="000000"/>
            </w:tcBorders>
            <w:vAlign w:val="center"/>
          </w:tcPr>
          <w:p>
            <w:pPr>
              <w:pStyle w:val="Normal"/>
              <w:spacing w:lineRule="auto" w:line="240" w:before="20" w:after="20"/>
              <w:ind w:hanging="0"/>
              <w:jc w:val="left"/>
              <w:rPr/>
            </w:pPr>
            <w:r>
              <w:rPr>
                <w:sz w:val="18"/>
              </w:rPr>
              <w:t>Erro-padrão da média com 10.000 iterações</w:t>
            </w:r>
          </w:p>
        </w:tc>
        <w:tc>
          <w:tcPr>
            <w:tcW w:w="4199"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R$ 3.788 (1,0% do desvio-padrão)</w:t>
            </w:r>
          </w:p>
        </w:tc>
      </w:tr>
    </w:tbl>
    <w:p>
      <w:pPr>
        <w:pStyle w:val="Caption"/>
        <w:ind w:hanging="0"/>
        <w:rPr/>
      </w:pPr>
      <w:r>
        <w:rPr>
          <w:sz w:val="18"/>
        </w:rPr>
        <w:t>Fonte: elaboração própria, a partir da execução do EVTEAS-Py 2.0 (seed 20260612).</w:t>
      </w:r>
    </w:p>
    <w:p>
      <w:pPr>
        <w:pStyle w:val="Normal"/>
        <w:spacing w:lineRule="auto" w:line="360" w:before="0" w:after="0"/>
        <w:ind w:firstLine="709"/>
        <w:jc w:val="both"/>
        <w:rPr/>
      </w:pPr>
      <w:r>
        <w:rPr>
          <w:sz w:val="24"/>
        </w:rPr>
        <w:t>O resultado mais relevante é o contraste entre a análise determinística e a estocástica. Embora o VPL calculado na moda das premissas seja positivo (R$ 38.470), a média do VPL simulado é −R$ 421.548 e a probabilidade de VPL positivo é de apenas 13,6%. A diferença decorre da assimetria das distribuições: mortalidade (5%, 10%, 20%), FCR (1,30; 1,50; 1,85), CAPEX (−30%, +50%) e custos fixos têm caudas mais longas no lado desfavorável, de modo que a média de cada premissa é pior que o seu valor mais provável. Um estudo de viabilidade baseado apenas no cenário mais provável, como os elaborados em planilhas, tende, portanto, a superestimar a viabilidade de projetos com riscos assimétricos.</w:t>
      </w:r>
    </w:p>
    <w:p>
      <w:pPr>
        <w:pStyle w:val="Normal"/>
        <w:spacing w:lineRule="auto" w:line="360" w:before="0" w:after="0"/>
        <w:ind w:firstLine="709"/>
        <w:jc w:val="both"/>
        <w:rPr/>
      </w:pPr>
      <w:r>
        <w:rPr>
          <w:sz w:val="24"/>
        </w:rPr>
        <w:t>A convergência foi verificada pela média acumulada e pelo erro-padrão (Figura 17). Com 10.000 iterações, o erro-padrão da média do VPL foi R$ 3.788, inferior a 1% do desvio-padrão. Na perspectiva da cooperativa, a probabilidade de VPL positivo sobe para 65,3%, o que confirma que o fomento reduz substancialmente o risco do beneficiário, mas não o elimina.</w:t>
      </w:r>
    </w:p>
    <w:p>
      <w:pPr>
        <w:pStyle w:val="Caption"/>
        <w:keepNext w:val="true"/>
        <w:spacing w:before="160" w:after="60"/>
        <w:ind w:hanging="0"/>
        <w:rPr/>
      </w:pPr>
      <w:r>
        <w:rPr>
          <w:b/>
          <w:sz w:val="18"/>
        </w:rPr>
        <w:t>Figura 16 – Distribuição e função de probabilidade acumulada do VPL</w:t>
      </w:r>
    </w:p>
    <w:p>
      <w:pPr>
        <w:pStyle w:val="Normal"/>
        <w:keepNext w:val="true"/>
        <w:spacing w:before="60" w:after="60"/>
        <w:ind w:hanging="0"/>
        <w:jc w:val="center"/>
        <w:rPr/>
      </w:pPr>
      <w:r>
        <w:rPr/>
        <w:drawing>
          <wp:inline distT="0" distB="0" distL="0" distR="0">
            <wp:extent cx="5219700" cy="1949450"/>
            <wp:effectExtent l="0" t="0" r="0" b="0"/>
            <wp:docPr id="18" name="Figura Rev187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 Rev187 6" descr=""/>
                    <pic:cNvPicPr>
                      <a:picLocks noChangeAspect="1" noChangeArrowheads="1"/>
                    </pic:cNvPicPr>
                  </pic:nvPicPr>
                  <pic:blipFill>
                    <a:blip r:embed="rId49"/>
                    <a:stretch>
                      <a:fillRect/>
                    </a:stretch>
                  </pic:blipFill>
                  <pic:spPr bwMode="auto">
                    <a:xfrm>
                      <a:off x="0" y="0"/>
                      <a:ext cx="5219700" cy="1949450"/>
                    </a:xfrm>
                    <a:prstGeom prst="rect">
                      <a:avLst/>
                    </a:prstGeom>
                  </pic:spPr>
                </pic:pic>
              </a:graphicData>
            </a:graphic>
          </wp:inline>
        </w:drawing>
      </w:r>
    </w:p>
    <w:p>
      <w:pPr>
        <w:pStyle w:val="Caption"/>
        <w:ind w:hanging="0"/>
        <w:rPr/>
      </w:pPr>
      <w:r>
        <w:rPr>
          <w:sz w:val="18"/>
        </w:rPr>
        <w:t>Fonte: elaboração própria, a partir da execução do EVTEAS-Py 2.0 (seed 20260612).</w:t>
      </w:r>
    </w:p>
    <w:p>
      <w:pPr>
        <w:pStyle w:val="Caption"/>
        <w:keepNext w:val="true"/>
        <w:spacing w:before="160" w:after="60"/>
        <w:ind w:hanging="0"/>
        <w:rPr/>
      </w:pPr>
      <w:r>
        <w:rPr>
          <w:b/>
          <w:sz w:val="18"/>
        </w:rPr>
        <w:t>Figura 17 – Convergência da média do VPL com intervalo de confiança de 95%</w:t>
      </w:r>
    </w:p>
    <w:p>
      <w:pPr>
        <w:pStyle w:val="Normal"/>
        <w:keepNext w:val="true"/>
        <w:spacing w:before="60" w:after="60"/>
        <w:ind w:hanging="0"/>
        <w:jc w:val="center"/>
        <w:rPr/>
      </w:pPr>
      <w:r>
        <w:rPr/>
        <w:drawing>
          <wp:inline distT="0" distB="0" distL="0" distR="0">
            <wp:extent cx="5219700" cy="2649855"/>
            <wp:effectExtent l="0" t="0" r="0" b="0"/>
            <wp:docPr id="19" name="Figura Rev187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 Rev187 7" descr=""/>
                    <pic:cNvPicPr>
                      <a:picLocks noChangeAspect="1" noChangeArrowheads="1"/>
                    </pic:cNvPicPr>
                  </pic:nvPicPr>
                  <pic:blipFill>
                    <a:blip r:embed="rId50"/>
                    <a:stretch>
                      <a:fillRect/>
                    </a:stretch>
                  </pic:blipFill>
                  <pic:spPr bwMode="auto">
                    <a:xfrm>
                      <a:off x="0" y="0"/>
                      <a:ext cx="5219700" cy="2649855"/>
                    </a:xfrm>
                    <a:prstGeom prst="rect">
                      <a:avLst/>
                    </a:prstGeom>
                  </pic:spPr>
                </pic:pic>
              </a:graphicData>
            </a:graphic>
          </wp:inline>
        </w:drawing>
      </w:r>
    </w:p>
    <w:p>
      <w:pPr>
        <w:pStyle w:val="Caption"/>
        <w:ind w:hanging="0"/>
        <w:rPr/>
      </w:pPr>
      <w:r>
        <w:rPr>
          <w:sz w:val="18"/>
        </w:rPr>
        <w:t>Fonte: elaboração própria, a partir da execução do EVTEAS-Py 2.0 (seed 20260612).</w:t>
      </w:r>
    </w:p>
    <w:p>
      <w:pPr>
        <w:pStyle w:val="Heading2"/>
        <w:pageBreakBefore w:val="false"/>
        <w:rPr/>
      </w:pPr>
      <w:r>
        <w:rPr>
          <w:rFonts w:ascii="Times New Roman" w:hAnsi="Times New Roman"/>
          <w:b w:val="false"/>
          <w:sz w:val="28"/>
        </w:rPr>
        <w:t>4.9 Análise de sensibilidade e identificação das variáveis críticas</w:t>
      </w:r>
    </w:p>
    <w:p>
      <w:pPr>
        <w:pStyle w:val="Normal"/>
        <w:spacing w:lineRule="auto" w:line="360" w:before="0" w:after="0"/>
        <w:ind w:firstLine="709"/>
        <w:jc w:val="both"/>
        <w:rPr/>
      </w:pPr>
      <w:r>
        <w:rPr>
          <w:sz w:val="24"/>
        </w:rPr>
        <w:t>A identificação das variáveis críticas combina quatro procedimentos complementares. A sensibilidade de um fator por vez varia cada premissa em ±10% e ±20%, mantendo as demais no caso-base. Os valores críticos são obtidos por bisseção e indicam o valor de cada variável que anula o VPL. A correlação de postos de Spearman entre as entradas amostradas e o VPL mede a importância de cada variável sob variação simultânea. Por fim, os cenários pessimista e otimista combinam os extremos desfavoráveis e favoráveis das distribuições.</w:t>
      </w:r>
    </w:p>
    <w:p>
      <w:pPr>
        <w:pStyle w:val="Caption"/>
        <w:keepNext w:val="true"/>
        <w:spacing w:before="160" w:after="60"/>
        <w:ind w:hanging="0"/>
        <w:rPr/>
      </w:pPr>
      <w:r>
        <w:rPr>
          <w:b/>
          <w:sz w:val="18"/>
        </w:rPr>
        <w:t>Código 10 – TIR com diagnóstico e valores críticos das premissas</w:t>
      </w:r>
    </w:p>
    <w:p>
      <w:pPr>
        <w:pStyle w:val="Normal"/>
        <w:shd w:fill="F2F2F2"/>
        <w:spacing w:lineRule="auto" w:line="240" w:before="40" w:after="40"/>
        <w:ind w:hanging="0" w:left="283" w:right="113"/>
        <w:jc w:val="left"/>
        <w:rPr/>
      </w:pPr>
      <w:r>
        <w:rPr>
          <w:rFonts w:ascii="Consolas" w:hAnsi="Consolas"/>
          <w:sz w:val="16"/>
        </w:rPr>
        <w:t>def tir(fluxos, lo: float = -0.90, hi: float = 1.0, pontos: int = 160,</w:t>
        <w:br/>
        <w:t xml:space="preserve">        iteracoes: int = 100) -&gt; Tuple[np.ndarray, np.ndarray]:</w:t>
        <w:br/>
        <w:t xml:space="preserve">    """TIR por varredura de malha + bisseção vetorizada, com diagnóstico explícito.</w:t>
        <w:br/>
        <w:br/>
        <w:t xml:space="preserve">    Retorna (taxa por período, diagnóstico). A taxa é ``nan`` quando não há raiz</w:t>
        <w:br/>
        <w:t xml:space="preserve">    no intervalo: nunca é forçada ao limite numérico (corrige a leitura de</w:t>
        <w:br/>
        <w:t xml:space="preserve">    -0,95 relatada na Rev. 186). Diagnósticos: ``convencional`` (uma raiz e uma</w:t>
        <w:br/>
        <w:t xml:space="preserve">    troca de sinal no fluxo), ``multiplas`` (mais de uma raiz na malha),</w:t>
        <w:br/>
        <w:t xml:space="preserve">    ``multiplas_possiveis`` (uma raiz, mas mais de uma troca de sinal —</w:t>
        <w:br/>
        <w:t xml:space="preserve">    regra de Descartes) e ``sem_solucao`` (o VPL não muda de sinal).</w:t>
        <w:br/>
        <w:t xml:space="preserve">    """</w:t>
        <w:br/>
        <w:t xml:space="preserve">    f = _2d(fluxos)</w:t>
        <w:br/>
        <w:t xml:space="preserve">    n = f.shape[0]</w:t>
        <w:br/>
        <w:t xml:space="preserve">    malha = np.unique(np.concatenate([np.linspace(lo, -0.5, 12), np.linspace(-0.5, hi, pontos)]))</w:t>
        <w:br/>
        <w:t xml:space="preserve">    valores = np.vstack([vpl(np.full(n, r), f) for r in malha]).T          # (n, pontos)</w:t>
        <w:br/>
        <w:t xml:space="preserve">    troca = (valores[:, :-1] * valores[:, 1:]) &lt;= 0</w:t>
        <w:br/>
        <w:t xml:space="preserve">    n_raizes = troca.sum(axis=1)</w:t>
        <w:br/>
        <w:t xml:space="preserve">    existe = n_raizes &gt; 0</w:t>
        <w:br/>
        <w:t xml:space="preserve">    k = np.where(existe, troca.argmax(axis=1), 0)</w:t>
        <w:br/>
        <w:t xml:space="preserve">    a, b = malha[k].astype(float), malha[k + 1].astype(float)</w:t>
        <w:br/>
        <w:t xml:space="preserve">    fa = valores[np.arange(n), k]</w:t>
        <w:br/>
        <w:t xml:space="preserve">    for _ in range(iteracoes):</w:t>
        <w:br/>
        <w:t xml:space="preserve">        m = (a + b) / 2</w:t>
        <w:br/>
        <w:t xml:space="preserve">        fm = vpl(m, f)</w:t>
        <w:br/>
        <w:t xml:space="preserve">        esquerda = (fa * fm) &lt;= 0</w:t>
        <w:br/>
        <w:t xml:space="preserve">        b = np.where(esquerda, m, b)</w:t>
        <w:br/>
        <w:t xml:space="preserve">        a = np.where(esquerda, a, m)</w:t>
        <w:br/>
        <w:t xml:space="preserve">        fa = np.where(esquerda, fa, fm)</w:t>
        <w:br/>
        <w:t xml:space="preserve">    raiz = np.where(existe, (a + b) / 2, np.nan)</w:t>
        <w:br/>
        <w:t xml:space="preserve">    trocas = trocas_de_sinal(f)</w:t>
        <w:br/>
        <w:t xml:space="preserve">    diag = np.where(~existe, "sem_solucao",</w:t>
        <w:br/>
        <w:t xml:space="preserve">                    np.where(n_raizes &gt; 1, "multiplas",</w:t>
        <w:br/>
        <w:t xml:space="preserve">                             np.where(trocas &gt; 1, "multiplas_possiveis", "convencional")))</w:t>
        <w:br/>
        <w:t xml:space="preserve">    return raiz, diag</w:t>
        <w:br/>
        <w:br/>
        <w:br/>
        <w:t>def valores_criticos(cfg: EVTEASConfig, variaveis: Optional[List[str]] = None) -&gt; pd.DataFrame:</w:t>
        <w:br/>
        <w:t xml:space="preserve">    """Valor de cada variável que zera o VPL (demais premissas no caso-base)."""</w:t>
        <w:br/>
        <w:t xml:space="preserve">    variaveis = variaveis or [v for v in VARIAVEIS_SENSIBILIDADE if v != "economico.tma_aa_pct"]</w:t>
        <w:br/>
        <w:t xml:space="preserve">    linhas = []</w:t>
        <w:br/>
        <w:t xml:space="preserve">    for var in variaveis:</w:t>
        <w:br/>
        <w:t xml:space="preserve">        x = float(obter_por_caminho(cfg, var))</w:t>
        <w:br/>
        <w:t xml:space="preserve">        a, b = 0.0, max(x * 5, 1.0)</w:t>
        <w:br/>
        <w:t xml:space="preserve">        fa, fb = _vpl_com(cfg, var, a), _vpl_com(cfg, var, b)</w:t>
        <w:br/>
        <w:t xml:space="preserve">        if var == "tecnico.mortalidade_pct":</w:t>
        <w:br/>
        <w:t xml:space="preserve">            b = 99.0</w:t>
        <w:br/>
        <w:t xml:space="preserve">            fb = _vpl_com(cfg, var, b)</w:t>
        <w:br/>
        <w:t xml:space="preserve">        critico = float("nan")</w:t>
        <w:br/>
        <w:t xml:space="preserve">        if fa * fb &lt;= 0:</w:t>
        <w:br/>
        <w:t xml:space="preserve">            for _ in range(80):</w:t>
        <w:br/>
        <w:t xml:space="preserve">                m = (a + b) / 2</w:t>
        <w:br/>
        <w:t xml:space="preserve">                fm = _vpl_com(cfg, var, m)</w:t>
        <w:br/>
        <w:t xml:space="preserve">                if fa * fm &lt;= 0:</w:t>
        <w:br/>
        <w:t xml:space="preserve">                    b, fb = m, fm</w:t>
        <w:br/>
        <w:t xml:space="preserve">                else:</w:t>
        <w:br/>
        <w:t xml:space="preserve">                    a, fa = m, fm</w:t>
        <w:br/>
        <w:t xml:space="preserve">            critico = (a + b) / 2</w:t>
        <w:br/>
        <w:t xml:space="preserve">        folga = (critico - x) / x if (x and np.isfinite(critico)) else float("nan")</w:t>
        <w:br/>
        <w:t xml:space="preserve">        linhas.append({"Variável": var, "Valor base": x, "Valor crítico (VPL = 0)": critico,</w:t>
        <w:br/>
        <w:t xml:space="preserve">                       "Folga relativa": folga})</w:t>
        <w:br/>
        <w:t xml:space="preserve">    return pd.DataFrame(linhas)</w:t>
      </w:r>
    </w:p>
    <w:p>
      <w:pPr>
        <w:pStyle w:val="Caption"/>
        <w:ind w:hanging="0"/>
        <w:rPr/>
      </w:pPr>
      <w:r>
        <w:rPr>
          <w:sz w:val="18"/>
        </w:rPr>
        <w:t>Fonte: elaboração própria, a partir do pacote evteas_py 2.0 (notebook EVTEAS_Py_Rev187).</w:t>
      </w:r>
    </w:p>
    <w:p>
      <w:pPr>
        <w:pStyle w:val="Caption"/>
        <w:keepNext w:val="true"/>
        <w:spacing w:before="160" w:after="60"/>
        <w:ind w:hanging="0"/>
        <w:rPr/>
      </w:pPr>
      <w:r>
        <w:rPr>
          <w:b/>
          <w:sz w:val="18"/>
        </w:rPr>
        <w:t>Tabela 6 – Sensibilidade, valores críticos e importância das variáveis</w:t>
      </w:r>
    </w:p>
    <w:tbl>
      <w:tblPr>
        <w:tblW w:w="8500" w:type="dxa"/>
        <w:jc w:val="center"/>
        <w:tblInd w:w="0" w:type="dxa"/>
        <w:tblLayout w:type="fixed"/>
        <w:tblCellMar>
          <w:top w:w="0" w:type="dxa"/>
          <w:left w:w="70" w:type="dxa"/>
          <w:bottom w:w="0" w:type="dxa"/>
          <w:right w:w="70" w:type="dxa"/>
        </w:tblCellMar>
        <w:tblLook w:val="04a0" w:noHBand="1" w:noVBand="1" w:firstColumn="0" w:lastRow="0" w:lastColumn="0" w:firstRow="1"/>
      </w:tblPr>
      <w:tblGrid>
        <w:gridCol w:w="2499"/>
        <w:gridCol w:w="1501"/>
        <w:gridCol w:w="1500"/>
        <w:gridCol w:w="1799"/>
        <w:gridCol w:w="1201"/>
      </w:tblGrid>
      <w:tr>
        <w:trPr>
          <w:tblHeader w:val="true"/>
          <w:cantSplit w:val="true"/>
        </w:trPr>
        <w:tc>
          <w:tcPr>
            <w:tcW w:w="2499" w:type="dxa"/>
            <w:tcBorders>
              <w:top w:val="single" w:sz="8" w:space="0" w:color="000000"/>
              <w:bottom w:val="single" w:sz="8" w:space="0" w:color="000000"/>
            </w:tcBorders>
            <w:vAlign w:val="center"/>
          </w:tcPr>
          <w:p>
            <w:pPr>
              <w:pStyle w:val="Normal"/>
              <w:spacing w:lineRule="auto" w:line="240" w:before="20" w:after="20"/>
              <w:ind w:hanging="0"/>
              <w:jc w:val="left"/>
              <w:rPr/>
            </w:pPr>
            <w:r>
              <w:rPr>
                <w:b/>
                <w:sz w:val="18"/>
              </w:rPr>
              <w:t>Variável</w:t>
            </w:r>
          </w:p>
        </w:tc>
        <w:tc>
          <w:tcPr>
            <w:tcW w:w="1501"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ΔVPL (−10%)</w:t>
            </w:r>
          </w:p>
        </w:tc>
        <w:tc>
          <w:tcPr>
            <w:tcW w:w="1500"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ΔVPL (+10%)</w:t>
            </w:r>
          </w:p>
        </w:tc>
        <w:tc>
          <w:tcPr>
            <w:tcW w:w="1799"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Valor crítico (VPL = 0)</w:t>
            </w:r>
          </w:p>
        </w:tc>
        <w:tc>
          <w:tcPr>
            <w:tcW w:w="1201"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Spearman (MC)</w:t>
            </w:r>
          </w:p>
        </w:tc>
      </w:tr>
      <w:tr>
        <w:trPr>
          <w:cantSplit w:val="true"/>
        </w:trPr>
        <w:tc>
          <w:tcPr>
            <w:tcW w:w="24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preco_venda_kg</w:t>
            </w:r>
          </w:p>
        </w:tc>
        <w:tc>
          <w:tcPr>
            <w:tcW w:w="15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r>
              <w:rPr>
                <w:sz w:val="18"/>
              </w:rPr>
              <w:t>R$ 520.816</w:t>
            </w:r>
          </w:p>
        </w:tc>
        <w:tc>
          <w:tcPr>
            <w:tcW w:w="15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R$ 520.816</w:t>
            </w:r>
          </w:p>
        </w:tc>
        <w:tc>
          <w:tcPr>
            <w:tcW w:w="17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10,422 (−0,7%)</w:t>
            </w:r>
          </w:p>
        </w:tc>
        <w:tc>
          <w:tcPr>
            <w:tcW w:w="1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0,635</w:t>
            </w:r>
          </w:p>
        </w:tc>
      </w:tr>
      <w:tr>
        <w:trPr>
          <w:cantSplit w:val="true"/>
        </w:trPr>
        <w:tc>
          <w:tcPr>
            <w:tcW w:w="24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custo_racao_kg</w:t>
            </w:r>
          </w:p>
        </w:tc>
        <w:tc>
          <w:tcPr>
            <w:tcW w:w="15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R$ 237.435</w:t>
            </w:r>
          </w:p>
        </w:tc>
        <w:tc>
          <w:tcPr>
            <w:tcW w:w="15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r>
              <w:rPr>
                <w:sz w:val="18"/>
              </w:rPr>
              <w:t>R$ 237.435</w:t>
            </w:r>
          </w:p>
        </w:tc>
        <w:tc>
          <w:tcPr>
            <w:tcW w:w="17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3,150 (+1,6%)</w:t>
            </w:r>
          </w:p>
        </w:tc>
        <w:tc>
          <w:tcPr>
            <w:tcW w:w="1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-0,350</w:t>
            </w:r>
          </w:p>
        </w:tc>
      </w:tr>
      <w:tr>
        <w:trPr>
          <w:cantSplit w:val="true"/>
        </w:trPr>
        <w:tc>
          <w:tcPr>
            <w:tcW w:w="24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fcr</w:t>
            </w:r>
          </w:p>
        </w:tc>
        <w:tc>
          <w:tcPr>
            <w:tcW w:w="15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R$ 237.435</w:t>
            </w:r>
          </w:p>
        </w:tc>
        <w:tc>
          <w:tcPr>
            <w:tcW w:w="15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r>
              <w:rPr>
                <w:sz w:val="18"/>
              </w:rPr>
              <w:t>R$ 237.435</w:t>
            </w:r>
          </w:p>
        </w:tc>
        <w:tc>
          <w:tcPr>
            <w:tcW w:w="17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1,524 (+1,6%)</w:t>
            </w:r>
          </w:p>
        </w:tc>
        <w:tc>
          <w:tcPr>
            <w:tcW w:w="1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-0,456</w:t>
            </w:r>
          </w:p>
        </w:tc>
      </w:tr>
      <w:tr>
        <w:trPr>
          <w:cantSplit w:val="true"/>
        </w:trPr>
        <w:tc>
          <w:tcPr>
            <w:tcW w:w="24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desempenho_crescimento_pct</w:t>
            </w:r>
          </w:p>
        </w:tc>
        <w:tc>
          <w:tcPr>
            <w:tcW w:w="15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r>
              <w:rPr>
                <w:sz w:val="18"/>
              </w:rPr>
              <w:t>R$ 231.312</w:t>
            </w:r>
          </w:p>
        </w:tc>
        <w:tc>
          <w:tcPr>
            <w:tcW w:w="15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R$ 231.312</w:t>
            </w:r>
          </w:p>
        </w:tc>
        <w:tc>
          <w:tcPr>
            <w:tcW w:w="17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98,337 (−1,7%)</w:t>
            </w:r>
          </w:p>
        </w:tc>
        <w:tc>
          <w:tcPr>
            <w:tcW w:w="1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0,232</w:t>
            </w:r>
          </w:p>
        </w:tc>
      </w:tr>
      <w:tr>
        <w:trPr>
          <w:cantSplit w:val="true"/>
        </w:trPr>
        <w:tc>
          <w:tcPr>
            <w:tcW w:w="24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custos_fixos_fator</w:t>
            </w:r>
          </w:p>
        </w:tc>
        <w:tc>
          <w:tcPr>
            <w:tcW w:w="15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R$ 147.498</w:t>
            </w:r>
          </w:p>
        </w:tc>
        <w:tc>
          <w:tcPr>
            <w:tcW w:w="15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r>
              <w:rPr>
                <w:sz w:val="18"/>
              </w:rPr>
              <w:t>R$ 147.498</w:t>
            </w:r>
          </w:p>
        </w:tc>
        <w:tc>
          <w:tcPr>
            <w:tcW w:w="17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1,026 (+2,6%)</w:t>
            </w:r>
          </w:p>
        </w:tc>
        <w:tc>
          <w:tcPr>
            <w:tcW w:w="1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-0,183</w:t>
            </w:r>
          </w:p>
        </w:tc>
      </w:tr>
      <w:tr>
        <w:trPr>
          <w:cantSplit w:val="true"/>
        </w:trPr>
        <w:tc>
          <w:tcPr>
            <w:tcW w:w="24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capex_fator</w:t>
            </w:r>
          </w:p>
        </w:tc>
        <w:tc>
          <w:tcPr>
            <w:tcW w:w="15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R$ 75.451</w:t>
            </w:r>
          </w:p>
        </w:tc>
        <w:tc>
          <w:tcPr>
            <w:tcW w:w="15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r>
              <w:rPr>
                <w:sz w:val="18"/>
              </w:rPr>
              <w:t>R$ 75.451</w:t>
            </w:r>
          </w:p>
        </w:tc>
        <w:tc>
          <w:tcPr>
            <w:tcW w:w="17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1,051 (+5,1%)</w:t>
            </w:r>
          </w:p>
        </w:tc>
        <w:tc>
          <w:tcPr>
            <w:tcW w:w="1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-0,315</w:t>
            </w:r>
          </w:p>
        </w:tc>
      </w:tr>
      <w:tr>
        <w:trPr>
          <w:cantSplit w:val="true"/>
        </w:trPr>
        <w:tc>
          <w:tcPr>
            <w:tcW w:w="24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tma_aa_pct</w:t>
            </w:r>
          </w:p>
        </w:tc>
        <w:tc>
          <w:tcPr>
            <w:tcW w:w="15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R$ 62.092</w:t>
            </w:r>
          </w:p>
        </w:tc>
        <w:tc>
          <w:tcPr>
            <w:tcW w:w="15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r>
              <w:rPr>
                <w:sz w:val="18"/>
              </w:rPr>
              <w:t>R$ 57.487</w:t>
            </w:r>
          </w:p>
        </w:tc>
        <w:tc>
          <w:tcPr>
            <w:tcW w:w="17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p>
        </w:tc>
        <w:tc>
          <w:tcPr>
            <w:tcW w:w="1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p>
        </w:tc>
      </w:tr>
      <w:tr>
        <w:trPr>
          <w:cantSplit w:val="true"/>
        </w:trPr>
        <w:tc>
          <w:tcPr>
            <w:tcW w:w="24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mortalidade_pct</w:t>
            </w:r>
          </w:p>
        </w:tc>
        <w:tc>
          <w:tcPr>
            <w:tcW w:w="15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R$ 25.701</w:t>
            </w:r>
          </w:p>
        </w:tc>
        <w:tc>
          <w:tcPr>
            <w:tcW w:w="15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r>
              <w:rPr>
                <w:sz w:val="18"/>
              </w:rPr>
              <w:t>R$ 25.701</w:t>
            </w:r>
          </w:p>
        </w:tc>
        <w:tc>
          <w:tcPr>
            <w:tcW w:w="17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11,497 (+15,0%)</w:t>
            </w:r>
          </w:p>
        </w:tc>
        <w:tc>
          <w:tcPr>
            <w:tcW w:w="1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-0,187</w:t>
            </w:r>
          </w:p>
        </w:tc>
      </w:tr>
      <w:tr>
        <w:trPr>
          <w:cantSplit w:val="true"/>
        </w:trPr>
        <w:tc>
          <w:tcPr>
            <w:tcW w:w="24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tarifa_energia_kwh</w:t>
            </w:r>
          </w:p>
        </w:tc>
        <w:tc>
          <w:tcPr>
            <w:tcW w:w="15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R$ 23.977</w:t>
            </w:r>
          </w:p>
        </w:tc>
        <w:tc>
          <w:tcPr>
            <w:tcW w:w="15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r>
              <w:rPr>
                <w:sz w:val="18"/>
              </w:rPr>
              <w:t>R$ 23.977</w:t>
            </w:r>
          </w:p>
        </w:tc>
        <w:tc>
          <w:tcPr>
            <w:tcW w:w="17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0,870 (+16,0%)</w:t>
            </w:r>
          </w:p>
        </w:tc>
        <w:tc>
          <w:tcPr>
            <w:tcW w:w="12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-0,060</w:t>
            </w:r>
          </w:p>
        </w:tc>
      </w:tr>
      <w:tr>
        <w:trPr>
          <w:cantSplit w:val="true"/>
        </w:trPr>
        <w:tc>
          <w:tcPr>
            <w:tcW w:w="2499" w:type="dxa"/>
            <w:tcBorders>
              <w:top w:val="single" w:sz="2" w:space="0" w:color="BFBFBF"/>
              <w:bottom w:val="single" w:sz="8" w:space="0" w:color="000000"/>
            </w:tcBorders>
            <w:vAlign w:val="center"/>
          </w:tcPr>
          <w:p>
            <w:pPr>
              <w:pStyle w:val="Normal"/>
              <w:spacing w:lineRule="auto" w:line="240" w:before="20" w:after="20"/>
              <w:ind w:hanging="0"/>
              <w:jc w:val="left"/>
              <w:rPr/>
            </w:pPr>
            <w:r>
              <w:rPr>
                <w:sz w:val="18"/>
              </w:rPr>
              <w:t>custo_alevino_milheiro</w:t>
            </w:r>
          </w:p>
        </w:tc>
        <w:tc>
          <w:tcPr>
            <w:tcW w:w="1501"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R$ 20.721</w:t>
            </w:r>
          </w:p>
        </w:tc>
        <w:tc>
          <w:tcPr>
            <w:tcW w:w="1500"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w:t>
            </w:r>
            <w:r>
              <w:rPr>
                <w:sz w:val="18"/>
              </w:rPr>
              <w:t>R$ 20.721</w:t>
            </w:r>
          </w:p>
        </w:tc>
        <w:tc>
          <w:tcPr>
            <w:tcW w:w="1799"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331,985 (+18,6%)</w:t>
            </w:r>
          </w:p>
        </w:tc>
        <w:tc>
          <w:tcPr>
            <w:tcW w:w="1201"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-0,045</w:t>
            </w:r>
          </w:p>
        </w:tc>
      </w:tr>
    </w:tbl>
    <w:p>
      <w:pPr>
        <w:pStyle w:val="Caption"/>
        <w:ind w:hanging="0"/>
        <w:rPr/>
      </w:pPr>
      <w:r>
        <w:rPr>
          <w:sz w:val="18"/>
        </w:rPr>
        <w:t>Fonte: elaboração própria, a partir da execução do EVTEAS-Py 2.0 (seed 20260612).</w:t>
      </w:r>
    </w:p>
    <w:p>
      <w:pPr>
        <w:pStyle w:val="Normal"/>
        <w:spacing w:lineRule="auto" w:line="360" w:before="0" w:after="0"/>
        <w:ind w:firstLine="709"/>
        <w:jc w:val="both"/>
        <w:rPr/>
      </w:pPr>
      <w:r>
        <w:rPr>
          <w:sz w:val="24"/>
        </w:rPr>
        <w:t>O preço de venda foi o fator de maior impacto: a variação de ±10% alterou o VPL em R$ 520.816, e o preço crítico de R$ 10,42/kg está apenas 0,7% abaixo do preço-base. FCR e custo da ração têm o mesmo efeito, pois entram no modelo como produto, e uma piora de 1,6% em qualquer um deles anula o VPL. A mortalidade, com valor crítico de 11,5%, tem efeito marginal menor, porque a perda de biomassa é parcialmente compensada pela economia de ração. A ordem de importância no Monte Carlo (Spearman de 0,635 para o preço, -0,456 para o FCR e -0,350 para a ração) confirma a sensibilidade determinística e indica onde concentrar a coleta de dados de mercado e o controle zootécnico.</w:t>
      </w:r>
    </w:p>
    <w:p>
      <w:pPr>
        <w:pStyle w:val="Normal"/>
        <w:spacing w:lineRule="auto" w:line="360" w:before="0" w:after="0"/>
        <w:ind w:firstLine="709"/>
        <w:jc w:val="both"/>
        <w:rPr/>
      </w:pPr>
      <w:r>
        <w:rPr>
          <w:sz w:val="24"/>
        </w:rPr>
        <w:t>Os cenários delimitam a faixa de resultados: no pessimista, o VPL é −R$ 2.629.811 e o índice 0,363; no otimista, R$ 1.783.926 e 0,830. A amplitude reforça que o caso-base está próximo do limiar de viabilidade e que a decisão depende de ações de mitigação de risco, como contratos de venda que estabilizem o preço e manejo alimentar que reduza o FCR.</w:t>
      </w:r>
    </w:p>
    <w:p>
      <w:pPr>
        <w:pStyle w:val="Caption"/>
        <w:keepNext w:val="true"/>
        <w:spacing w:before="160" w:after="60"/>
        <w:ind w:hanging="0"/>
        <w:rPr/>
      </w:pPr>
      <w:r>
        <w:rPr>
          <w:b/>
          <w:sz w:val="18"/>
        </w:rPr>
        <w:t>Figura 18 – Diagrama de tornado da sensibilidade do VPL a ±10%</w:t>
      </w:r>
    </w:p>
    <w:p>
      <w:pPr>
        <w:pStyle w:val="Normal"/>
        <w:keepNext w:val="true"/>
        <w:spacing w:before="60" w:after="60"/>
        <w:ind w:hanging="0"/>
        <w:jc w:val="center"/>
        <w:rPr/>
      </w:pPr>
      <w:r>
        <w:rPr/>
        <w:drawing>
          <wp:inline distT="0" distB="0" distL="0" distR="0">
            <wp:extent cx="5219700" cy="2706370"/>
            <wp:effectExtent l="0" t="0" r="0" b="0"/>
            <wp:docPr id="20" name="Figura Rev187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a Rev187 8" descr=""/>
                    <pic:cNvPicPr>
                      <a:picLocks noChangeAspect="1" noChangeArrowheads="1"/>
                    </pic:cNvPicPr>
                  </pic:nvPicPr>
                  <pic:blipFill>
                    <a:blip r:embed="rId51"/>
                    <a:stretch>
                      <a:fillRect/>
                    </a:stretch>
                  </pic:blipFill>
                  <pic:spPr bwMode="auto">
                    <a:xfrm>
                      <a:off x="0" y="0"/>
                      <a:ext cx="5219700" cy="2706370"/>
                    </a:xfrm>
                    <a:prstGeom prst="rect">
                      <a:avLst/>
                    </a:prstGeom>
                  </pic:spPr>
                </pic:pic>
              </a:graphicData>
            </a:graphic>
          </wp:inline>
        </w:drawing>
      </w:r>
    </w:p>
    <w:p>
      <w:pPr>
        <w:pStyle w:val="Caption"/>
        <w:ind w:hanging="0"/>
        <w:rPr/>
      </w:pPr>
      <w:r>
        <w:rPr>
          <w:sz w:val="18"/>
        </w:rPr>
        <w:t>Fonte: elaboração própria, a partir da execução do EVTEAS-Py 2.0 (seed 20260612).</w:t>
      </w:r>
    </w:p>
    <w:p>
      <w:pPr>
        <w:pStyle w:val="Normal"/>
        <w:spacing w:lineRule="auto" w:line="360" w:before="0" w:after="0"/>
        <w:ind w:firstLine="709"/>
        <w:jc w:val="both"/>
        <w:rPr/>
      </w:pPr>
      <w:r>
        <w:rPr>
          <w:sz w:val="24"/>
        </w:rPr>
        <w:t>Para examinar trade-offs entre dimensões, três alternativas de projeto foram comparadas por TOPSIS (Tabela 7 e Figura 19), com sete critérios: VPL, probabilidade de VPL positivo, OEE, pegada hídrica cinza, intensidade de carbono, LSO e RVL. A alternativa A é o caso-base. A alternativa B acrescenta energia solar e wetland construído para o tratamento de efluentes. A alternativa C intensifica a produção com maior aeração.</w:t>
      </w:r>
    </w:p>
    <w:p>
      <w:pPr>
        <w:pStyle w:val="Caption"/>
        <w:keepNext w:val="true"/>
        <w:spacing w:before="160" w:after="60"/>
        <w:ind w:hanging="0"/>
        <w:rPr/>
      </w:pPr>
      <w:r>
        <w:rPr>
          <w:b/>
          <w:sz w:val="18"/>
        </w:rPr>
        <w:t>Tabela 7 – Comparação de alternativas de projeto por TOPSIS</w:t>
      </w:r>
    </w:p>
    <w:tbl>
      <w:tblPr>
        <w:tblW w:w="8400" w:type="dxa"/>
        <w:jc w:val="center"/>
        <w:tblInd w:w="0" w:type="dxa"/>
        <w:tblLayout w:type="fixed"/>
        <w:tblCellMar>
          <w:top w:w="0" w:type="dxa"/>
          <w:left w:w="70" w:type="dxa"/>
          <w:bottom w:w="0" w:type="dxa"/>
          <w:right w:w="70" w:type="dxa"/>
        </w:tblCellMar>
        <w:tblLook w:val="04a0" w:noHBand="1" w:noVBand="1" w:firstColumn="0" w:lastRow="0" w:lastColumn="0" w:firstRow="1"/>
      </w:tblPr>
      <w:tblGrid>
        <w:gridCol w:w="899"/>
        <w:gridCol w:w="1300"/>
        <w:gridCol w:w="900"/>
        <w:gridCol w:w="1001"/>
        <w:gridCol w:w="899"/>
        <w:gridCol w:w="801"/>
        <w:gridCol w:w="799"/>
        <w:gridCol w:w="901"/>
        <w:gridCol w:w="899"/>
      </w:tblGrid>
      <w:tr>
        <w:trPr>
          <w:tblHeader w:val="true"/>
          <w:cantSplit w:val="true"/>
        </w:trPr>
        <w:tc>
          <w:tcPr>
            <w:tcW w:w="899" w:type="dxa"/>
            <w:tcBorders>
              <w:top w:val="single" w:sz="8" w:space="0" w:color="000000"/>
              <w:bottom w:val="single" w:sz="8" w:space="0" w:color="000000"/>
            </w:tcBorders>
            <w:vAlign w:val="center"/>
          </w:tcPr>
          <w:p>
            <w:pPr>
              <w:pStyle w:val="Normal"/>
              <w:spacing w:lineRule="auto" w:line="240" w:before="20" w:after="20"/>
              <w:ind w:hanging="0"/>
              <w:jc w:val="left"/>
              <w:rPr/>
            </w:pPr>
            <w:r>
              <w:rPr>
                <w:b/>
                <w:sz w:val="18"/>
              </w:rPr>
              <w:t>Alternativa</w:t>
            </w:r>
          </w:p>
        </w:tc>
        <w:tc>
          <w:tcPr>
            <w:tcW w:w="1300"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VPL</w:t>
            </w:r>
          </w:p>
        </w:tc>
        <w:tc>
          <w:tcPr>
            <w:tcW w:w="900"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P(VPL&gt;0)</w:t>
            </w:r>
          </w:p>
        </w:tc>
        <w:tc>
          <w:tcPr>
            <w:tcW w:w="1001"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PH cinza (m³/t)</w:t>
            </w:r>
          </w:p>
        </w:tc>
        <w:tc>
          <w:tcPr>
            <w:tcW w:w="899"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kgCO2e/kg</w:t>
            </w:r>
          </w:p>
        </w:tc>
        <w:tc>
          <w:tcPr>
            <w:tcW w:w="801"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RVL (%)</w:t>
            </w:r>
          </w:p>
        </w:tc>
        <w:tc>
          <w:tcPr>
            <w:tcW w:w="799"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Índice</w:t>
            </w:r>
          </w:p>
        </w:tc>
        <w:tc>
          <w:tcPr>
            <w:tcW w:w="901"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TOPSIS</w:t>
            </w:r>
          </w:p>
        </w:tc>
        <w:tc>
          <w:tcPr>
            <w:tcW w:w="899"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Posição</w:t>
            </w:r>
          </w:p>
        </w:tc>
      </w:tr>
      <w:tr>
        <w:trPr>
          <w:cantSplit w:val="true"/>
        </w:trPr>
        <w:tc>
          <w:tcPr>
            <w:tcW w:w="8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C</w:t>
            </w:r>
          </w:p>
        </w:tc>
        <w:tc>
          <w:tcPr>
            <w:tcW w:w="1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R$ 619.934</w:t>
            </w:r>
          </w:p>
        </w:tc>
        <w:tc>
          <w:tcPr>
            <w:tcW w:w="9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46,0%</w:t>
            </w:r>
          </w:p>
        </w:tc>
        <w:tc>
          <w:tcPr>
            <w:tcW w:w="10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38.295</w:t>
            </w:r>
          </w:p>
        </w:tc>
        <w:tc>
          <w:tcPr>
            <w:tcW w:w="8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1,69</w:t>
            </w:r>
          </w:p>
        </w:tc>
        <w:tc>
          <w:tcPr>
            <w:tcW w:w="8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35,9</w:t>
            </w:r>
          </w:p>
        </w:tc>
        <w:tc>
          <w:tcPr>
            <w:tcW w:w="7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0,736</w:t>
            </w:r>
          </w:p>
        </w:tc>
        <w:tc>
          <w:tcPr>
            <w:tcW w:w="9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0,801</w:t>
            </w:r>
          </w:p>
        </w:tc>
        <w:tc>
          <w:tcPr>
            <w:tcW w:w="8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1º</w:t>
            </w:r>
          </w:p>
        </w:tc>
      </w:tr>
      <w:tr>
        <w:trPr>
          <w:cantSplit w:val="true"/>
        </w:trPr>
        <w:tc>
          <w:tcPr>
            <w:tcW w:w="8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B</w:t>
            </w:r>
          </w:p>
        </w:tc>
        <w:tc>
          <w:tcPr>
            <w:tcW w:w="13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R$ 158.852</w:t>
            </w:r>
          </w:p>
        </w:tc>
        <w:tc>
          <w:tcPr>
            <w:tcW w:w="9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21,2%</w:t>
            </w:r>
          </w:p>
        </w:tc>
        <w:tc>
          <w:tcPr>
            <w:tcW w:w="10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19.167</w:t>
            </w:r>
          </w:p>
        </w:tc>
        <w:tc>
          <w:tcPr>
            <w:tcW w:w="8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1,60</w:t>
            </w:r>
          </w:p>
        </w:tc>
        <w:tc>
          <w:tcPr>
            <w:tcW w:w="8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39,5</w:t>
            </w:r>
          </w:p>
        </w:tc>
        <w:tc>
          <w:tcPr>
            <w:tcW w:w="7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0,687</w:t>
            </w:r>
          </w:p>
        </w:tc>
        <w:tc>
          <w:tcPr>
            <w:tcW w:w="9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0,294</w:t>
            </w:r>
          </w:p>
        </w:tc>
        <w:tc>
          <w:tcPr>
            <w:tcW w:w="899"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2º</w:t>
            </w:r>
          </w:p>
        </w:tc>
      </w:tr>
      <w:tr>
        <w:trPr>
          <w:cantSplit w:val="true"/>
        </w:trPr>
        <w:tc>
          <w:tcPr>
            <w:tcW w:w="899" w:type="dxa"/>
            <w:tcBorders>
              <w:top w:val="single" w:sz="2" w:space="0" w:color="BFBFBF"/>
              <w:bottom w:val="single" w:sz="8" w:space="0" w:color="000000"/>
            </w:tcBorders>
            <w:vAlign w:val="center"/>
          </w:tcPr>
          <w:p>
            <w:pPr>
              <w:pStyle w:val="Normal"/>
              <w:spacing w:lineRule="auto" w:line="240" w:before="20" w:after="20"/>
              <w:ind w:hanging="0"/>
              <w:jc w:val="left"/>
              <w:rPr/>
            </w:pPr>
            <w:r>
              <w:rPr>
                <w:sz w:val="18"/>
              </w:rPr>
              <w:t>A</w:t>
            </w:r>
          </w:p>
        </w:tc>
        <w:tc>
          <w:tcPr>
            <w:tcW w:w="1300"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R$ 38.470</w:t>
            </w:r>
          </w:p>
        </w:tc>
        <w:tc>
          <w:tcPr>
            <w:tcW w:w="900"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13,6%</w:t>
            </w:r>
          </w:p>
        </w:tc>
        <w:tc>
          <w:tcPr>
            <w:tcW w:w="1001"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38.333</w:t>
            </w:r>
          </w:p>
        </w:tc>
        <w:tc>
          <w:tcPr>
            <w:tcW w:w="899"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1,65</w:t>
            </w:r>
          </w:p>
        </w:tc>
        <w:tc>
          <w:tcPr>
            <w:tcW w:w="801"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38,9</w:t>
            </w:r>
          </w:p>
        </w:tc>
        <w:tc>
          <w:tcPr>
            <w:tcW w:w="799"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0,652</w:t>
            </w:r>
          </w:p>
        </w:tc>
        <w:tc>
          <w:tcPr>
            <w:tcW w:w="901"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0,034</w:t>
            </w:r>
          </w:p>
        </w:tc>
        <w:tc>
          <w:tcPr>
            <w:tcW w:w="899"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3º</w:t>
            </w:r>
          </w:p>
        </w:tc>
      </w:tr>
    </w:tbl>
    <w:p>
      <w:pPr>
        <w:pStyle w:val="Caption"/>
        <w:ind w:hanging="0"/>
        <w:rPr/>
      </w:pPr>
      <w:r>
        <w:rPr>
          <w:sz w:val="18"/>
        </w:rPr>
        <w:t>Fonte: elaboração própria, a partir da execução do EVTEAS-Py 2.0 (seed 20260612).</w:t>
      </w:r>
    </w:p>
    <w:p>
      <w:pPr>
        <w:pStyle w:val="Normal"/>
        <w:spacing w:lineRule="auto" w:line="360" w:before="0" w:after="0"/>
        <w:ind w:firstLine="709"/>
        <w:jc w:val="both"/>
        <w:rPr/>
      </w:pPr>
      <w:r>
        <w:rPr>
          <w:sz w:val="24"/>
        </w:rPr>
        <w:t>A intensificação (C) obteve a maior proximidade à solução ideal (0,801), porque dilui custos fixos e eleva o VPL para R$ 619.934. A alternativa B reduziu a pegada hídrica cinza à metade (19.167 m³/t) e aumentou o VPL em relação ao caso-base, pela economia de energia. Nenhuma das alternativas, entretanto, atingiu probabilidade de VPL positivo de 70%; a maior foi a de C, com 46,0%. O resultado ilustra a função do framework: em vez de declarar uma alternativa ótima, ele explicita o que se ganha e o que se perde em cada dimensão e permite combinar soluções, como intensificar com tratamento de efluentes.</w:t>
      </w:r>
    </w:p>
    <w:p>
      <w:pPr>
        <w:pStyle w:val="Caption"/>
        <w:keepNext w:val="true"/>
        <w:spacing w:before="160" w:after="60"/>
        <w:ind w:hanging="0"/>
        <w:rPr/>
      </w:pPr>
      <w:r>
        <w:rPr>
          <w:b/>
          <w:sz w:val="18"/>
        </w:rPr>
        <w:t>Figura 19 – Proximidade relativa à solução ideal das alternativas de projeto</w:t>
      </w:r>
    </w:p>
    <w:p>
      <w:pPr>
        <w:pStyle w:val="Normal"/>
        <w:keepNext w:val="true"/>
        <w:spacing w:before="60" w:after="60"/>
        <w:ind w:hanging="0"/>
        <w:jc w:val="center"/>
        <w:rPr/>
      </w:pPr>
      <w:r>
        <w:rPr/>
        <w:drawing>
          <wp:inline distT="0" distB="0" distL="0" distR="0">
            <wp:extent cx="5219700" cy="2343150"/>
            <wp:effectExtent l="0" t="0" r="0" b="0"/>
            <wp:docPr id="21" name="Figura Rev187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a Rev187 9" descr=""/>
                    <pic:cNvPicPr>
                      <a:picLocks noChangeAspect="1" noChangeArrowheads="1"/>
                    </pic:cNvPicPr>
                  </pic:nvPicPr>
                  <pic:blipFill>
                    <a:blip r:embed="rId52"/>
                    <a:stretch>
                      <a:fillRect/>
                    </a:stretch>
                  </pic:blipFill>
                  <pic:spPr bwMode="auto">
                    <a:xfrm>
                      <a:off x="0" y="0"/>
                      <a:ext cx="5219700" cy="2343150"/>
                    </a:xfrm>
                    <a:prstGeom prst="rect">
                      <a:avLst/>
                    </a:prstGeom>
                  </pic:spPr>
                </pic:pic>
              </a:graphicData>
            </a:graphic>
          </wp:inline>
        </w:drawing>
      </w:r>
    </w:p>
    <w:p>
      <w:pPr>
        <w:pStyle w:val="Caption"/>
        <w:ind w:hanging="0"/>
        <w:rPr/>
      </w:pPr>
      <w:r>
        <w:rPr>
          <w:sz w:val="18"/>
        </w:rPr>
        <w:t>Fonte: elaboração própria, a partir da execução do EVTEAS-Py 2.0 (seed 20260612).</w:t>
      </w:r>
    </w:p>
    <w:p>
      <w:pPr>
        <w:pStyle w:val="Heading2"/>
        <w:pageBreakBefore w:val="false"/>
        <w:rPr/>
      </w:pPr>
      <w:r>
        <w:rPr>
          <w:rFonts w:ascii="Times New Roman" w:hAnsi="Times New Roman"/>
          <w:b w:val="false"/>
          <w:sz w:val="28"/>
        </w:rPr>
        <w:t>4.10 Verificação computacional e V&amp;V</w:t>
      </w:r>
    </w:p>
    <w:p>
      <w:pPr>
        <w:pStyle w:val="Normal"/>
        <w:spacing w:lineRule="auto" w:line="360" w:before="0" w:after="0"/>
        <w:ind w:firstLine="709"/>
        <w:jc w:val="both"/>
        <w:rPr/>
      </w:pPr>
      <w:r>
        <w:rPr>
          <w:sz w:val="24"/>
        </w:rPr>
        <w:t>A verificação foi conduzida em duas camadas. A função validar_invariantes() executa 28 verificações a cada execução: limites de OEE, índices e scores; identidade OEE = disponibilidade × performance × qualidade; ração = FCR × ganho de biomassa; quatro identidades da DRE; fluxo de caixa operacional = resultado + depreciação; recálculo independente do VPL; VPL nulo na TIR; coerência entre paybacks; balanços de nitrogênio e fósforo; soma unitária dos pesos; coerência do status da ecoeficiência; e consistência estatística do Monte Carlo. No caso-base, todas foram aprovadas.</w:t>
      </w:r>
    </w:p>
    <w:p>
      <w:pPr>
        <w:pStyle w:val="Normal"/>
        <w:spacing w:lineRule="auto" w:line="360" w:before="0" w:after="0"/>
        <w:ind w:firstLine="709"/>
        <w:jc w:val="both"/>
        <w:rPr/>
      </w:pPr>
      <w:r>
        <w:rPr>
          <w:sz w:val="24"/>
        </w:rPr>
        <w:t>A segunda camada é uma suíte de 45 testes automatizados (pytest), executada fora do pipeline. Os testes comparam VPL e TIR com a biblioteca numpy-financial, verificam casos com solução analítica conhecida (inclusive fluxos sem TIR e com duas TIR), conferem o cálculo manual da pegada hídrica cinza, os vetos, a normalização, os pesos Likert e AHP, o TOPSIS, a reprodutibilidade por seed, a exportação e o wizard com respostas simuladas. Um teste central verifica que, com distribuições degeneradas na moda, o Monte Carlo reproduz exatamente o resultado determinístico. A cobertura de código medida foi de 93% das instruções, métrica de testabilidade prevista na Seção 3.4.</w:t>
      </w:r>
    </w:p>
    <w:p>
      <w:pPr>
        <w:pStyle w:val="Caption"/>
        <w:spacing w:before="160" w:after="60"/>
        <w:ind w:hanging="0"/>
        <w:rPr/>
      </w:pPr>
      <w:r>
        <w:rPr>
          <w:b/>
          <w:sz w:val="18"/>
        </w:rPr>
        <w:t>Código 11 – Verificação por invariantes (trecho)</w:t>
      </w:r>
    </w:p>
    <w:p>
      <w:pPr>
        <w:pStyle w:val="Normal"/>
        <w:shd w:fill="F2F2F2"/>
        <w:spacing w:lineRule="auto" w:line="240" w:before="40" w:after="40"/>
        <w:ind w:hanging="0" w:left="283" w:right="113"/>
        <w:jc w:val="left"/>
        <w:rPr/>
      </w:pPr>
      <w:r>
        <w:rPr>
          <w:rFonts w:ascii="Consolas" w:hAnsi="Consolas"/>
          <w:sz w:val="16"/>
        </w:rPr>
        <w:t>def validar_invariantes(cfg: EVTEASConfig, resultado: Dict[str, Any], bruto: Dict[str, Any] = None) -&gt; Dict[str, Any]:</w:t>
        <w:br/>
        <w:t xml:space="preserve">    checks: List[Dict[str, Any]] = []</w:t>
        <w:br/>
        <w:br/>
        <w:t xml:space="preserve">    def chk(nome: str, ok: bool, detalhe: str = ""):</w:t>
        <w:br/>
        <w:t xml:space="preserve">        checks.append({"Verificação": nome, "Aprovada": bool(ok), "Detalhe": detalhe})</w:t>
        <w:br/>
        <w:br/>
        <w:t xml:space="preserve">    t, e, a, s, i = (resultado["tecnico"], resultado["economico"], resultado["ambiental"],</w:t>
        <w:br/>
        <w:t xml:space="preserve">                     resultado["social"], resultado["indice"])</w:t>
        <w:br/>
        <w:t xml:space="preserve">    chk("OEE em [0, 1]", 0 &lt;= t["oee"] &lt;= 1, f"OEE = {t['oee']:.4f}")</w:t>
        <w:br/>
        <w:t xml:space="preserve">    chk("OEE = Disponibilidade × Performance × Qualidade",</w:t>
        <w:br/>
        <w:t xml:space="preserve">        abs(t["oee"] - t["disponibilidade"] * t["performance"] * t["qualidade"]) &lt; 1e-12)</w:t>
        <w:br/>
        <w:t xml:space="preserve">    chk("FCR não negativo", t["fcr"] &gt;= 0)</w:t>
        <w:br/>
        <w:t xml:space="preserve">    chk("Ciclos/ano compatíveis com a duração do ciclo",</w:t>
        <w:br/>
        <w:t xml:space="preserve">        cfg.tecnico.ciclos_ano &lt;= 365 / max(cfg.tecnico.ciclo_dias, 1) + 1e-9,</w:t>
        <w:br/>
        <w:t xml:space="preserve">        f"{cfg.tecnico.ciclos_ano} ≤ {365 / cfg.tecnico.ciclo_dias:.2f}")</w:t>
        <w:br/>
        <w:t xml:space="preserve">    chk("Biomassa de despesca ≤ capacidade de suporte",</w:t>
        <w:br/>
        <w:t xml:space="preserve">        t["biomassa_despesca_ciclo_kg"] &lt;= t["volume_util_m3"] * t["capacidade_suporte_kg_m3"] * t["disponibilidade"] + 1e-6)</w:t>
        <w:br/>
        <w:t xml:space="preserve">    chk("Ração = FCR × ganho de biomassa", abs(t["racao_ciclo_kg"] - t["fcr"] * t["ganho_biomassa_ciclo_kg"]) &lt; 1e-6)</w:t>
        <w:br/>
        <w:br/>
        <w:t xml:space="preserve">    df = resultado["dre_mensal"]</w:t>
        <w:br/>
        <w:t xml:space="preserve">    close = lambda x, y: bool(np.allclose(x, y, rtol=1e-9, atol=1e-6))</w:t>
        <w:br/>
        <w:t xml:space="preserve">    chk("DRE: Receita Líquida = Receita Bruta − Impostos s/ Faturamento",</w:t>
        <w:br/>
        <w:t xml:space="preserve">    # (...)</w:t>
      </w:r>
    </w:p>
    <w:p>
      <w:pPr>
        <w:pStyle w:val="Caption"/>
        <w:ind w:hanging="0"/>
        <w:rPr/>
      </w:pPr>
      <w:r>
        <w:rPr>
          <w:sz w:val="18"/>
        </w:rPr>
        <w:t>Fonte: elaboração própria, a partir do pacote evteas_py 2.0 (notebook EVTEAS_Py_Rev187).</w:t>
      </w:r>
    </w:p>
    <w:p>
      <w:pPr>
        <w:pStyle w:val="Normal"/>
        <w:spacing w:lineRule="auto" w:line="360" w:before="0" w:after="0"/>
        <w:ind w:firstLine="709"/>
        <w:jc w:val="both"/>
        <w:rPr/>
      </w:pPr>
      <w:r>
        <w:rPr>
          <w:sz w:val="24"/>
        </w:rPr>
        <w:t>Como teste de regressão, o preset da Rev. 186 foi reproduzido no novo motor (Tabela 8). As diferenças são explicadas pelas correções: a produção é ligeiramente menor porque a qualidade passou a ser a sobrevivência e a estocagem é dimensionada; a média do Monte Carlo passou a ficar abaixo do VPL determinístico, como esperado com distribuições assimétricas desfavoráveis, ao passo que na Rev. 186 ficava acima, sintoma do uso de modelos diferentes nas duas camadas; a TIR deixou de ser reportada como −0,95; e a ecoeficiência deixou de ser zerada, pois o valor adicionado permanece positivo mesmo com prejuízo. A conclusão de inviabilidade foi preservada.</w:t>
      </w:r>
    </w:p>
    <w:p>
      <w:pPr>
        <w:pStyle w:val="Caption"/>
        <w:keepNext w:val="true"/>
        <w:spacing w:before="160" w:after="60"/>
        <w:ind w:hanging="0"/>
        <w:rPr/>
      </w:pPr>
      <w:r>
        <w:rPr>
          <w:b/>
          <w:sz w:val="18"/>
        </w:rPr>
        <w:t>Tabela 8 – Regressão do preset legado: Rev. 186 versus Rev. 187</w:t>
      </w:r>
    </w:p>
    <w:tbl>
      <w:tblPr>
        <w:tblW w:w="8500" w:type="dxa"/>
        <w:jc w:val="center"/>
        <w:tblInd w:w="0" w:type="dxa"/>
        <w:tblLayout w:type="fixed"/>
        <w:tblCellMar>
          <w:top w:w="0" w:type="dxa"/>
          <w:left w:w="70" w:type="dxa"/>
          <w:bottom w:w="0" w:type="dxa"/>
          <w:right w:w="70" w:type="dxa"/>
        </w:tblCellMar>
        <w:tblLook w:val="04a0" w:noHBand="1" w:noVBand="1" w:firstColumn="0" w:lastRow="0" w:lastColumn="0" w:firstRow="1"/>
      </w:tblPr>
      <w:tblGrid>
        <w:gridCol w:w="3099"/>
        <w:gridCol w:w="2701"/>
        <w:gridCol w:w="2700"/>
      </w:tblGrid>
      <w:tr>
        <w:trPr>
          <w:tblHeader w:val="true"/>
          <w:cantSplit w:val="true"/>
        </w:trPr>
        <w:tc>
          <w:tcPr>
            <w:tcW w:w="3099" w:type="dxa"/>
            <w:tcBorders>
              <w:top w:val="single" w:sz="8" w:space="0" w:color="000000"/>
              <w:bottom w:val="single" w:sz="8" w:space="0" w:color="000000"/>
            </w:tcBorders>
            <w:vAlign w:val="center"/>
          </w:tcPr>
          <w:p>
            <w:pPr>
              <w:pStyle w:val="Normal"/>
              <w:spacing w:lineRule="auto" w:line="240" w:before="20" w:after="20"/>
              <w:ind w:hanging="0"/>
              <w:jc w:val="left"/>
              <w:rPr/>
            </w:pPr>
            <w:r>
              <w:rPr>
                <w:b/>
                <w:sz w:val="18"/>
              </w:rPr>
              <w:t>Resultado do preset legado</w:t>
            </w:r>
          </w:p>
        </w:tc>
        <w:tc>
          <w:tcPr>
            <w:tcW w:w="2701"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Rev. 186 (notebook master)</w:t>
            </w:r>
          </w:p>
        </w:tc>
        <w:tc>
          <w:tcPr>
            <w:tcW w:w="2700" w:type="dxa"/>
            <w:tcBorders>
              <w:top w:val="single" w:sz="8" w:space="0" w:color="000000"/>
              <w:bottom w:val="single" w:sz="8" w:space="0" w:color="000000"/>
            </w:tcBorders>
            <w:vAlign w:val="center"/>
          </w:tcPr>
          <w:p>
            <w:pPr>
              <w:pStyle w:val="Normal"/>
              <w:spacing w:lineRule="auto" w:line="240" w:before="20" w:after="20"/>
              <w:ind w:hanging="0"/>
              <w:jc w:val="center"/>
              <w:rPr/>
            </w:pPr>
            <w:r>
              <w:rPr>
                <w:b/>
                <w:sz w:val="18"/>
              </w:rPr>
              <w:t>Rev. 187 (EVTEAS-Py 2.0)</w:t>
            </w:r>
          </w:p>
        </w:tc>
      </w:tr>
      <w:tr>
        <w:trPr>
          <w:cantSplit w:val="true"/>
        </w:trPr>
        <w:tc>
          <w:tcPr>
            <w:tcW w:w="30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Produção anual (kg)</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15.456</w:t>
            </w:r>
          </w:p>
        </w:tc>
        <w:tc>
          <w:tcPr>
            <w:tcW w:w="2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15.120</w:t>
            </w:r>
          </w:p>
        </w:tc>
      </w:tr>
      <w:tr>
        <w:trPr>
          <w:cantSplit w:val="true"/>
        </w:trPr>
        <w:tc>
          <w:tcPr>
            <w:tcW w:w="30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OEE</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0,828</w:t>
            </w:r>
          </w:p>
        </w:tc>
        <w:tc>
          <w:tcPr>
            <w:tcW w:w="2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0,828</w:t>
            </w:r>
          </w:p>
        </w:tc>
      </w:tr>
      <w:tr>
        <w:trPr>
          <w:cantSplit w:val="true"/>
        </w:trPr>
        <w:tc>
          <w:tcPr>
            <w:tcW w:w="30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VPL determinístico</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r>
              <w:rPr>
                <w:sz w:val="18"/>
              </w:rPr>
              <w:t>R$ 6,206 milhões</w:t>
            </w:r>
          </w:p>
        </w:tc>
        <w:tc>
          <w:tcPr>
            <w:tcW w:w="2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r>
              <w:rPr>
                <w:sz w:val="18"/>
              </w:rPr>
              <w:t>R$ 6,303 milhões</w:t>
            </w:r>
          </w:p>
        </w:tc>
      </w:tr>
      <w:tr>
        <w:trPr>
          <w:cantSplit w:val="true"/>
        </w:trPr>
        <w:tc>
          <w:tcPr>
            <w:tcW w:w="30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Média do VPL no Monte Carlo</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r>
              <w:rPr>
                <w:sz w:val="18"/>
              </w:rPr>
              <w:t>R$ 6,022 milhões</w:t>
            </w:r>
          </w:p>
        </w:tc>
        <w:tc>
          <w:tcPr>
            <w:tcW w:w="2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r>
              <w:rPr>
                <w:sz w:val="18"/>
              </w:rPr>
              <w:t>R$ 6,434 milhões</w:t>
            </w:r>
          </w:p>
        </w:tc>
      </w:tr>
      <w:tr>
        <w:trPr>
          <w:cantSplit w:val="true"/>
        </w:trPr>
        <w:tc>
          <w:tcPr>
            <w:tcW w:w="30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Relação média MC × determinístico</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média acima do determinístico</w:t>
            </w:r>
          </w:p>
        </w:tc>
        <w:tc>
          <w:tcPr>
            <w:tcW w:w="2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média abaixo do determinístico</w:t>
            </w:r>
          </w:p>
        </w:tc>
      </w:tr>
      <w:tr>
        <w:trPr>
          <w:cantSplit w:val="true"/>
        </w:trPr>
        <w:tc>
          <w:tcPr>
            <w:tcW w:w="30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TIR</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w:t>
            </w:r>
            <w:r>
              <w:rPr>
                <w:sz w:val="18"/>
              </w:rPr>
              <w:t>0,95 (limite da bisseção)</w:t>
            </w:r>
          </w:p>
        </w:tc>
        <w:tc>
          <w:tcPr>
            <w:tcW w:w="2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indefinida (sem_solucao)</w:t>
            </w:r>
          </w:p>
        </w:tc>
      </w:tr>
      <w:tr>
        <w:trPr>
          <w:cantSplit w:val="true"/>
        </w:trPr>
        <w:tc>
          <w:tcPr>
            <w:tcW w:w="30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Ecoeficiência</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0 (numerador zerado)</w:t>
            </w:r>
          </w:p>
        </w:tc>
        <w:tc>
          <w:tcPr>
            <w:tcW w:w="2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definida (valor adicionado &gt; 0)</w:t>
            </w:r>
          </w:p>
        </w:tc>
      </w:tr>
      <w:tr>
        <w:trPr>
          <w:cantSplit w:val="true"/>
        </w:trPr>
        <w:tc>
          <w:tcPr>
            <w:tcW w:w="3099" w:type="dxa"/>
            <w:tcBorders>
              <w:top w:val="single" w:sz="2" w:space="0" w:color="BFBFBF"/>
              <w:bottom w:val="single" w:sz="2" w:space="0" w:color="BFBFBF"/>
            </w:tcBorders>
            <w:vAlign w:val="center"/>
          </w:tcPr>
          <w:p>
            <w:pPr>
              <w:pStyle w:val="Normal"/>
              <w:spacing w:lineRule="auto" w:line="240" w:before="20" w:after="20"/>
              <w:ind w:hanging="0"/>
              <w:jc w:val="left"/>
              <w:rPr/>
            </w:pPr>
            <w:r>
              <w:rPr>
                <w:sz w:val="18"/>
              </w:rPr>
              <w:t>Pegada hídrica cinza (m³/t)</w:t>
            </w:r>
          </w:p>
        </w:tc>
        <w:tc>
          <w:tcPr>
            <w:tcW w:w="2701"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100.000</w:t>
            </w:r>
          </w:p>
        </w:tc>
        <w:tc>
          <w:tcPr>
            <w:tcW w:w="2700" w:type="dxa"/>
            <w:tcBorders>
              <w:top w:val="single" w:sz="2" w:space="0" w:color="BFBFBF"/>
              <w:bottom w:val="single" w:sz="2" w:space="0" w:color="BFBFBF"/>
            </w:tcBorders>
            <w:vAlign w:val="center"/>
          </w:tcPr>
          <w:p>
            <w:pPr>
              <w:pStyle w:val="Normal"/>
              <w:spacing w:lineRule="auto" w:line="240" w:before="20" w:after="20"/>
              <w:ind w:hanging="0"/>
              <w:jc w:val="center"/>
              <w:rPr/>
            </w:pPr>
            <w:r>
              <w:rPr>
                <w:sz w:val="18"/>
              </w:rPr>
              <w:t>43.274</w:t>
            </w:r>
          </w:p>
        </w:tc>
      </w:tr>
      <w:tr>
        <w:trPr>
          <w:cantSplit w:val="true"/>
        </w:trPr>
        <w:tc>
          <w:tcPr>
            <w:tcW w:w="3099" w:type="dxa"/>
            <w:tcBorders>
              <w:top w:val="single" w:sz="2" w:space="0" w:color="BFBFBF"/>
              <w:bottom w:val="single" w:sz="8" w:space="0" w:color="000000"/>
            </w:tcBorders>
            <w:vAlign w:val="center"/>
          </w:tcPr>
          <w:p>
            <w:pPr>
              <w:pStyle w:val="Normal"/>
              <w:spacing w:lineRule="auto" w:line="240" w:before="20" w:after="20"/>
              <w:ind w:hanging="0"/>
              <w:jc w:val="left"/>
              <w:rPr/>
            </w:pPr>
            <w:r>
              <w:rPr>
                <w:sz w:val="18"/>
              </w:rPr>
              <w:t>Classificação</w:t>
            </w:r>
          </w:p>
        </w:tc>
        <w:tc>
          <w:tcPr>
            <w:tcW w:w="2701"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REQUER AJUSTES / NÃO VIÁVEL</w:t>
            </w:r>
          </w:p>
        </w:tc>
        <w:tc>
          <w:tcPr>
            <w:tcW w:w="2700" w:type="dxa"/>
            <w:tcBorders>
              <w:top w:val="single" w:sz="2" w:space="0" w:color="BFBFBF"/>
              <w:bottom w:val="single" w:sz="8" w:space="0" w:color="000000"/>
            </w:tcBorders>
            <w:vAlign w:val="center"/>
          </w:tcPr>
          <w:p>
            <w:pPr>
              <w:pStyle w:val="Normal"/>
              <w:spacing w:lineRule="auto" w:line="240" w:before="20" w:after="20"/>
              <w:ind w:hanging="0"/>
              <w:jc w:val="center"/>
              <w:rPr/>
            </w:pPr>
            <w:r>
              <w:rPr>
                <w:sz w:val="18"/>
              </w:rPr>
              <w:t>NÃO VIÁVEL</w:t>
            </w:r>
          </w:p>
        </w:tc>
      </w:tr>
    </w:tbl>
    <w:p>
      <w:pPr>
        <w:pStyle w:val="Caption"/>
        <w:ind w:hanging="0"/>
        <w:rPr/>
      </w:pPr>
      <w:r>
        <w:rPr>
          <w:sz w:val="18"/>
        </w:rPr>
        <w:t>Fonte: elaboração própria, a partir da execução do EVTEAS-Py 2.0 (seed 20260612).</w:t>
      </w:r>
    </w:p>
    <w:p>
      <w:pPr>
        <w:pStyle w:val="Normal"/>
        <w:spacing w:lineRule="auto" w:line="360" w:before="0" w:after="0"/>
        <w:ind w:firstLine="709"/>
        <w:jc w:val="both"/>
        <w:rPr/>
      </w:pPr>
      <w:r>
        <w:rPr>
          <w:sz w:val="24"/>
        </w:rPr>
        <w:t>É importante manter a distinção entre verificação e validação. A verificação demonstra aderência do código às regras codificadas; a validação busca demonstrar que o artefato é adequado ao problema real. Para a segunda, continuam necessárias a avaliação pelos dois especialistas, cujos escores Likert já têm destino definido no código, e a comparação com dados de empreendimentos reais, conforme delimitado no Capítulo 3.</w:t>
      </w:r>
    </w:p>
    <w:p>
      <w:pPr>
        <w:pStyle w:val="Heading2"/>
        <w:pageBreakBefore w:val="false"/>
        <w:rPr/>
      </w:pPr>
      <w:r>
        <w:rPr>
          <w:rFonts w:ascii="Times New Roman" w:hAnsi="Times New Roman"/>
          <w:b w:val="false"/>
          <w:sz w:val="28"/>
        </w:rPr>
        <w:t>4.11 Exportação, reprodutibilidade e documentação dos resultados</w:t>
      </w:r>
    </w:p>
    <w:p>
      <w:pPr>
        <w:pStyle w:val="Normal"/>
        <w:spacing w:lineRule="auto" w:line="360" w:before="0" w:after="0"/>
        <w:ind w:firstLine="709"/>
        <w:jc w:val="both"/>
        <w:rPr/>
      </w:pPr>
      <w:r>
        <w:rPr>
          <w:sz w:val="24"/>
        </w:rPr>
        <w:t>O framework produz um resumo executivo, um workbook Excel, um arquivo JSON, um relatório em Markdown e nove figuras. O workbook reúne 23 abas, entre elas premissas com origem, curva de crescimento, DRE mensal e anual, fluxo de caixa, indicadores ambientais, checklist de conformidade, indicadores sociais, ODS, desperdícios Lean-Green, KPIs normalizados, amostra e estatísticas do Monte Carlo, convergência, importância das variáveis, sensibilidade, valores críticos, cenários e o registro da verificação. A configuração pode ser salva em JSON, o que estabelece uma trilha entre premissas, cálculo e material auditável.</w:t>
      </w:r>
    </w:p>
    <w:p>
      <w:pPr>
        <w:pStyle w:val="Normal"/>
        <w:spacing w:lineRule="auto" w:line="360" w:before="0" w:after="0"/>
        <w:ind w:firstLine="709"/>
        <w:jc w:val="both"/>
        <w:rPr/>
      </w:pPr>
      <w:r>
        <w:rPr>
          <w:sz w:val="24"/>
        </w:rPr>
        <w:t>A reprodução depende do registro da versão do pacote, do arquivo de configuração, da seed e do número de iterações. A execução completa do estudo, incluindo o caso-base com 10.000 iterações, as três alternativas com 10.000 iterações cada, o preset legado e o cenário com pesos Likert, levou cerca de 66 segundos em ambiente de nuvem. O código, os testes e as saídas estão versionados no repositório do projeto, e o notebook autocontido pode ser executado no Google Colab sem instalação do pacote.</w:t>
      </w:r>
    </w:p>
    <w:p>
      <w:pPr>
        <w:pStyle w:val="Heading2"/>
        <w:pageBreakBefore w:val="false"/>
        <w:rPr/>
      </w:pPr>
      <w:r>
        <w:rPr>
          <w:rFonts w:ascii="Times New Roman" w:hAnsi="Times New Roman"/>
          <w:b w:val="false"/>
          <w:sz w:val="28"/>
        </w:rPr>
        <w:t>4.12 Discussão integrada e retorno à lacuna científica</w:t>
      </w:r>
    </w:p>
    <w:p>
      <w:pPr>
        <w:pStyle w:val="Normal"/>
        <w:spacing w:lineRule="auto" w:line="360" w:before="0" w:after="0"/>
        <w:ind w:firstLine="709"/>
        <w:jc w:val="both"/>
        <w:rPr/>
      </w:pPr>
      <w:r>
        <w:rPr>
          <w:sz w:val="24"/>
        </w:rPr>
        <w:t>A principal evidência desta execução é que o EVTEAS-Py não atua apenas como uma coleção de fórmulas. O fluxo integrado conduz as entradas da parametrização ao desempenho técnico, deste à projeção econômica, às métricas ambientais e sociais e, por fim, ao índice síntese, à regra de decisão e às análises de risco. Dessa forma, a proposta materializa computacionalmente a integração que a revisão de literatura identificou como lacuna instrumental (Calabrese et al., 2019; Silva Araújo; Keesman; Goddek, 2021).</w:t>
      </w:r>
    </w:p>
    <w:p>
      <w:pPr>
        <w:pStyle w:val="Normal"/>
        <w:spacing w:lineRule="auto" w:line="360" w:before="0" w:after="0"/>
        <w:ind w:firstLine="709"/>
        <w:jc w:val="both"/>
        <w:rPr/>
      </w:pPr>
      <w:r>
        <w:rPr>
          <w:sz w:val="24"/>
        </w:rPr>
        <w:t>O caso-base explicita os trade-offs. O módulo técnico produziu OEE de 84,4% e o social LSO de 72,1 e renda de 2,47 salários mínimos por cooperado, mas a viabilidade econômica é marginal e frágil sob incerteza. O framework, portanto, não mascara a fragilidade econômica em razão de bons resultados em outras dimensões; ao contrário, torna o conflito entre dimensões visível, o que corresponde à metáfora do painel de instrumentos de Kaplan e Norton (1992).</w:t>
      </w:r>
    </w:p>
    <w:p>
      <w:pPr>
        <w:pStyle w:val="Normal"/>
        <w:spacing w:lineRule="auto" w:line="360" w:before="0" w:after="0"/>
        <w:ind w:firstLine="709"/>
        <w:jc w:val="both"/>
        <w:rPr/>
      </w:pPr>
      <w:r>
        <w:rPr>
          <w:sz w:val="24"/>
        </w:rPr>
        <w:t>A camada probabilística é a contribuição mais relevante desta revisão. O mesmo projeto que uma planilha determinística classificaria como viável apresenta 86% de probabilidade de destruir valor na perspectiva do projeto. Esse resultado transforma um diagnóstico estático em informação de decisão, ao indicar as variáveis críticas (preço, FCR e custo da ração), a folga de cada uma e o papel do fomento na redução do risco do beneficiário. Para pequenos produtores e comunidades pesqueiras, essa informação é mais útil do que um único VPL, porque orienta onde negociar contratos de venda, onde investir em manejo e qual aporte não reembolsável é necessário.</w:t>
      </w:r>
    </w:p>
    <w:p>
      <w:pPr>
        <w:pStyle w:val="Normal"/>
        <w:spacing w:lineRule="auto" w:line="360" w:before="0" w:after="0"/>
        <w:ind w:firstLine="709"/>
        <w:jc w:val="both"/>
        <w:rPr/>
      </w:pPr>
      <w:r>
        <w:rPr>
          <w:sz w:val="24"/>
        </w:rPr>
        <w:t>A quantificação dos desperdícios Lean-Green e a decomposição das emissões mostram, em linha com Mesquita et al. (2022) e Kosasih, Pujawan e Karningsih (2023), que eficiência operacional e desempenho ambiental convergem no caso da ração: reduzir o FCR melhora simultaneamente o VPL, a pegada de carbono e a pegada hídrica cinza. A regra de vetos, por sua vez, impede a compensação entre dimensões que Wang et al. (2025) associam aos excessos da busca por eficiência.</w:t>
      </w:r>
    </w:p>
    <w:p>
      <w:pPr>
        <w:pStyle w:val="Normal"/>
        <w:spacing w:lineRule="auto" w:line="360" w:before="0" w:after="0"/>
        <w:ind w:firstLine="709"/>
        <w:jc w:val="both"/>
        <w:rPr/>
      </w:pPr>
      <w:r>
        <w:rPr>
          <w:sz w:val="24"/>
        </w:rPr>
        <w:t>Em termos de Design Science Research, a evidência desta revisão sustenta a existência de um artefato funcional, verificável e reprodutível em nível computacional. A validade externa, porém, permanece limitada porque o caso-base é ilustrativo, as distribuições e as faixas de normalização foram parametrizadas pelo desenvolvedor e a avaliação dos especialistas ainda não foi concluída. A generalização deve, portanto, ser formulada em termos de princípios de projeto, arquitetura e procedimento de avaliação, e não como validade universal dos parâmetros utilizados.</w:t>
      </w:r>
    </w:p>
    <w:p>
      <w:pPr>
        <w:pStyle w:val="Caption"/>
        <w:spacing w:before="160" w:after="60"/>
        <w:ind w:hanging="0"/>
        <w:rPr/>
      </w:pPr>
      <w:r>
        <w:rPr>
          <w:b/>
          <w:sz w:val="18"/>
        </w:rPr>
        <w:t>Código 12 – Pipeline principal reproduzível do EVTEAS-Py</w:t>
      </w:r>
    </w:p>
    <w:p>
      <w:pPr>
        <w:pStyle w:val="Normal"/>
        <w:shd w:fill="F2F2F2"/>
        <w:spacing w:lineRule="auto" w:line="240" w:before="40" w:after="40"/>
        <w:ind w:hanging="0" w:left="283" w:right="113"/>
        <w:jc w:val="left"/>
        <w:rPr/>
      </w:pPr>
      <w:r>
        <w:rPr>
          <w:rFonts w:ascii="Consolas" w:hAnsi="Consolas"/>
          <w:sz w:val="16"/>
        </w:rPr>
        <w:t>def executar_evteas(cfg: EVTEASConfig, executar_mc: bool = True, executar_sens: bool = True,</w:t>
        <w:br/>
        <w:t xml:space="preserve">                    n_mc: Optional[int] = None) -&gt; Dict[str, Any]:</w:t>
        <w:br/>
        <w:t xml:space="preserve">    if not isinstance(cfg, EVTEASConfig):</w:t>
        <w:br/>
        <w:t xml:space="preserve">        raise TypeError("cfg deve ser uma instância de EVTEASConfig")</w:t>
        <w:br/>
        <w:t xml:space="preserve">    from .incerteza import cenarios, monte_carlo, sensibilidade, valores_criticos</w:t>
        <w:br/>
        <w:t xml:space="preserve">    from .vv import validar_invariantes</w:t>
        <w:br/>
        <w:br/>
        <w:t xml:space="preserve">    pesos = resolver_pesos(cfg)</w:t>
        <w:br/>
        <w:t xml:space="preserve">    r = motor(cfg, None, 1, pesos)</w:t>
        <w:br/>
        <w:t xml:space="preserve">    df_m = dre_mensal(r["economico"])</w:t>
        <w:br/>
        <w:t xml:space="preserve">    det = {k: _escalar(v) for k, v in r.items()}</w:t>
        <w:br/>
        <w:t xml:space="preserve">    resultado: Dict[str, Any] = {</w:t>
        <w:br/>
        <w:t xml:space="preserve">        "versao": VERSAO,</w:t>
        <w:br/>
        <w:t xml:space="preserve">        "config": asdict(cfg),</w:t>
        <w:br/>
        <w:t xml:space="preserve">        **det,</w:t>
        <w:br/>
        <w:t xml:space="preserve">        "curva_crescimento": curva_crescimento(cfg),</w:t>
        <w:br/>
        <w:t xml:space="preserve">        "dre_mensal": df_m,</w:t>
        <w:br/>
        <w:t xml:space="preserve">        "dre_anual": dre_anual(df_m),</w:t>
        <w:br/>
        <w:t xml:space="preserve">        "fluxo_caixa": r["economico"]["fluxo_caixa"][0],</w:t>
        <w:br/>
        <w:t xml:space="preserve">        "sobras": distribuicao_sobras(cfg, r["economico"]),</w:t>
        <w:br/>
        <w:t xml:space="preserve">        "ods": alinhamento_ods(cfg, r["tecnico"], r["economico"], r["ambiental"], r["social"], r["governanca"]),</w:t>
        <w:br/>
        <w:t xml:space="preserve">        "premissas": tabela_premissas(cfg),</w:t>
        <w:br/>
        <w:t xml:space="preserve">    }</w:t>
        <w:br/>
        <w:t xml:space="preserve">    prob = None</w:t>
        <w:br/>
        <w:t xml:space="preserve">    if executar_mc:</w:t>
        <w:br/>
        <w:t xml:space="preserve">        resultado["monte_carlo"] = monte_carlo(cfg, n=n_mc)</w:t>
        <w:br/>
        <w:t xml:space="preserve">        prob = resultado["monte_carlo"]["estatisticas"]["prob_vpl_positivo"]</w:t>
        <w:br/>
        <w:t xml:space="preserve">    if executar_sens:</w:t>
        <w:br/>
        <w:t xml:space="preserve">        resultado["sensibilidade"] = sensibilidade(cfg)</w:t>
        <w:br/>
        <w:t xml:space="preserve">        resultado["valores_criticos"] = valores_criticos(cfg)</w:t>
        <w:br/>
        <w:t xml:space="preserve">        resultado["cenarios"] = cenarios(cfg)</w:t>
        <w:br/>
        <w:t xml:space="preserve">    resultado["decisao"] = classificar(cfg, det["economico"]["vpl"], det["indice"]["indice_evteas"],</w:t>
        <w:br/>
        <w:t xml:space="preserve">                                       det["social"]["lso_0_100"], det["ambiental"]["vetos_ambientais"], prob)</w:t>
        <w:br/>
        <w:t xml:space="preserve">    resultado["vv"] = validar_invariantes(cfg, resultado, r)</w:t>
        <w:br/>
        <w:t xml:space="preserve">    return resultado</w:t>
      </w:r>
    </w:p>
    <w:p>
      <w:pPr>
        <w:pStyle w:val="Caption"/>
        <w:ind w:hanging="0"/>
        <w:rPr/>
      </w:pPr>
      <w:r>
        <w:rPr>
          <w:sz w:val="18"/>
        </w:rPr>
        <w:t>Fonte: elaboração própria, a partir do pacote evteas_py 2.0 (notebook EVTEAS_Py_Rev187).</w:t>
      </w:r>
    </w:p>
    <w:p>
      <w:pPr>
        <w:pStyle w:val="Normal"/>
        <w:spacing w:lineRule="auto" w:line="360" w:before="0" w:after="0"/>
        <w:ind w:firstLine="709"/>
        <w:jc w:val="both"/>
        <w:rPr/>
      </w:pPr>
      <w:r>
        <w:rPr>
          <w:sz w:val="24"/>
        </w:rPr>
        <w:t>O pipeline principal é a evidência mais direta da integração: ele valida o tipo da configuração, resolve os pesos, executa o motor das quatro dimensões, monta a DRE, a curva de crescimento, os ODS e a tabela de premissas, habilita Monte Carlo, sensibilidade, valores críticos e cenários quando solicitado, aplica a regra de decisão e, ao final, registra a verificação. A ordem das chamadas reproduz a dependência lógica dos resultados e fornece um ponto único de entrada para execução reprodutível.</w:t>
      </w:r>
      <w:r>
        <w:br w:type="page"/>
      </w:r>
    </w:p>
    <w:p>
      <w:pPr>
        <w:pStyle w:val="Heading1"/>
        <w:rPr/>
      </w:pPr>
      <w:r>
        <w:rPr>
          <w:rFonts w:ascii="Times New Roman" w:hAnsi="Times New Roman"/>
          <w:b/>
          <w:sz w:val="32"/>
        </w:rPr>
        <w:t>5 CONSIDERAÇÕES FINAIS</w:t>
      </w:r>
    </w:p>
    <w:p>
      <w:pPr>
        <w:pStyle w:val="Normal"/>
        <w:spacing w:lineRule="auto" w:line="360" w:before="0" w:after="0"/>
        <w:ind w:firstLine="709"/>
        <w:jc w:val="both"/>
        <w:rPr/>
      </w:pPr>
      <w:r>
        <w:rPr>
          <w:sz w:val="24"/>
        </w:rPr>
        <w:t>A pesquisa teve como problema a necessidade de estruturar um EVTEAS computacional que integrasse dimensões técnica, econômica, ambiental e social e ainda oferecesse mecanismos de tratamento da incerteza e apoio à decisão. A versão 2.0 do EVTEAS-Py materializa essa proposta em um pacote Python com motor único vetorizado, entradas interativas e por arquivo, rastreabilidade das premissas, índice integrado com regra de decisão não compensatória, Monte Carlo, sensibilidade, comparação de alternativas, verificação automatizada e exportação. A execução do caso-base demonstra o funcionamento do artefato e evidencia como os módulos produzem um diagnóstico integrado.</w:t>
      </w:r>
    </w:p>
    <w:p>
      <w:pPr>
        <w:pStyle w:val="Heading2"/>
        <w:pageBreakBefore w:val="false"/>
        <w:rPr/>
      </w:pPr>
      <w:r>
        <w:rPr>
          <w:rFonts w:ascii="Times New Roman" w:hAnsi="Times New Roman"/>
          <w:b w:val="false"/>
          <w:sz w:val="28"/>
        </w:rPr>
        <w:t>5.1 Síntese da resposta ao problema de pesquisa</w:t>
      </w:r>
    </w:p>
    <w:p>
      <w:pPr>
        <w:pStyle w:val="Normal"/>
        <w:spacing w:lineRule="auto" w:line="360" w:before="0" w:after="0"/>
        <w:ind w:firstLine="709"/>
        <w:jc w:val="both"/>
        <w:rPr/>
      </w:pPr>
      <w:r>
        <w:rPr>
          <w:sz w:val="24"/>
        </w:rPr>
        <w:t>A resposta ao problema é afirmativa quanto à viabilidade de estruturar, em Python, uma cadeia integrada de processamento para EVTEAS aplicado à piscicultura. O artefato reúne os dados em uma configuração central, propaga resultados entre módulos com o mesmo código nas camadas determinística e estocástica e conserva uma trilha de verificação. A conclusão, porém, deve ser qualificada: a pesquisa demonstra viabilidade computacional e metodológica do framework, mas ainda não demonstra validade universal para empreendimentos reais.</w:t>
      </w:r>
    </w:p>
    <w:p>
      <w:pPr>
        <w:pStyle w:val="Normal"/>
        <w:spacing w:lineRule="auto" w:line="360" w:before="0" w:after="0"/>
        <w:ind w:firstLine="709"/>
        <w:jc w:val="both"/>
        <w:rPr/>
      </w:pPr>
      <w:r>
        <w:rPr>
          <w:sz w:val="24"/>
        </w:rPr>
        <w:t>Quanto à hipótese, a execução completa do estudo em cerca de um minuto, a partir de um único arquivo de premissas, indica que a automação reduz o tempo de elaboração e de revisão de cenários em relação ao fluxo manual em planilhas e documentos. A confirmação quantitativa desse ganho depende de comparação controlada com o processo tradicional, prevista como trabalho futuro.</w:t>
      </w:r>
    </w:p>
    <w:p>
      <w:pPr>
        <w:pStyle w:val="Heading2"/>
        <w:pageBreakBefore w:val="false"/>
        <w:rPr/>
      </w:pPr>
      <w:r>
        <w:rPr>
          <w:rFonts w:ascii="Times New Roman" w:hAnsi="Times New Roman"/>
          <w:b w:val="false"/>
          <w:sz w:val="28"/>
        </w:rPr>
        <w:t>5.2 Atendimento ao objetivo geral e aos objetivos específicos</w:t>
      </w:r>
    </w:p>
    <w:p>
      <w:pPr>
        <w:pStyle w:val="Normal"/>
        <w:spacing w:lineRule="auto" w:line="360" w:before="0" w:after="0"/>
        <w:ind w:firstLine="709"/>
        <w:jc w:val="both"/>
        <w:rPr/>
      </w:pPr>
      <w:r>
        <w:rPr>
          <w:sz w:val="24"/>
        </w:rPr>
        <w:t>O objetivo geral foi atendido no nível de desenvolvimento do artefato: as dimensões técnica, econômica, ambiental e social estão integradas no mesmo fluxo e podem ser submetidas a Monte Carlo, sensibilidade e verificação. O primeiro objetivo específico foi atendido com a operacionalização dos oito KPIs do Quadro 5 e de indicadores complementares (pegada hídrica cinza, intensidade de carbono, conformidade, Radar Social, ODS e governança). O segundo foi atendido com o desenvolvimento do pacote e a explicitação de trade-offs por índice, vetos e TOPSIS. O terceiro, a validação com especialistas, permanece como etapa necessária; o código já recebe os escores Likert e registra a divergência entre avaliadores. O quarto foi atendido parcialmente, pela simulação de um caso ilustrativo.</w:t>
      </w:r>
    </w:p>
    <w:p>
      <w:pPr>
        <w:pStyle w:val="Normal"/>
        <w:spacing w:lineRule="auto" w:line="360" w:before="0" w:after="0"/>
        <w:ind w:firstLine="709"/>
        <w:jc w:val="both"/>
        <w:rPr/>
      </w:pPr>
      <w:r>
        <w:rPr>
          <w:sz w:val="24"/>
        </w:rPr>
        <w:t>A execução do caso-base demonstra a aplicação do artefato. Foram obtidos OEE de 0,844, produção anual de 87.750 kg, VPL determinístico de R$ 38.470, probabilidade de VPL positivo de 13,6% e índice EVTEAS de 0,652, com classificação “VIÁVEL COM RESSALVAS”. Esses resultados comprovam que o framework produz um diagnóstico integrado, mas não devem ser tratados como evidência de desempenho de uma unidade real.</w:t>
      </w:r>
    </w:p>
    <w:p>
      <w:pPr>
        <w:pStyle w:val="Heading2"/>
        <w:pageBreakBefore w:val="false"/>
        <w:rPr/>
      </w:pPr>
      <w:r>
        <w:rPr>
          <w:rFonts w:ascii="Times New Roman" w:hAnsi="Times New Roman"/>
          <w:b w:val="false"/>
          <w:sz w:val="28"/>
        </w:rPr>
        <w:t>5.3 Contribuições científicas, metodológicas e aplicadas</w:t>
      </w:r>
    </w:p>
    <w:p>
      <w:pPr>
        <w:pStyle w:val="Normal"/>
        <w:spacing w:lineRule="auto" w:line="360" w:before="0" w:after="0"/>
        <w:ind w:firstLine="709"/>
        <w:jc w:val="both"/>
        <w:rPr/>
      </w:pPr>
      <w:r>
        <w:rPr>
          <w:sz w:val="24"/>
        </w:rPr>
        <w:t>A contribuição científica está na proposição de um artefato e de uma arquitetura de integração para uma classe delimitada de problemas de viabilidade aquícola. A contribuição metodológica está na combinação de Design Science Research, modelagem computacional, análise qualiquantitativa, verificação automatizada, simulação e sensibilidade, com a regra de que o mesmo motor sirva às camadas determinística e estocástica. A contribuição computacional está na consolidação das entradas, no registro da origem das premissas, no processamento modular e na exportação estruturada. A contribuição gerencial consiste em tornar explícitos trade-offs entre desempenho técnico, retorno econômico, impacto ambiental e dimensão social, e em separar a perspectiva do projeto da perspectiva do beneficiário de fomento.</w:t>
      </w:r>
    </w:p>
    <w:p>
      <w:pPr>
        <w:pStyle w:val="Normal"/>
        <w:spacing w:lineRule="auto" w:line="360" w:before="0" w:after="0"/>
        <w:ind w:firstLine="709"/>
        <w:jc w:val="both"/>
        <w:rPr/>
      </w:pPr>
      <w:r>
        <w:rPr>
          <w:sz w:val="24"/>
        </w:rPr>
        <w:t>Outra contribuição emerge da própria execução: o framework revelou que a avaliação na moda das premissas superestima a viabilidade quando os riscos são assimétricos, e que a pegada hídrica cinza da tilapicultura em viveiros é dominada pelo fósforo. O valor do artefato, nesse sentido, não está apenas em calcular, mas em tornar visíveis premissas e resultados que demandam revisão.</w:t>
      </w:r>
    </w:p>
    <w:p>
      <w:pPr>
        <w:pStyle w:val="Heading2"/>
        <w:pageBreakBefore w:val="false"/>
        <w:rPr/>
      </w:pPr>
      <w:r>
        <w:rPr>
          <w:rFonts w:ascii="Times New Roman" w:hAnsi="Times New Roman"/>
          <w:b w:val="false"/>
          <w:sz w:val="28"/>
        </w:rPr>
        <w:t>5.4 Limitações da pesquisa e do artefato</w:t>
      </w:r>
    </w:p>
    <w:p>
      <w:pPr>
        <w:pStyle w:val="Normal"/>
        <w:spacing w:lineRule="auto" w:line="360" w:before="0" w:after="0"/>
        <w:ind w:firstLine="709"/>
        <w:jc w:val="both"/>
        <w:rPr/>
      </w:pPr>
      <w:r>
        <w:rPr>
          <w:sz w:val="24"/>
        </w:rPr>
        <w:t>A primeira limitação é a dependência da qualidade das entradas. A segunda é a delimitação da pesquisa à piscicultura e a um caso-base ilustrativo, sem dados de um empreendimento real. A terceira é a ausência, nesta versão, de validação independente por especialistas e de confronto sistemático com dados observados de empreendimentos reais.</w:t>
      </w:r>
    </w:p>
    <w:p>
      <w:pPr>
        <w:pStyle w:val="Normal"/>
        <w:spacing w:lineRule="auto" w:line="360" w:before="0" w:after="0"/>
        <w:ind w:firstLine="709"/>
        <w:jc w:val="both"/>
        <w:rPr/>
      </w:pPr>
      <w:r>
        <w:rPr>
          <w:sz w:val="24"/>
        </w:rPr>
        <w:t>Há ainda limitações na própria modelagem. As faixas de normalização, a heurística logística do risco social e os pesos dos componentes da LSO foram definidos pelo autor e precisam de calibração. O crescimento segue taxa específica constante, sem efeito da temperatura e da sazonalidade. Os tributos sobre o resultado são aproximados mensalmente. Os fatores de emissão da ração e da energia são parâmetros bibliográficos que devem ser atualizados ao ano-base de cada estudo. As variáveis do Monte Carlo são amostradas de forma independente, sem correlação entre elas, como entre preço da ração e preço do pescado.</w:t>
      </w:r>
    </w:p>
    <w:p>
      <w:pPr>
        <w:pStyle w:val="Heading2"/>
        <w:pageBreakBefore w:val="false"/>
        <w:rPr/>
      </w:pPr>
      <w:r>
        <w:rPr>
          <w:rFonts w:ascii="Times New Roman" w:hAnsi="Times New Roman"/>
          <w:b w:val="false"/>
          <w:sz w:val="28"/>
        </w:rPr>
        <w:t>5.5 Generalização para a classe de problemas</w:t>
      </w:r>
    </w:p>
    <w:p>
      <w:pPr>
        <w:pStyle w:val="Normal"/>
        <w:spacing w:lineRule="auto" w:line="360" w:before="0" w:after="0"/>
        <w:ind w:firstLine="709"/>
        <w:jc w:val="both"/>
        <w:rPr/>
      </w:pPr>
      <w:r>
        <w:rPr>
          <w:sz w:val="24"/>
        </w:rPr>
        <w:t>A generalização mais defensável é arquitetural e metodológica. É transferível a lógica de organizar requisitos, entradas com origem declarada, processamento vetorizado, indicadores normalizados, regra de decisão não compensatória, incerteza, verificação e exportação em um único artefato. Parâmetros zootécnicos, econômicos, ambientais e sociais devem, contudo, ser recalibrados para cada novo contexto, espécie, sistema produtivo ou território.</w:t>
      </w:r>
    </w:p>
    <w:p>
      <w:pPr>
        <w:pStyle w:val="Heading2"/>
        <w:pageBreakBefore w:val="false"/>
        <w:rPr/>
      </w:pPr>
      <w:r>
        <w:rPr>
          <w:rFonts w:ascii="Times New Roman" w:hAnsi="Times New Roman"/>
          <w:b w:val="false"/>
          <w:sz w:val="28"/>
        </w:rPr>
        <w:t>5.6 Trabalhos futuros e continuidade do EVTEAS-Py</w:t>
      </w:r>
    </w:p>
    <w:p>
      <w:pPr>
        <w:pStyle w:val="Normal"/>
        <w:spacing w:lineRule="auto" w:line="360"/>
        <w:ind w:hanging="283" w:left="567"/>
        <w:rPr/>
      </w:pPr>
      <w:r>
        <w:rPr>
          <w:sz w:val="24"/>
        </w:rPr>
        <w:t xml:space="preserve">• </w:t>
      </w:r>
      <w:r>
        <w:rPr>
          <w:sz w:val="24"/>
        </w:rPr>
        <w:t>Realizar a avaliação estruturada com os dois especialistas, registrar os escores Likert e as observações e incorporar os ajustes ao artefato.</w:t>
      </w:r>
    </w:p>
    <w:p>
      <w:pPr>
        <w:pStyle w:val="Normal"/>
        <w:spacing w:lineRule="auto" w:line="360"/>
        <w:ind w:hanging="283" w:left="567"/>
        <w:rPr/>
      </w:pPr>
      <w:r>
        <w:rPr>
          <w:sz w:val="24"/>
        </w:rPr>
        <w:t xml:space="preserve">• </w:t>
      </w:r>
      <w:r>
        <w:rPr>
          <w:sz w:val="24"/>
        </w:rPr>
        <w:t>Calibrar as distribuições de Monte Carlo com séries históricas reais e introduzir correlação entre variáveis, como entre o preço da ração e o do pescado.</w:t>
      </w:r>
    </w:p>
    <w:p>
      <w:pPr>
        <w:pStyle w:val="Normal"/>
        <w:spacing w:lineRule="auto" w:line="360"/>
        <w:ind w:hanging="283" w:left="567"/>
        <w:rPr/>
      </w:pPr>
      <w:r>
        <w:rPr>
          <w:sz w:val="24"/>
        </w:rPr>
        <w:t xml:space="preserve">• </w:t>
      </w:r>
      <w:r>
        <w:rPr>
          <w:sz w:val="24"/>
        </w:rPr>
        <w:t>Incorporar modelos de crescimento dependentes da temperatura e o tratamento da sazonalidade de preços e da produção.</w:t>
      </w:r>
    </w:p>
    <w:p>
      <w:pPr>
        <w:pStyle w:val="Normal"/>
        <w:spacing w:lineRule="auto" w:line="360"/>
        <w:ind w:hanging="283" w:left="567"/>
        <w:rPr/>
      </w:pPr>
      <w:r>
        <w:rPr>
          <w:sz w:val="24"/>
        </w:rPr>
        <w:t xml:space="preserve">• </w:t>
      </w:r>
      <w:r>
        <w:rPr>
          <w:sz w:val="24"/>
        </w:rPr>
        <w:t>Calibrar as faixas de normalização, os componentes da LSO e a função de risco social com especialistas e dados de campo.</w:t>
      </w:r>
    </w:p>
    <w:p>
      <w:pPr>
        <w:pStyle w:val="Normal"/>
        <w:spacing w:lineRule="auto" w:line="360"/>
        <w:ind w:hanging="283" w:left="567"/>
        <w:rPr/>
      </w:pPr>
      <w:r>
        <w:rPr>
          <w:sz w:val="24"/>
        </w:rPr>
        <w:t xml:space="preserve">• </w:t>
      </w:r>
      <w:r>
        <w:rPr>
          <w:sz w:val="24"/>
        </w:rPr>
        <w:t>Expandir o framework para outras espécies e sistemas de produção após nova parametrização e V&amp;V.</w:t>
      </w:r>
    </w:p>
    <w:p>
      <w:pPr>
        <w:pStyle w:val="Normal"/>
        <w:spacing w:lineRule="auto" w:line="360"/>
        <w:ind w:hanging="283" w:left="567"/>
        <w:rPr/>
      </w:pPr>
      <w:r>
        <w:rPr>
          <w:sz w:val="24"/>
        </w:rPr>
        <w:t xml:space="preserve">• </w:t>
      </w:r>
      <w:r>
        <w:rPr>
          <w:sz w:val="24"/>
        </w:rPr>
        <w:t>Integrar bases confiáveis de preço, energia, água, clima e parâmetros zootécnicos, mantendo registro das fontes.</w:t>
      </w:r>
    </w:p>
    <w:p>
      <w:pPr>
        <w:pStyle w:val="Normal"/>
        <w:spacing w:lineRule="auto" w:line="360"/>
        <w:ind w:hanging="283" w:left="567"/>
        <w:rPr/>
      </w:pPr>
      <w:r>
        <w:rPr>
          <w:sz w:val="24"/>
        </w:rPr>
        <w:t xml:space="preserve">• </w:t>
      </w:r>
      <w:r>
        <w:rPr>
          <w:sz w:val="24"/>
        </w:rPr>
        <w:t>Desenvolver uma interface de usuário final como camada separada do núcleo científico-computacional.</w:t>
      </w:r>
    </w:p>
    <w:p>
      <w:pPr>
        <w:pStyle w:val="Normal"/>
        <w:spacing w:lineRule="auto" w:line="360"/>
        <w:ind w:hanging="283" w:left="567"/>
        <w:rPr/>
      </w:pPr>
      <w:r>
        <w:rPr>
          <w:sz w:val="24"/>
        </w:rPr>
        <w:t xml:space="preserve">• </w:t>
      </w:r>
      <w:r>
        <w:rPr>
          <w:sz w:val="24"/>
        </w:rPr>
        <w:t>Comparar, em experimento controlado, o tempo e a consistência de estudos elaborados com o EVTEAS-Py e com o fluxo tradicional em planilhas, para testar a hipótese da pesquisa.</w:t>
      </w:r>
    </w:p>
    <w:p>
      <w:pPr>
        <w:pStyle w:val="Normal"/>
        <w:spacing w:lineRule="auto" w:line="360"/>
        <w:ind w:hanging="283" w:left="567"/>
        <w:rPr/>
      </w:pPr>
      <w:r>
        <w:rPr>
          <w:sz w:val="24"/>
        </w:rPr>
        <w:t xml:space="preserve">• </w:t>
      </w:r>
      <w:r>
        <w:rPr>
          <w:sz w:val="24"/>
        </w:rPr>
        <w:t>Realizar validação longitudinal por comparação entre projeções e desempenho observado em empreendimentos implantados.</w:t>
      </w:r>
    </w:p>
    <w:p>
      <w:pPr>
        <w:pStyle w:val="Heading1"/>
        <w:spacing w:lineRule="auto" w:line="360" w:before="360" w:after="0"/>
        <w:rPr>
          <w:rFonts w:ascii="Times New Roman" w:hAnsi="Times New Roman" w:eastAsia="Times New Roman" w:cs="Times New Roman"/>
          <w:b/>
          <w:bCs/>
          <w:color w:themeColor="text1" w:val="000000"/>
          <w:sz w:val="32"/>
          <w:szCs w:val="32"/>
        </w:rPr>
      </w:pPr>
      <w:bookmarkStart w:id="218" w:name="_Toc242269346"/>
      <w:bookmarkStart w:id="219" w:name="_Toc242269265"/>
      <w:bookmarkStart w:id="220" w:name="_Toc242269186"/>
      <w:r>
        <w:rPr/>
        <w:t>REFERÊNCIAS</w:t>
      </w:r>
      <w:bookmarkEnd w:id="218"/>
      <w:bookmarkEnd w:id="219"/>
      <w:bookmarkEnd w:id="220"/>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AACE INTERNATIONAL. </w:t>
      </w:r>
      <w:r>
        <w:rPr>
          <w:rFonts w:eastAsia="Times New Roman" w:cs="Times New Roman"/>
          <w:b/>
          <w:sz w:val="24"/>
          <w:lang w:val="en-US" w:eastAsia="en-US"/>
        </w:rPr>
        <w:t>Cost Estimate Classification System – As Applied in Engineering, Procurement, and Construction for the Process Industries</w:t>
      </w:r>
      <w:r>
        <w:rPr>
          <w:rFonts w:eastAsia="Times New Roman" w:cs="Times New Roman"/>
          <w:sz w:val="24"/>
          <w:lang w:val="en-US" w:eastAsia="en-US"/>
        </w:rPr>
        <w:t xml:space="preserve">. </w:t>
      </w:r>
      <w:r>
        <w:rPr>
          <w:rFonts w:eastAsia="Times New Roman" w:cs="Times New Roman"/>
          <w:sz w:val="24"/>
          <w:lang w:eastAsia="en-US"/>
        </w:rPr>
        <w:t>Rev. 7 ago. 2020. Morgantown, WV: AACE International, 2020.</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ASSAF NETO, A. </w:t>
      </w:r>
      <w:r>
        <w:rPr>
          <w:rFonts w:eastAsia="Times New Roman" w:cs="Times New Roman"/>
          <w:b/>
          <w:sz w:val="24"/>
          <w:lang w:eastAsia="en-US"/>
        </w:rPr>
        <w:t>Finanças corporativas e valor</w:t>
      </w:r>
      <w:r>
        <w:rPr>
          <w:rFonts w:eastAsia="Times New Roman" w:cs="Times New Roman"/>
          <w:sz w:val="24"/>
          <w:lang w:eastAsia="en-US"/>
        </w:rPr>
        <w:t>. 7. ed. São Paulo: Atlas, 2014.</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BARBIERI, J. C. </w:t>
      </w:r>
      <w:r>
        <w:rPr>
          <w:rFonts w:eastAsia="Times New Roman" w:cs="Times New Roman"/>
          <w:b/>
          <w:sz w:val="24"/>
          <w:lang w:eastAsia="en-US"/>
        </w:rPr>
        <w:t>Gestão ambiental empresarial: conceitos, modelos e instrumentos</w:t>
      </w:r>
      <w:r>
        <w:rPr>
          <w:rFonts w:eastAsia="Times New Roman" w:cs="Times New Roman"/>
          <w:sz w:val="24"/>
          <w:lang w:eastAsia="en-US"/>
        </w:rPr>
        <w:t>. 2. ed. São Paulo: Saraiva, 2007.</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BOEHM, B. W. </w:t>
      </w:r>
      <w:r>
        <w:rPr>
          <w:rFonts w:eastAsia="Times New Roman" w:cs="Times New Roman"/>
          <w:b/>
          <w:sz w:val="24"/>
          <w:lang w:val="en-US" w:eastAsia="en-US"/>
        </w:rPr>
        <w:t>Verifying and validating software requirements and design specifications</w:t>
      </w:r>
      <w:r>
        <w:rPr>
          <w:rFonts w:eastAsia="Times New Roman" w:cs="Times New Roman"/>
          <w:sz w:val="24"/>
          <w:lang w:val="en-US" w:eastAsia="en-US"/>
        </w:rPr>
        <w:t xml:space="preserve">. </w:t>
      </w:r>
      <w:r>
        <w:rPr>
          <w:rFonts w:eastAsia="Times New Roman" w:cs="Times New Roman"/>
          <w:sz w:val="24"/>
          <w:lang w:eastAsia="en-US"/>
        </w:rPr>
        <w:t>IEEE Software, v. 1, n. 1, p. 75-88, 1984.</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BRASIL. </w:t>
      </w:r>
      <w:r>
        <w:rPr>
          <w:rFonts w:eastAsia="Times New Roman" w:cs="Times New Roman"/>
          <w:b/>
          <w:sz w:val="24"/>
          <w:lang w:eastAsia="en-US"/>
        </w:rPr>
        <w:t>Lei n. 13.709, de 14 de agosto de 2018. Lei Geral de Proteção de Dados Pessoais (LGPD)</w:t>
      </w:r>
      <w:r>
        <w:rPr>
          <w:rFonts w:eastAsia="Times New Roman" w:cs="Times New Roman"/>
          <w:sz w:val="24"/>
          <w:lang w:eastAsia="en-US"/>
        </w:rPr>
        <w:t>. Diário Oficial da União: seção 1, Brasília, DF, 15 ago. 2018. Disponível em: https://www.planalto.gov.br/ccivil_03/_ato2015-2018/2018/lei/l13709.htm.</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BRASIL. </w:t>
      </w:r>
      <w:r>
        <w:rPr>
          <w:rFonts w:eastAsia="Times New Roman" w:cs="Times New Roman"/>
          <w:b/>
          <w:sz w:val="24"/>
          <w:lang w:eastAsia="en-US"/>
        </w:rPr>
        <w:t>Resolução CONAMA n. 357, de 17 de março de 2005: dispõe sobre a classificação dos corpos de água e diretrizes ambientais para o seu enquadramento</w:t>
      </w:r>
      <w:r>
        <w:rPr>
          <w:rFonts w:eastAsia="Times New Roman" w:cs="Times New Roman"/>
          <w:sz w:val="24"/>
          <w:lang w:eastAsia="en-US"/>
        </w:rPr>
        <w:t>. Diário Oficial da União: seção 1, Brasília, DF, 18 mar. 2005. Disponível em: https://www.icmbio.gov.br/cepsul/images/stories/legislacao/Resolucao/2005/res_conama_357_2005_classificacao_corpos_agua_rerratificada_alterada_393_2007_397_2008_410_2009_430_2011.pdf.</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BRASIL. </w:t>
      </w:r>
      <w:r>
        <w:rPr>
          <w:rFonts w:eastAsia="Times New Roman" w:cs="Times New Roman"/>
          <w:b/>
          <w:sz w:val="24"/>
          <w:lang w:eastAsia="en-US"/>
        </w:rPr>
        <w:t>Lei n. 14.133, de 1º de abril de 2021. Lei de Licitações e Contratos Administrativos</w:t>
      </w:r>
      <w:r>
        <w:rPr>
          <w:rFonts w:eastAsia="Times New Roman" w:cs="Times New Roman"/>
          <w:sz w:val="24"/>
          <w:lang w:eastAsia="en-US"/>
        </w:rPr>
        <w:t>. Diário Oficial da União: seção 1, Brasília, DF, p. 1, 1 abr. 2021. Disponível em: https://www.planalto.gov.br/ccivil_03/_ato2019-2022/2021/lei/l14133.htm.</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BRASIL. </w:t>
      </w:r>
      <w:r>
        <w:rPr>
          <w:rFonts w:eastAsia="Times New Roman" w:cs="Times New Roman"/>
          <w:b/>
          <w:sz w:val="24"/>
          <w:lang w:eastAsia="en-US"/>
        </w:rPr>
        <w:t>Lei n. 12.690, de 19 de julho de 2012</w:t>
      </w:r>
      <w:r>
        <w:rPr>
          <w:rFonts w:eastAsia="Times New Roman" w:cs="Times New Roman"/>
          <w:sz w:val="24"/>
          <w:lang w:eastAsia="en-US"/>
        </w:rPr>
        <w:t>. Dispõe sobre a organização e o funcionamento das Cooperativas de Trabalho. Diário Oficial da União, Brasília, DF, 20 jul. 2012.</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BRASIL. </w:t>
      </w:r>
      <w:r>
        <w:rPr>
          <w:rFonts w:eastAsia="Times New Roman" w:cs="Times New Roman"/>
          <w:b/>
          <w:sz w:val="24"/>
          <w:lang w:eastAsia="en-US"/>
        </w:rPr>
        <w:t>Lei n. 12.651, de 25 de maio de 2012</w:t>
      </w:r>
      <w:r>
        <w:rPr>
          <w:rFonts w:eastAsia="Times New Roman" w:cs="Times New Roman"/>
          <w:sz w:val="24"/>
          <w:lang w:eastAsia="en-US"/>
        </w:rPr>
        <w:t>. Dispõe sobre a proteção da vegetação nativa. Diário Oficial da União, Brasília, DF, 28 maio 2012.</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BRASIL. </w:t>
      </w:r>
      <w:r>
        <w:rPr>
          <w:rFonts w:eastAsia="Times New Roman" w:cs="Times New Roman"/>
          <w:b/>
          <w:sz w:val="24"/>
          <w:lang w:eastAsia="en-US"/>
        </w:rPr>
        <w:t>Resolução CONAMA n. 430, de 13 de maio de 2011</w:t>
      </w:r>
      <w:r>
        <w:rPr>
          <w:rFonts w:eastAsia="Times New Roman" w:cs="Times New Roman"/>
          <w:sz w:val="24"/>
          <w:lang w:eastAsia="en-US"/>
        </w:rPr>
        <w:t>: dispõe sobre as condições e padrões de lançamento de efluentes. Diário Oficial da União, Brasília, DF, 16 maio 2011.</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BRASIL. </w:t>
      </w:r>
      <w:r>
        <w:rPr>
          <w:rFonts w:eastAsia="Times New Roman" w:cs="Times New Roman"/>
          <w:b/>
          <w:sz w:val="24"/>
          <w:lang w:eastAsia="en-US"/>
        </w:rPr>
        <w:t>Resolução CONAMA n. 413, de 26 de junho de 2009</w:t>
      </w:r>
      <w:r>
        <w:rPr>
          <w:rFonts w:eastAsia="Times New Roman" w:cs="Times New Roman"/>
          <w:sz w:val="24"/>
          <w:lang w:eastAsia="en-US"/>
        </w:rPr>
        <w:t>: dispõe sobre o licenciamento ambiental da aquicultura, e dá outras providências. Diário Oficial da União, Brasília, DF, 30 jun. 2009.</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BRASIL. </w:t>
      </w:r>
      <w:r>
        <w:rPr>
          <w:rFonts w:eastAsia="Times New Roman" w:cs="Times New Roman"/>
          <w:b/>
          <w:sz w:val="24"/>
          <w:lang w:eastAsia="en-US"/>
        </w:rPr>
        <w:t>Lei n. 9.433, de 8 de janeiro de 1997</w:t>
      </w:r>
      <w:r>
        <w:rPr>
          <w:rFonts w:eastAsia="Times New Roman" w:cs="Times New Roman"/>
          <w:sz w:val="24"/>
          <w:lang w:eastAsia="en-US"/>
        </w:rPr>
        <w:t>. Institui a Política Nacional de Recursos Hídricos e cria o Sistema Nacional de Gerenciamento de Recursos Hídricos. Diário Oficial da União, Brasília, DF, 9 jan. 1997.</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BRASIL. </w:t>
      </w:r>
      <w:r>
        <w:rPr>
          <w:rFonts w:eastAsia="Times New Roman" w:cs="Times New Roman"/>
          <w:b/>
          <w:sz w:val="24"/>
          <w:lang w:eastAsia="en-US"/>
        </w:rPr>
        <w:t>Lei n. 5.764, de 16 de dezembro de 1971</w:t>
      </w:r>
      <w:r>
        <w:rPr>
          <w:rFonts w:eastAsia="Times New Roman" w:cs="Times New Roman"/>
          <w:sz w:val="24"/>
          <w:lang w:eastAsia="en-US"/>
        </w:rPr>
        <w:t>. Define a Política Nacional de Cooperativismo, institui o regime jurídico das sociedades cooperativas, e dá outras providências. Diário Oficial da União, Brasília, DF, 16 dez. 1971.</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val="en-US" w:eastAsia="en-US"/>
        </w:rPr>
        <w:t xml:space="preserve">CALABRESE, A.; COSTA, R.; LEVIALDI, N.; MENICHINI, T. </w:t>
      </w:r>
      <w:r>
        <w:rPr>
          <w:rFonts w:eastAsia="Times New Roman" w:cs="Times New Roman"/>
          <w:b/>
          <w:sz w:val="24"/>
          <w:lang w:val="en-US" w:eastAsia="en-US"/>
        </w:rPr>
        <w:t>Integrating sustainability into strategic decision-making: A fuzzy AHP method for the selection of relevant sustainability issues</w:t>
      </w:r>
      <w:r>
        <w:rPr>
          <w:rFonts w:eastAsia="Times New Roman" w:cs="Times New Roman"/>
          <w:sz w:val="24"/>
          <w:lang w:val="en-US" w:eastAsia="en-US"/>
        </w:rPr>
        <w:t>. Technological Forecasting and Social Change, v. 139, p. 155-168, 2019. Disponível em: https://doi.org/10.1016/j.techfore.2018.11.005.</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CAMPOS, R. </w:t>
      </w:r>
      <w:r>
        <w:rPr>
          <w:rFonts w:eastAsia="Times New Roman" w:cs="Times New Roman"/>
          <w:b/>
          <w:sz w:val="24"/>
          <w:lang w:eastAsia="en-US"/>
        </w:rPr>
        <w:t>Python e Inteligência Artificial (IA): Inovando com a Linguagem Mais Versátil da Atualidade</w:t>
      </w:r>
      <w:r>
        <w:rPr>
          <w:rFonts w:eastAsia="Times New Roman" w:cs="Times New Roman"/>
          <w:sz w:val="24"/>
          <w:lang w:eastAsia="en-US"/>
        </w:rPr>
        <w:t>. DIO, 14 maio 2025. Disponível em: https://www.dio.me/articles/python-e-inteligencia-artificial-ia-inovando-com-a-linguagem-mais-versatil-do-mundo-ddabb70cfa31.</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CANDIDO, A. </w:t>
      </w:r>
      <w:r>
        <w:rPr>
          <w:rFonts w:eastAsia="Times New Roman" w:cs="Times New Roman"/>
          <w:b/>
          <w:sz w:val="24"/>
          <w:lang w:eastAsia="en-US"/>
        </w:rPr>
        <w:t>Softtek produz estudo global sobre as principais tendências em IA Generativa na engenharia de software</w:t>
      </w:r>
      <w:r>
        <w:rPr>
          <w:rFonts w:eastAsia="Times New Roman" w:cs="Times New Roman"/>
          <w:sz w:val="24"/>
          <w:lang w:eastAsia="en-US"/>
        </w:rPr>
        <w:t>. Softtek, 2025. Disponível em: https://www.softtek.com/zh/xinwen-gao/softtek-produz-estudo-global-sobre-as-principais-tend%C3%AAncias-em-ia-generativa-na-engenharia-de-software.</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CARVALHO, M. M. de; RABECHINI JÚNIOR, R. </w:t>
      </w:r>
      <w:r>
        <w:rPr>
          <w:rFonts w:eastAsia="Times New Roman" w:cs="Times New Roman"/>
          <w:b/>
          <w:sz w:val="24"/>
          <w:lang w:eastAsia="en-US"/>
        </w:rPr>
        <w:t>Fundamentos em gestão de projetos: construindo competências para gerenciar projetos</w:t>
      </w:r>
      <w:r>
        <w:rPr>
          <w:rFonts w:eastAsia="Times New Roman" w:cs="Times New Roman"/>
          <w:sz w:val="24"/>
          <w:lang w:eastAsia="en-US"/>
        </w:rPr>
        <w:t>. 5. ed. São Paulo: Atlas, 2019.</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CASAROTTO FILHO, N.; KOPITTKE, B. H. </w:t>
      </w:r>
      <w:r>
        <w:rPr>
          <w:rFonts w:eastAsia="Times New Roman" w:cs="Times New Roman"/>
          <w:b/>
          <w:sz w:val="24"/>
          <w:lang w:eastAsia="en-US"/>
        </w:rPr>
        <w:t>Análise de investimentos: matemática financeira, engenharia econômica, tomada de decisão, estratégia empresarial</w:t>
      </w:r>
      <w:r>
        <w:rPr>
          <w:rFonts w:eastAsia="Times New Roman" w:cs="Times New Roman"/>
          <w:sz w:val="24"/>
          <w:lang w:eastAsia="en-US"/>
        </w:rPr>
        <w:t>. 10. ed. São Paulo: Atlas, 2007.</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CHIAVENATO, I. </w:t>
      </w:r>
      <w:r>
        <w:rPr>
          <w:rFonts w:eastAsia="Times New Roman" w:cs="Times New Roman"/>
          <w:b/>
          <w:sz w:val="24"/>
          <w:lang w:eastAsia="en-US"/>
        </w:rPr>
        <w:t>Administração: teoria, processo e prática</w:t>
      </w:r>
      <w:r>
        <w:rPr>
          <w:rFonts w:eastAsia="Times New Roman" w:cs="Times New Roman"/>
          <w:sz w:val="24"/>
          <w:lang w:eastAsia="en-US"/>
        </w:rPr>
        <w:t>. 6. ed. Barueri, SP: Atlas, 2022.</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COSTA MAGALHÃES, H. V. </w:t>
      </w:r>
      <w:r>
        <w:rPr>
          <w:rFonts w:eastAsia="Times New Roman" w:cs="Times New Roman"/>
          <w:b/>
          <w:sz w:val="24"/>
          <w:lang w:eastAsia="en-US"/>
        </w:rPr>
        <w:t>Desenvolvimento de um sistema web como ferramenta para análise de viabilidade econômica utilizando Python e Django</w:t>
      </w:r>
      <w:r>
        <w:rPr>
          <w:rFonts w:eastAsia="Times New Roman" w:cs="Times New Roman"/>
          <w:sz w:val="24"/>
          <w:lang w:eastAsia="en-US"/>
        </w:rPr>
        <w:t>. 2022. 72 f. Trabalho de Conclusão de Curso (Graduação em Engenharia Química) – Universidade Federal de Campina Grande, Campina Grande, 2022. Disponível em: https://arandu.iffarroupilha.edu.br/bitstream/itemid/721/1/Artigo-3.pdf.</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val="en-US" w:eastAsia="en-US"/>
        </w:rPr>
        <w:t xml:space="preserve">DARABAD, S. D.; GHANNADPOUR, S. F.; NOORI, S.; BAGHERPOUR, M. </w:t>
      </w:r>
      <w:r>
        <w:rPr>
          <w:rFonts w:eastAsia="Times New Roman" w:cs="Times New Roman"/>
          <w:b/>
          <w:sz w:val="24"/>
          <w:lang w:val="en-US" w:eastAsia="en-US"/>
        </w:rPr>
        <w:t>LeanVironment meets Greenpulse: optimizing sustainable multi-project construction supply chains</w:t>
      </w:r>
      <w:r>
        <w:rPr>
          <w:rFonts w:eastAsia="Times New Roman" w:cs="Times New Roman"/>
          <w:sz w:val="24"/>
          <w:lang w:val="en-US" w:eastAsia="en-US"/>
        </w:rPr>
        <w:t>. Environment, Development and Sustainability, 2025. Disponível em: https://doi.org/10.1007/s10668-025-06589-3.</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DIMAGGIO, P. J.; POWELL, W. W. </w:t>
      </w:r>
      <w:r>
        <w:rPr>
          <w:rFonts w:eastAsia="Times New Roman" w:cs="Times New Roman"/>
          <w:b/>
          <w:sz w:val="24"/>
          <w:lang w:val="en-US" w:eastAsia="en-US"/>
        </w:rPr>
        <w:t>The iron cage revisited: institutional isomorphism and collective rationality in organizational fields</w:t>
      </w:r>
      <w:r>
        <w:rPr>
          <w:rFonts w:eastAsia="Times New Roman" w:cs="Times New Roman"/>
          <w:sz w:val="24"/>
          <w:lang w:val="en-US" w:eastAsia="en-US"/>
        </w:rPr>
        <w:t xml:space="preserve">. </w:t>
      </w:r>
      <w:r>
        <w:rPr>
          <w:rFonts w:eastAsia="Times New Roman" w:cs="Times New Roman"/>
          <w:sz w:val="24"/>
          <w:lang w:eastAsia="en-US"/>
        </w:rPr>
        <w:t>American Sociological Review, v. 48, n. 2, p. 147-160, 1983. Disponível em: https://doi.org/10.2307/2095101.</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val="en-US" w:eastAsia="en-US"/>
        </w:rPr>
        <w:t xml:space="preserve">DRESCH, A.; LACERDA, D. P.; ANTUNES JR., J. A. V. </w:t>
      </w:r>
      <w:r>
        <w:rPr>
          <w:rFonts w:eastAsia="Times New Roman" w:cs="Times New Roman"/>
          <w:b/>
          <w:sz w:val="24"/>
          <w:lang w:val="en-US" w:eastAsia="en-US"/>
        </w:rPr>
        <w:t>Design Science Research: A Method for Science and Technology Advancement</w:t>
      </w:r>
      <w:r>
        <w:rPr>
          <w:rFonts w:eastAsia="Times New Roman" w:cs="Times New Roman"/>
          <w:sz w:val="24"/>
          <w:lang w:val="en-US" w:eastAsia="en-US"/>
        </w:rPr>
        <w:t>. Cham: Springer International Publishing, 2015.</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val="en-US" w:eastAsia="en-US"/>
        </w:rPr>
        <w:t xml:space="preserve">ELLEN MACARTHUR FOUNDATION. </w:t>
      </w:r>
      <w:r>
        <w:rPr>
          <w:rFonts w:eastAsia="Times New Roman" w:cs="Times New Roman"/>
          <w:b/>
          <w:sz w:val="24"/>
          <w:lang w:val="en-US" w:eastAsia="en-US"/>
        </w:rPr>
        <w:t>The butterfly diagram: visualising the circular economy</w:t>
      </w:r>
      <w:r>
        <w:rPr>
          <w:rFonts w:eastAsia="Times New Roman" w:cs="Times New Roman"/>
          <w:sz w:val="24"/>
          <w:lang w:val="en-US" w:eastAsia="en-US"/>
        </w:rPr>
        <w:t>. Cowes: Ellen MacArthur Foundation, 2024. Disponível em: https://www.ellenmacarthurfoundation.org/circular-economy-diagram.</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FAO – FOOD AND AGRICULTURE ORGANIZATION OF THE UNITED NATIONS. </w:t>
      </w:r>
      <w:r>
        <w:rPr>
          <w:rFonts w:eastAsia="Times New Roman" w:cs="Times New Roman"/>
          <w:b/>
          <w:sz w:val="24"/>
          <w:lang w:val="en-US" w:eastAsia="en-US"/>
        </w:rPr>
        <w:t>The State of World Fisheries and Aquaculture 2024: Blue Transformation in action</w:t>
      </w:r>
      <w:r>
        <w:rPr>
          <w:rFonts w:eastAsia="Times New Roman" w:cs="Times New Roman"/>
          <w:sz w:val="24"/>
          <w:lang w:val="en-US" w:eastAsia="en-US"/>
        </w:rPr>
        <w:t xml:space="preserve">. </w:t>
      </w:r>
      <w:r>
        <w:rPr>
          <w:rFonts w:eastAsia="Times New Roman" w:cs="Times New Roman"/>
          <w:sz w:val="24"/>
          <w:lang w:eastAsia="en-US"/>
        </w:rPr>
        <w:t>Rome: FAO, 2024. Disponível em: https://doi.org/10.4060/cd0683en.</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FELIPE, L. M.; LEISMANN, E. L. </w:t>
      </w:r>
      <w:r>
        <w:rPr>
          <w:rFonts w:eastAsia="Times New Roman" w:cs="Times New Roman"/>
          <w:b/>
          <w:sz w:val="24"/>
          <w:lang w:eastAsia="en-US"/>
        </w:rPr>
        <w:t>Análise de viabilidade em projetos: comparação entre os métodos determinísticos e probabilísticos</w:t>
      </w:r>
      <w:r>
        <w:rPr>
          <w:rFonts w:eastAsia="Times New Roman" w:cs="Times New Roman"/>
          <w:sz w:val="24"/>
          <w:lang w:eastAsia="en-US"/>
        </w:rPr>
        <w:t>. Revista de Ciências Empresariais da UNIPAR, Umuarama, v. 20, n. 1, p. 83-106, jan./jun. 2019. Disponível em: https://revistas.unipar.br/index.php/empresarial/article/view/7045.</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FLICK, U. </w:t>
      </w:r>
      <w:r>
        <w:rPr>
          <w:rFonts w:eastAsia="Times New Roman" w:cs="Times New Roman"/>
          <w:b/>
          <w:sz w:val="24"/>
          <w:lang w:eastAsia="en-US"/>
        </w:rPr>
        <w:t>Introdução à pesquisa qualitativa</w:t>
      </w:r>
      <w:r>
        <w:rPr>
          <w:rFonts w:eastAsia="Times New Roman" w:cs="Times New Roman"/>
          <w:sz w:val="24"/>
          <w:lang w:eastAsia="en-US"/>
        </w:rPr>
        <w:t>. 3. ed. Porto Alegre: Artmed, 2009.</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GARCIA, V. C. </w:t>
      </w:r>
      <w:r>
        <w:rPr>
          <w:rFonts w:eastAsia="Times New Roman" w:cs="Times New Roman"/>
          <w:b/>
          <w:sz w:val="24"/>
          <w:lang w:eastAsia="en-US"/>
        </w:rPr>
        <w:t>Refatoração e Otimização com IA: Entre a Automação e o Julgamento Arquitetural</w:t>
      </w:r>
      <w:r>
        <w:rPr>
          <w:rFonts w:eastAsia="Times New Roman" w:cs="Times New Roman"/>
          <w:sz w:val="24"/>
          <w:lang w:eastAsia="en-US"/>
        </w:rPr>
        <w:t>. DEV Community, 31 dez. 2025. Disponível em: https://dev.to/vinicius3w/refatoracao-e-otimizacao-com-ia-entre-a-automacao-e-o-julgamento-arquitetural-38im.</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val="en-US" w:eastAsia="en-US"/>
        </w:rPr>
        <w:t xml:space="preserve">GARNETT, T.; RÖÖS, E.; LITTLE, D. </w:t>
      </w:r>
      <w:r>
        <w:rPr>
          <w:rFonts w:eastAsia="Times New Roman" w:cs="Times New Roman"/>
          <w:b/>
          <w:sz w:val="24"/>
          <w:lang w:val="en-US" w:eastAsia="en-US"/>
        </w:rPr>
        <w:t>Lean, green, mean, obscene…? What is efficiency? And is it sustainable?</w:t>
      </w:r>
      <w:r>
        <w:rPr>
          <w:rFonts w:eastAsia="Times New Roman" w:cs="Times New Roman"/>
          <w:sz w:val="24"/>
          <w:lang w:val="en-US" w:eastAsia="en-US"/>
        </w:rPr>
        <w:t xml:space="preserve"> Oxford: Food Climate Research Network (FCRN), University of Oxford, 2015. Disponível em: https://doi.org/10.13140/RG.2.1.4733.2323.</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val="en-US" w:eastAsia="en-US"/>
        </w:rPr>
        <w:t xml:space="preserve">GIMPEL, A. et al. </w:t>
      </w:r>
      <w:r>
        <w:rPr>
          <w:rFonts w:eastAsia="Times New Roman" w:cs="Times New Roman"/>
          <w:b/>
          <w:sz w:val="24"/>
          <w:lang w:val="en-US" w:eastAsia="en-US"/>
        </w:rPr>
        <w:t>A GIS-based tool for an integrated assessment of spatial planning trade-offs with aquaculture</w:t>
      </w:r>
      <w:r>
        <w:rPr>
          <w:rFonts w:eastAsia="Times New Roman" w:cs="Times New Roman"/>
          <w:sz w:val="24"/>
          <w:lang w:val="en-US" w:eastAsia="en-US"/>
        </w:rPr>
        <w:t>. Science of the Total Environment, v. 627, p. 1644-1655, 2018. Disponível em: https://doi.org/10.1016/j.scitotenv.2018.01.133.</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GRI – GLOBAL REPORTING INITIATIVE. </w:t>
      </w:r>
      <w:r>
        <w:rPr>
          <w:rFonts w:eastAsia="Times New Roman" w:cs="Times New Roman"/>
          <w:b/>
          <w:sz w:val="24"/>
          <w:lang w:eastAsia="en-US"/>
        </w:rPr>
        <w:t>GRI 201: Desempenho Econômico 2016</w:t>
      </w:r>
      <w:r>
        <w:rPr>
          <w:rFonts w:eastAsia="Times New Roman" w:cs="Times New Roman"/>
          <w:sz w:val="24"/>
          <w:lang w:eastAsia="en-US"/>
        </w:rPr>
        <w:t>. Amsterdã: GRI, 2016a. Disponível em: https://www.globalreporting.org/standards/download-the-standards/.</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GRI – GLOBAL REPORTING INITIATIVE. </w:t>
      </w:r>
      <w:r>
        <w:rPr>
          <w:rFonts w:eastAsia="Times New Roman" w:cs="Times New Roman"/>
          <w:b/>
          <w:sz w:val="24"/>
          <w:lang w:eastAsia="en-US"/>
        </w:rPr>
        <w:t>GRI 204: Práticas de Compra 2016</w:t>
      </w:r>
      <w:r>
        <w:rPr>
          <w:rFonts w:eastAsia="Times New Roman" w:cs="Times New Roman"/>
          <w:sz w:val="24"/>
          <w:lang w:eastAsia="en-US"/>
        </w:rPr>
        <w:t>. Amsterdã: GRI, 2016b. Disponível em: https://www.globalreporting.org/standards/download-the-standards/.</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GRI – GLOBAL REPORTING INITIATIVE. </w:t>
      </w:r>
      <w:r>
        <w:rPr>
          <w:rFonts w:eastAsia="Times New Roman" w:cs="Times New Roman"/>
          <w:b/>
          <w:sz w:val="24"/>
          <w:lang w:eastAsia="en-US"/>
        </w:rPr>
        <w:t>GRI 1: Fundamentos 2021</w:t>
      </w:r>
      <w:r>
        <w:rPr>
          <w:rFonts w:eastAsia="Times New Roman" w:cs="Times New Roman"/>
          <w:sz w:val="24"/>
          <w:lang w:eastAsia="en-US"/>
        </w:rPr>
        <w:t>. Amsterdã: GRI, 2021. Disponível em: https://www.globalreporting.org/standards/download-the-standards/.</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GRI – GLOBAL REPORTING INITIATIVE. </w:t>
      </w:r>
      <w:r>
        <w:rPr>
          <w:rFonts w:eastAsia="Times New Roman" w:cs="Times New Roman"/>
          <w:b/>
          <w:sz w:val="24"/>
          <w:lang w:eastAsia="en-US"/>
        </w:rPr>
        <w:t>GRI Standards: diretrizes para relatórios de sustentabilidade</w:t>
      </w:r>
      <w:r>
        <w:rPr>
          <w:rFonts w:eastAsia="Times New Roman" w:cs="Times New Roman"/>
          <w:sz w:val="24"/>
          <w:lang w:eastAsia="en-US"/>
        </w:rPr>
        <w:t>. Amsterdã: GRI, 2024. Disponível em: https://www.globalreporting.org/standards/download-the-standards/.</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GUNASEKARAN, A.; LAI, K.; CHENG, T. C. E. </w:t>
      </w:r>
      <w:r>
        <w:rPr>
          <w:rFonts w:eastAsia="Times New Roman" w:cs="Times New Roman"/>
          <w:b/>
          <w:sz w:val="24"/>
          <w:lang w:val="en-US" w:eastAsia="en-US"/>
        </w:rPr>
        <w:t>Responsive supply chain: a competitive strategy in a networked economy</w:t>
      </w:r>
      <w:r>
        <w:rPr>
          <w:rFonts w:eastAsia="Times New Roman" w:cs="Times New Roman"/>
          <w:sz w:val="24"/>
          <w:lang w:val="en-US" w:eastAsia="en-US"/>
        </w:rPr>
        <w:t xml:space="preserve">. </w:t>
      </w:r>
      <w:r>
        <w:rPr>
          <w:rFonts w:eastAsia="Times New Roman" w:cs="Times New Roman"/>
          <w:sz w:val="24"/>
          <w:lang w:eastAsia="en-US"/>
        </w:rPr>
        <w:t>Omega, v. 36, n. 4, p. 549-564, 2008. Disponível em: https://doi.org/10.1016/j.omega.2006.12.002.</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val="en-US" w:eastAsia="en-US"/>
        </w:rPr>
        <w:t xml:space="preserve">HOEKSTRA, A. Y. </w:t>
      </w:r>
      <w:r>
        <w:rPr>
          <w:rFonts w:eastAsia="Times New Roman" w:cs="Times New Roman"/>
          <w:b/>
          <w:sz w:val="24"/>
          <w:lang w:val="en-US" w:eastAsia="en-US"/>
        </w:rPr>
        <w:t>Water footprint assessment: evolvement of a new research field</w:t>
      </w:r>
      <w:r>
        <w:rPr>
          <w:rFonts w:eastAsia="Times New Roman" w:cs="Times New Roman"/>
          <w:sz w:val="24"/>
          <w:lang w:val="en-US" w:eastAsia="en-US"/>
        </w:rPr>
        <w:t>. Water Resources Management, v. 31, n. 10, p. 3061-3081, 2017. Disponível em: https://doi.org/10.1007/s11269-017-1618-5.</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HURST, B.; IHLEN, Ø. </w:t>
      </w:r>
      <w:r>
        <w:rPr>
          <w:rFonts w:eastAsia="Times New Roman" w:cs="Times New Roman"/>
          <w:b/>
          <w:sz w:val="24"/>
          <w:lang w:val="en-US" w:eastAsia="en-US"/>
        </w:rPr>
        <w:t>Corporate social responsibility and engagement: commitment, mapping of responsibilities and closing the loop</w:t>
      </w:r>
      <w:r>
        <w:rPr>
          <w:rFonts w:eastAsia="Times New Roman" w:cs="Times New Roman"/>
          <w:sz w:val="24"/>
          <w:lang w:val="en-US" w:eastAsia="en-US"/>
        </w:rPr>
        <w:t xml:space="preserve">. In: JOHNSTON, K. A.; TAYLOR, M. (eds.). Handbook of communication engagement. </w:t>
      </w:r>
      <w:r>
        <w:rPr>
          <w:rFonts w:eastAsia="Times New Roman" w:cs="Times New Roman"/>
          <w:sz w:val="24"/>
          <w:lang w:eastAsia="en-US"/>
        </w:rPr>
        <w:t>Malden, MA: Wiley-Blackwell, 2018. p. 133-148. Disponível em: https://doi.org/10.1002/9781119167600.ch10.</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HWANG, C.-L.; YOON, K. </w:t>
      </w:r>
      <w:r>
        <w:rPr>
          <w:rFonts w:eastAsia="Times New Roman" w:cs="Times New Roman"/>
          <w:b/>
          <w:sz w:val="24"/>
          <w:lang w:eastAsia="en-US"/>
        </w:rPr>
        <w:t>Multiple attribute decision making: methods and applications</w:t>
      </w:r>
      <w:r>
        <w:rPr>
          <w:rFonts w:eastAsia="Times New Roman" w:cs="Times New Roman"/>
          <w:sz w:val="24"/>
          <w:lang w:eastAsia="en-US"/>
        </w:rPr>
        <w:t>. Berlin: Springer-Verlag, 1981.</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IBAMA. Coordenação Geral de Petróleo e Gás. </w:t>
      </w:r>
      <w:r>
        <w:rPr>
          <w:rFonts w:eastAsia="Times New Roman" w:cs="Times New Roman"/>
          <w:b/>
          <w:sz w:val="24"/>
          <w:lang w:eastAsia="en-US"/>
        </w:rPr>
        <w:t>Nota Técnica CGPEG/DILIC/IBAMA nº 01/10</w:t>
      </w:r>
      <w:r>
        <w:rPr>
          <w:rFonts w:eastAsia="Times New Roman" w:cs="Times New Roman"/>
          <w:sz w:val="24"/>
          <w:lang w:eastAsia="en-US"/>
        </w:rPr>
        <w:t>: programas de educação ambiental: diretrizes para a elaboração, execução e divulgação dos programas de educação ambiental desenvolvidos regionalmente, nos processos de licenciamento ambiental dos empreendimentos marítimos de exploração e produção de petróleo e gás. Rio de Janeiro: IBAMA, 2010. 37 p. Disponível em: &lt;https://territoriosdopetroleo.uenf.br/wp-content/uploads/2021/06/Nota-Tecnica-01-2010.pdf.&gt;</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IBAMA. </w:t>
      </w:r>
      <w:r>
        <w:rPr>
          <w:rFonts w:eastAsia="Times New Roman" w:cs="Times New Roman"/>
          <w:b/>
          <w:sz w:val="24"/>
          <w:lang w:eastAsia="en-US"/>
        </w:rPr>
        <w:t>Instrução Normativa n. 2, de 27 de março de 2012. Estabelece as bases técnicas para programas de educação ambiental apresentados como medidas mitigadoras ou compensatórias, em cumprimento às condicionantes das licenças ambientais emitidas pelo Instituto Brasileiro do Meio Ambiente e dos Recursos Naturais Renováveis – IBAMA</w:t>
      </w:r>
      <w:r>
        <w:rPr>
          <w:rFonts w:eastAsia="Times New Roman" w:cs="Times New Roman"/>
          <w:sz w:val="24"/>
          <w:lang w:eastAsia="en-US"/>
        </w:rPr>
        <w:t>. Diário Oficial da União: seção 1, Brasília, DF, n. 62, p. 130, 29 mar. 2012. Disponível em: &lt;https://www.gov.br/dnit/pt-br/download/sala-de-imprensa/marcas-e-manuais/in-no-2-27-de-marco-de-2012-ibama.pdf.&gt;</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IBM. </w:t>
      </w:r>
      <w:r>
        <w:rPr>
          <w:rFonts w:eastAsia="Times New Roman" w:cs="Times New Roman"/>
          <w:b/>
          <w:sz w:val="24"/>
          <w:lang w:eastAsia="en-US"/>
        </w:rPr>
        <w:t>A inteligência artificial pode produzir código, mas não consegue pensar como um engenheiro de software</w:t>
      </w:r>
      <w:r>
        <w:rPr>
          <w:rFonts w:eastAsia="Times New Roman" w:cs="Times New Roman"/>
          <w:sz w:val="24"/>
          <w:lang w:eastAsia="en-US"/>
        </w:rPr>
        <w:t>. IBM Think, 2025. Disponível em: https://www.ibm.com/br-pt/think/news/ai-write-code-can-beat-software-engineers.</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val="en-US" w:eastAsia="en-US"/>
        </w:rPr>
        <w:t xml:space="preserve">JANOWSKI, A. </w:t>
      </w:r>
      <w:r>
        <w:rPr>
          <w:rFonts w:eastAsia="Times New Roman" w:cs="Times New Roman"/>
          <w:b/>
          <w:sz w:val="24"/>
          <w:lang w:val="en-US" w:eastAsia="en-US"/>
        </w:rPr>
        <w:t>Philanthropy and the contribution of Andrew Carnegie to corporate social responsibility</w:t>
      </w:r>
      <w:r>
        <w:rPr>
          <w:rFonts w:eastAsia="Times New Roman" w:cs="Times New Roman"/>
          <w:sz w:val="24"/>
          <w:lang w:val="en-US" w:eastAsia="en-US"/>
        </w:rPr>
        <w:t>. Sustainability, Basel, v. 13, n. 1, art. 155, jan. 2021. Disponível em: https://doi.org/10.3390/su13010155.</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KAPLAN, R. S.; NORTON, D. P. </w:t>
      </w:r>
      <w:r>
        <w:rPr>
          <w:rFonts w:eastAsia="Times New Roman" w:cs="Times New Roman"/>
          <w:b/>
          <w:sz w:val="24"/>
          <w:lang w:val="en-US" w:eastAsia="en-US"/>
        </w:rPr>
        <w:t>The Balanced Scorecard: measures that drive performance</w:t>
      </w:r>
      <w:r>
        <w:rPr>
          <w:rFonts w:eastAsia="Times New Roman" w:cs="Times New Roman"/>
          <w:sz w:val="24"/>
          <w:lang w:val="en-US" w:eastAsia="en-US"/>
        </w:rPr>
        <w:t xml:space="preserve">. </w:t>
      </w:r>
      <w:r>
        <w:rPr>
          <w:rFonts w:eastAsia="Times New Roman" w:cs="Times New Roman"/>
          <w:sz w:val="24"/>
          <w:lang w:eastAsia="en-US"/>
        </w:rPr>
        <w:t>Harvard Business Review, Boston, v. 70, n. 1, p. 71-79, jan./fev. 1992.</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val="en-US" w:eastAsia="en-US"/>
        </w:rPr>
        <w:t xml:space="preserve">KOOMSON, S. </w:t>
      </w:r>
      <w:r>
        <w:rPr>
          <w:rFonts w:eastAsia="Times New Roman" w:cs="Times New Roman"/>
          <w:b/>
          <w:sz w:val="24"/>
          <w:lang w:val="en-US" w:eastAsia="en-US"/>
        </w:rPr>
        <w:t>Eco-friendly messages impact on leadership-driven total quality management practices and ESG ratings in the oil and gas industry</w:t>
      </w:r>
      <w:r>
        <w:rPr>
          <w:rFonts w:eastAsia="Times New Roman" w:cs="Times New Roman"/>
          <w:sz w:val="24"/>
          <w:lang w:val="en-US" w:eastAsia="en-US"/>
        </w:rPr>
        <w:t>. Society and Business Review, v. 21, n. 2, p. 233-251, 2026. Disponível em: https://doi.org/10.1108/SBR-12-2024-0388.</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KOSASIH, W.; PUJAWAN, I. N.; KARNINGSIH, P. D. </w:t>
      </w:r>
      <w:r>
        <w:rPr>
          <w:rFonts w:eastAsia="Times New Roman" w:cs="Times New Roman"/>
          <w:b/>
          <w:sz w:val="24"/>
          <w:lang w:val="en-US" w:eastAsia="en-US"/>
        </w:rPr>
        <w:t>Integrated Lean-Green practices and supply chain sustainability for manufacturing SMEs: a systematic literature review and research agenda</w:t>
      </w:r>
      <w:r>
        <w:rPr>
          <w:rFonts w:eastAsia="Times New Roman" w:cs="Times New Roman"/>
          <w:sz w:val="24"/>
          <w:lang w:val="en-US" w:eastAsia="en-US"/>
        </w:rPr>
        <w:t xml:space="preserve">. </w:t>
      </w:r>
      <w:r>
        <w:rPr>
          <w:rFonts w:eastAsia="Times New Roman" w:cs="Times New Roman"/>
          <w:sz w:val="24"/>
          <w:lang w:eastAsia="en-US"/>
        </w:rPr>
        <w:t>Sustainability, v. 15, n. 16, art. 12192, 2023. Disponível em: https://doi.org/10.3390/su151612192.</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KRENAK, A. </w:t>
      </w:r>
      <w:r>
        <w:rPr>
          <w:rFonts w:eastAsia="Times New Roman" w:cs="Times New Roman"/>
          <w:b/>
          <w:sz w:val="24"/>
          <w:lang w:eastAsia="en-US"/>
        </w:rPr>
        <w:t>Ideias para adiar o fim do mundo</w:t>
      </w:r>
      <w:r>
        <w:rPr>
          <w:rFonts w:eastAsia="Times New Roman" w:cs="Times New Roman"/>
          <w:sz w:val="24"/>
          <w:lang w:eastAsia="en-US"/>
        </w:rPr>
        <w:t>. São Paulo: Companhia das Letras, 2019.</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eastAsia="en-US"/>
        </w:rPr>
        <w:t xml:space="preserve">KUBITZA, F. </w:t>
      </w:r>
      <w:r>
        <w:rPr>
          <w:rFonts w:eastAsia="Times New Roman" w:cs="Times New Roman"/>
          <w:b/>
          <w:sz w:val="24"/>
          <w:lang w:eastAsia="en-US"/>
        </w:rPr>
        <w:t>Qualidade da água no cultivo de peixes e camarões</w:t>
      </w:r>
      <w:r>
        <w:rPr>
          <w:rFonts w:eastAsia="Times New Roman" w:cs="Times New Roman"/>
          <w:sz w:val="24"/>
          <w:lang w:eastAsia="en-US"/>
        </w:rPr>
        <w:t xml:space="preserve">. </w:t>
      </w:r>
      <w:r>
        <w:rPr>
          <w:rFonts w:eastAsia="Times New Roman" w:cs="Times New Roman"/>
          <w:sz w:val="24"/>
          <w:lang w:val="en-US" w:eastAsia="en-US"/>
        </w:rPr>
        <w:t>Jundiaí: F. Kubitza, 2017.</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KUMAR, M. </w:t>
      </w:r>
      <w:r>
        <w:rPr>
          <w:rFonts w:eastAsia="Times New Roman" w:cs="Times New Roman"/>
          <w:b/>
          <w:sz w:val="24"/>
          <w:lang w:val="en-US" w:eastAsia="en-US"/>
        </w:rPr>
        <w:t>Formulating a framework for sustainable circular supply chain management: integrating decoupled circular economy and Industry 4.0 attributes through a Fuzzy ISM approach</w:t>
      </w:r>
      <w:r>
        <w:rPr>
          <w:rFonts w:eastAsia="Times New Roman" w:cs="Times New Roman"/>
          <w:sz w:val="24"/>
          <w:lang w:val="en-US" w:eastAsia="en-US"/>
        </w:rPr>
        <w:t xml:space="preserve">. </w:t>
      </w:r>
      <w:r>
        <w:rPr>
          <w:rFonts w:eastAsia="Times New Roman" w:cs="Times New Roman"/>
          <w:sz w:val="24"/>
          <w:lang w:eastAsia="en-US"/>
        </w:rPr>
        <w:t>Management of Environmental Quality, v. 36, n. 8, p. 2189-2233, 2025. Disponível em: https://doi.org/10.1108/MEQ-11-2023-0387.</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LAWRENCE, T. K. et al. </w:t>
      </w:r>
      <w:r>
        <w:rPr>
          <w:rFonts w:eastAsia="Times New Roman" w:cs="Times New Roman"/>
          <w:b/>
          <w:sz w:val="24"/>
          <w:lang w:eastAsia="en-US"/>
        </w:rPr>
        <w:t>Lean management in aquaculture: a practical guide for smallholder fish farmers</w:t>
      </w:r>
      <w:r>
        <w:rPr>
          <w:rFonts w:eastAsia="Times New Roman" w:cs="Times New Roman"/>
          <w:sz w:val="24"/>
          <w:lang w:eastAsia="en-US"/>
        </w:rPr>
        <w:t>. Penang, Malaysia: WorldFish, 2023. (Manual: 2023-18). Disponível em: https://worldfishcenter.org/publication/lean-management-aquaculture-practical-guide-smallholder-fish-farmers.</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LEITÃO, C. F.; PRATES, R. O. </w:t>
      </w:r>
      <w:r>
        <w:rPr>
          <w:rFonts w:eastAsia="Times New Roman" w:cs="Times New Roman"/>
          <w:b/>
          <w:sz w:val="24"/>
          <w:lang w:eastAsia="en-US"/>
        </w:rPr>
        <w:t>A aplicação de métodos qualitativos em computação</w:t>
      </w:r>
      <w:r>
        <w:rPr>
          <w:rFonts w:eastAsia="Times New Roman" w:cs="Times New Roman"/>
          <w:sz w:val="24"/>
          <w:lang w:eastAsia="en-US"/>
        </w:rPr>
        <w:t>. In: Jornadas de Atualização em Informática. Porto Alegre: SBC, 2017.</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eastAsia="en-US"/>
        </w:rPr>
        <w:t xml:space="preserve">LI, Z. et al. </w:t>
      </w:r>
      <w:r>
        <w:rPr>
          <w:rFonts w:eastAsia="Times New Roman" w:cs="Times New Roman"/>
          <w:b/>
          <w:sz w:val="24"/>
          <w:lang w:val="en-US" w:eastAsia="en-US"/>
        </w:rPr>
        <w:t>A review of global aquaculture wastewater treatment and management: sustainable pathways through technological innovations and policy coordination</w:t>
      </w:r>
      <w:r>
        <w:rPr>
          <w:rFonts w:eastAsia="Times New Roman" w:cs="Times New Roman"/>
          <w:sz w:val="24"/>
          <w:lang w:val="en-US" w:eastAsia="en-US"/>
        </w:rPr>
        <w:t>. Journal of Hazardous Materials, v. 503, art. 141235, 2026. Disponível em: https://doi.org/10.1016/j.jhazmat.2026.141235.</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val="en-US" w:eastAsia="en-US"/>
        </w:rPr>
        <w:t xml:space="preserve">MAHMOOD ABD ELKHALIK, S.; ALSAYYED, N. M.; SUKKARI, L.; ALLAN, B.; SWEIS, R. </w:t>
      </w:r>
      <w:r>
        <w:rPr>
          <w:rFonts w:eastAsia="Times New Roman" w:cs="Times New Roman"/>
          <w:b/>
          <w:sz w:val="24"/>
          <w:lang w:val="en-US" w:eastAsia="en-US"/>
        </w:rPr>
        <w:t>Integrating lean principles into sustainability initiatives in the manufacturing sector: a systematic literature review of green and lean practices</w:t>
      </w:r>
      <w:r>
        <w:rPr>
          <w:rFonts w:eastAsia="Times New Roman" w:cs="Times New Roman"/>
          <w:sz w:val="24"/>
          <w:lang w:val="en-US" w:eastAsia="en-US"/>
        </w:rPr>
        <w:t>. Management of Environmental Quality, 2026. Disponível em: https://doi.org/10.1108/MEQ-06-2025-0414.</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MAIER, S.; WEYAND, J. </w:t>
      </w:r>
      <w:r>
        <w:rPr>
          <w:rFonts w:eastAsia="Times New Roman" w:cs="Times New Roman"/>
          <w:b/>
          <w:sz w:val="24"/>
          <w:lang w:val="en-US" w:eastAsia="en-US"/>
        </w:rPr>
        <w:t>pyteea: a Python-based toolbox for automated technical, economic and environmental assessment</w:t>
      </w:r>
      <w:r>
        <w:rPr>
          <w:rFonts w:eastAsia="Times New Roman" w:cs="Times New Roman"/>
          <w:sz w:val="24"/>
          <w:lang w:val="en-US" w:eastAsia="en-US"/>
        </w:rPr>
        <w:t xml:space="preserve">. </w:t>
      </w:r>
      <w:r>
        <w:rPr>
          <w:rFonts w:eastAsia="Times New Roman" w:cs="Times New Roman"/>
          <w:sz w:val="24"/>
          <w:lang w:eastAsia="en-US"/>
        </w:rPr>
        <w:t>Alemanha: DLR-TT-TEA, 2025. Documento técnico. Disponível em: https://elib.dlr.de/221589/.</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MCKINNEY, W. </w:t>
      </w:r>
      <w:r>
        <w:rPr>
          <w:rFonts w:eastAsia="Times New Roman" w:cs="Times New Roman"/>
          <w:b/>
          <w:sz w:val="24"/>
          <w:lang w:val="en-US" w:eastAsia="en-US"/>
        </w:rPr>
        <w:t>Python for data analysis</w:t>
      </w:r>
      <w:r>
        <w:rPr>
          <w:rFonts w:eastAsia="Times New Roman" w:cs="Times New Roman"/>
          <w:sz w:val="24"/>
          <w:lang w:val="en-US" w:eastAsia="en-US"/>
        </w:rPr>
        <w:t xml:space="preserve">. </w:t>
      </w:r>
      <w:r>
        <w:rPr>
          <w:rFonts w:eastAsia="Times New Roman" w:cs="Times New Roman"/>
          <w:sz w:val="24"/>
          <w:lang w:eastAsia="en-US"/>
        </w:rPr>
        <w:t>2. ed. Sebastopol: O'Reilly Media, 2018.</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MCKINSEY. </w:t>
      </w:r>
      <w:r>
        <w:rPr>
          <w:rFonts w:eastAsia="Times New Roman" w:cs="Times New Roman"/>
          <w:b/>
          <w:sz w:val="24"/>
          <w:lang w:eastAsia="en-US"/>
        </w:rPr>
        <w:t>O verdadeiro valor da IA no desenvolvimento de software</w:t>
      </w:r>
      <w:r>
        <w:rPr>
          <w:rFonts w:eastAsia="Times New Roman" w:cs="Times New Roman"/>
          <w:sz w:val="24"/>
          <w:lang w:eastAsia="en-US"/>
        </w:rPr>
        <w:t>. McKinsey &amp; Company, 2025. Disponível em: https://www.mckinsey.com/featured-insights/destaques/o-verdadeiro-valor-da-ia-no-desenvolvimento-de-software/pt.</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MESQUITA, L. L.; LIZARELLI, F. L.; DUARTE, S.; OPRIME, P. C. </w:t>
      </w:r>
      <w:r>
        <w:rPr>
          <w:rFonts w:eastAsia="Times New Roman" w:cs="Times New Roman"/>
          <w:b/>
          <w:sz w:val="24"/>
          <w:lang w:val="en-US" w:eastAsia="en-US"/>
        </w:rPr>
        <w:t>Exploring relationships for integrating lean, environmental sustainability and industry 4.0</w:t>
      </w:r>
      <w:r>
        <w:rPr>
          <w:rFonts w:eastAsia="Times New Roman" w:cs="Times New Roman"/>
          <w:sz w:val="24"/>
          <w:lang w:val="en-US" w:eastAsia="en-US"/>
        </w:rPr>
        <w:t xml:space="preserve">. International Journal of Lean Six Sigma, v. 13, n. 4, p. 863-896, 2022. </w:t>
      </w:r>
      <w:r>
        <w:rPr>
          <w:rFonts w:eastAsia="Times New Roman" w:cs="Times New Roman"/>
          <w:sz w:val="24"/>
          <w:lang w:eastAsia="en-US"/>
        </w:rPr>
        <w:t>Disponível em: https://doi.org/10.1108/IJLSS-09-2020-0145.</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MOTTA, P. R. </w:t>
      </w:r>
      <w:r>
        <w:rPr>
          <w:rFonts w:eastAsia="Times New Roman" w:cs="Times New Roman"/>
          <w:b/>
          <w:sz w:val="24"/>
          <w:lang w:eastAsia="en-US"/>
        </w:rPr>
        <w:t>Gestão contemporânea: a ciência e a arte de ser dirigente</w:t>
      </w:r>
      <w:r>
        <w:rPr>
          <w:rFonts w:eastAsia="Times New Roman" w:cs="Times New Roman"/>
          <w:sz w:val="24"/>
          <w:lang w:eastAsia="en-US"/>
        </w:rPr>
        <w:t>. 15. ed. Rio de Janeiro: Record, 2004.</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val="en-US" w:eastAsia="en-US"/>
        </w:rPr>
        <w:t xml:space="preserve">NAKAJIMA, S. </w:t>
      </w:r>
      <w:r>
        <w:rPr>
          <w:rFonts w:eastAsia="Times New Roman" w:cs="Times New Roman"/>
          <w:b/>
          <w:sz w:val="24"/>
          <w:lang w:val="en-US" w:eastAsia="en-US"/>
        </w:rPr>
        <w:t>Introduction to TPM: total productive maintenance</w:t>
      </w:r>
      <w:r>
        <w:rPr>
          <w:rFonts w:eastAsia="Times New Roman" w:cs="Times New Roman"/>
          <w:sz w:val="24"/>
          <w:lang w:val="en-US" w:eastAsia="en-US"/>
        </w:rPr>
        <w:t>. Cambridge: Productivity Press, 1988.</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val="en-US" w:eastAsia="en-US"/>
        </w:rPr>
        <w:t xml:space="preserve">NAYAL, K. et al. </w:t>
      </w:r>
      <w:r>
        <w:rPr>
          <w:rFonts w:eastAsia="Times New Roman" w:cs="Times New Roman"/>
          <w:b/>
          <w:sz w:val="24"/>
          <w:lang w:eastAsia="en-US"/>
        </w:rPr>
        <w:t>Integrated technologies toward sustainable agriculture supply chains: missing links</w:t>
      </w:r>
      <w:r>
        <w:rPr>
          <w:rFonts w:eastAsia="Times New Roman" w:cs="Times New Roman"/>
          <w:sz w:val="24"/>
          <w:lang w:eastAsia="en-US"/>
        </w:rPr>
        <w:t xml:space="preserve">. </w:t>
      </w:r>
      <w:r>
        <w:rPr>
          <w:rFonts w:eastAsia="Times New Roman" w:cs="Times New Roman"/>
          <w:sz w:val="24"/>
          <w:lang w:val="en-US" w:eastAsia="en-US"/>
        </w:rPr>
        <w:t>Journal of Enterprise Information Management, v. 38, n. 1, p. 318-368, 2025. Disponível em: https://doi.org/10.1108/JEIM-09-2020-0381.</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OLIPHANT, T. E. </w:t>
      </w:r>
      <w:r>
        <w:rPr>
          <w:rFonts w:eastAsia="Times New Roman" w:cs="Times New Roman"/>
          <w:b/>
          <w:sz w:val="24"/>
          <w:lang w:val="en-US" w:eastAsia="en-US"/>
        </w:rPr>
        <w:t>Guide to NumPy</w:t>
      </w:r>
      <w:r>
        <w:rPr>
          <w:rFonts w:eastAsia="Times New Roman" w:cs="Times New Roman"/>
          <w:sz w:val="24"/>
          <w:lang w:val="en-US" w:eastAsia="en-US"/>
        </w:rPr>
        <w:t xml:space="preserve">. </w:t>
      </w:r>
      <w:r>
        <w:rPr>
          <w:rFonts w:eastAsia="Times New Roman" w:cs="Times New Roman"/>
          <w:sz w:val="24"/>
          <w:lang w:eastAsia="en-US"/>
        </w:rPr>
        <w:t>[S. l.]: Trelgol Publishing, 2006.</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eastAsia="en-US"/>
        </w:rPr>
        <w:t xml:space="preserve">OLIVARES-AGUILAR, I. C. et al. </w:t>
      </w:r>
      <w:r>
        <w:rPr>
          <w:rFonts w:eastAsia="Times New Roman" w:cs="Times New Roman"/>
          <w:b/>
          <w:sz w:val="24"/>
          <w:lang w:eastAsia="en-US"/>
        </w:rPr>
        <w:t>Methodological approaches to assess climate vulnerability and cumulative impacts on coastal landscapes</w:t>
      </w:r>
      <w:r>
        <w:rPr>
          <w:rFonts w:eastAsia="Times New Roman" w:cs="Times New Roman"/>
          <w:sz w:val="24"/>
          <w:lang w:eastAsia="en-US"/>
        </w:rPr>
        <w:t xml:space="preserve">. </w:t>
      </w:r>
      <w:r>
        <w:rPr>
          <w:rFonts w:eastAsia="Times New Roman" w:cs="Times New Roman"/>
          <w:sz w:val="24"/>
          <w:lang w:val="en-US" w:eastAsia="en-US"/>
        </w:rPr>
        <w:t>Frontiers in Climate, v. 4, art. 1018182, 2022. Disponível em: https://doi.org/10.3389/fclim.2022.1018182.</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OLIVEIRA, M. R. G. de; MEDEIROS NETO, L. B. de. </w:t>
      </w:r>
      <w:r>
        <w:rPr>
          <w:rFonts w:eastAsia="Times New Roman" w:cs="Times New Roman"/>
          <w:b/>
          <w:sz w:val="24"/>
          <w:lang w:eastAsia="en-US"/>
        </w:rPr>
        <w:t>Simulação de Monte Carlo e valuation: uma abordagem estocástica</w:t>
      </w:r>
      <w:r>
        <w:rPr>
          <w:rFonts w:eastAsia="Times New Roman" w:cs="Times New Roman"/>
          <w:sz w:val="24"/>
          <w:lang w:eastAsia="en-US"/>
        </w:rPr>
        <w:t>. REGE – Revista de Gestão, São Paulo, v. 19, n. 3, p. 449-466, 2012. Disponível em: https://doi.org/10.5700/rege474.</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ONU – ORGANIZAÇÃO DAS NAÇÕES UNIDAS. </w:t>
      </w:r>
      <w:r>
        <w:rPr>
          <w:rFonts w:eastAsia="Times New Roman" w:cs="Times New Roman"/>
          <w:b/>
          <w:sz w:val="24"/>
          <w:lang w:eastAsia="en-US"/>
        </w:rPr>
        <w:t>Transformando nosso mundo: a Agenda 2030 para o desenvolvimento sustentável</w:t>
      </w:r>
      <w:r>
        <w:rPr>
          <w:rFonts w:eastAsia="Times New Roman" w:cs="Times New Roman"/>
          <w:sz w:val="24"/>
          <w:lang w:eastAsia="en-US"/>
        </w:rPr>
        <w:t>. Nova York: ONU, 2015. Disponível em: https://brasil.un.org/pt-br/91863-agenda-2030-para-o-desenvolvimento-sustentavel.</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OSÓRIO, F. S. </w:t>
      </w:r>
      <w:r>
        <w:rPr>
          <w:rFonts w:eastAsia="Times New Roman" w:cs="Times New Roman"/>
          <w:b/>
          <w:sz w:val="24"/>
          <w:lang w:eastAsia="en-US"/>
        </w:rPr>
        <w:t>Inteligência Artificial: usos, impactos e desafios no ensino superior</w:t>
      </w:r>
      <w:r>
        <w:rPr>
          <w:rFonts w:eastAsia="Times New Roman" w:cs="Times New Roman"/>
          <w:sz w:val="24"/>
          <w:lang w:eastAsia="en-US"/>
        </w:rPr>
        <w:t>. In: PINTO JR., A.; CONSONNI, S. R. (org.). Inteligência Artificial, Competências e Tecnologias Digitais na Educação Superior. Campinas: BCCL/UNICAMP, 2025. p. 55-80.</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PAGE, M. J. </w:t>
      </w:r>
      <w:r>
        <w:rPr>
          <w:rFonts w:eastAsia="Times New Roman" w:cs="Times New Roman"/>
          <w:i/>
          <w:iCs/>
          <w:sz w:val="24"/>
          <w:lang w:eastAsia="en-US"/>
        </w:rPr>
        <w:t>et al</w:t>
      </w:r>
      <w:r>
        <w:rPr>
          <w:rFonts w:eastAsia="Times New Roman" w:cs="Times New Roman"/>
          <w:sz w:val="24"/>
          <w:lang w:eastAsia="en-US"/>
        </w:rPr>
        <w:t xml:space="preserve">. </w:t>
      </w:r>
      <w:r>
        <w:rPr>
          <w:rFonts w:eastAsia="Times New Roman" w:cs="Times New Roman"/>
          <w:b/>
          <w:sz w:val="24"/>
          <w:lang w:eastAsia="en-US"/>
        </w:rPr>
        <w:t>The PRISMA 2020 statement: an updated guideline for reporting systematic reviews</w:t>
      </w:r>
      <w:r>
        <w:rPr>
          <w:rFonts w:eastAsia="Times New Roman" w:cs="Times New Roman"/>
          <w:sz w:val="24"/>
          <w:lang w:eastAsia="en-US"/>
        </w:rPr>
        <w:t>. BMJ, v. 372, art. n71, 2021. Disponível em: https://doi.org/10.1136/bmj.n71.</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val="en-US" w:eastAsia="en-US"/>
        </w:rPr>
        <w:t xml:space="preserve">PAGH, J. D.; COOPER, M. C. </w:t>
      </w:r>
      <w:r>
        <w:rPr>
          <w:rFonts w:eastAsia="Times New Roman" w:cs="Times New Roman"/>
          <w:b/>
          <w:sz w:val="24"/>
          <w:lang w:val="en-US" w:eastAsia="en-US"/>
        </w:rPr>
        <w:t>Supply chain postponement and speculation strategies: how to choose the right strategy</w:t>
      </w:r>
      <w:r>
        <w:rPr>
          <w:rFonts w:eastAsia="Times New Roman" w:cs="Times New Roman"/>
          <w:sz w:val="24"/>
          <w:lang w:val="en-US" w:eastAsia="en-US"/>
        </w:rPr>
        <w:t>. Journal of Business Logistics, Oak Brook, v. 19, n. 2, p. 13-33, 1998.</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PARMENTER, D. </w:t>
      </w:r>
      <w:r>
        <w:rPr>
          <w:rFonts w:eastAsia="Times New Roman" w:cs="Times New Roman"/>
          <w:b/>
          <w:sz w:val="24"/>
          <w:lang w:val="en-US" w:eastAsia="en-US"/>
        </w:rPr>
        <w:t>Key Performance Indicators: developing, implementing, and using winning KPIs</w:t>
      </w:r>
      <w:r>
        <w:rPr>
          <w:rFonts w:eastAsia="Times New Roman" w:cs="Times New Roman"/>
          <w:sz w:val="24"/>
          <w:lang w:val="en-US" w:eastAsia="en-US"/>
        </w:rPr>
        <w:t xml:space="preserve">. 3. ed. </w:t>
      </w:r>
      <w:r>
        <w:rPr>
          <w:rFonts w:eastAsia="Times New Roman" w:cs="Times New Roman"/>
          <w:sz w:val="24"/>
          <w:lang w:eastAsia="en-US"/>
        </w:rPr>
        <w:t>Hoboken: John Wiley &amp; Sons, 2015.</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PINTO JR., A.; CONSONNI, S. R. (org.). </w:t>
      </w:r>
      <w:r>
        <w:rPr>
          <w:rFonts w:eastAsia="Times New Roman" w:cs="Times New Roman"/>
          <w:b/>
          <w:sz w:val="24"/>
          <w:lang w:eastAsia="en-US"/>
        </w:rPr>
        <w:t>Inteligência Artificial, Competências e Tecnologias Digitais na Educação Superior</w:t>
      </w:r>
      <w:r>
        <w:rPr>
          <w:rFonts w:eastAsia="Times New Roman" w:cs="Times New Roman"/>
          <w:sz w:val="24"/>
          <w:lang w:eastAsia="en-US"/>
        </w:rPr>
        <w:t>. Campinas: BCCL/UNICAMP, 2025. ISBN 978-65-88816-86-8.</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PMI – PROJECT MANAGEMENT INSTITUTE. </w:t>
      </w:r>
      <w:r>
        <w:rPr>
          <w:rFonts w:eastAsia="Times New Roman" w:cs="Times New Roman"/>
          <w:b/>
          <w:sz w:val="24"/>
          <w:lang w:eastAsia="en-US"/>
        </w:rPr>
        <w:t>Guia PMBOK: um guia do conhecimento em gerenciamento de projetos</w:t>
      </w:r>
      <w:r>
        <w:rPr>
          <w:rFonts w:eastAsia="Times New Roman" w:cs="Times New Roman"/>
          <w:sz w:val="24"/>
          <w:lang w:eastAsia="en-US"/>
        </w:rPr>
        <w:t>. 7. ed. Newtown Square, PA: PMI, 2021.</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PORTER, M. E. </w:t>
      </w:r>
      <w:r>
        <w:rPr>
          <w:rFonts w:eastAsia="Times New Roman" w:cs="Times New Roman"/>
          <w:b/>
          <w:sz w:val="24"/>
          <w:lang w:val="en-US" w:eastAsia="en-US"/>
        </w:rPr>
        <w:t>What is strategy?</w:t>
      </w:r>
      <w:r>
        <w:rPr>
          <w:rFonts w:eastAsia="Times New Roman" w:cs="Times New Roman"/>
          <w:sz w:val="24"/>
          <w:lang w:val="en-US" w:eastAsia="en-US"/>
        </w:rPr>
        <w:t xml:space="preserve"> Harvard Business Review, Boston, v. 74, n. 6, p. 61-78, nov./dez. 1996. </w:t>
      </w:r>
      <w:r>
        <w:rPr>
          <w:rFonts w:eastAsia="Times New Roman" w:cs="Times New Roman"/>
          <w:sz w:val="24"/>
          <w:lang w:eastAsia="en-US"/>
        </w:rPr>
        <w:t>Disponível em: https://hbr.org/1996/11/what-is-strategy.</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QUEIROZ, G. A.; ALVES JUNIOR, P. N.; COSTA MELO, I. </w:t>
      </w:r>
      <w:r>
        <w:rPr>
          <w:rFonts w:eastAsia="Times New Roman" w:cs="Times New Roman"/>
          <w:b/>
          <w:sz w:val="24"/>
          <w:lang w:val="en-US" w:eastAsia="en-US"/>
        </w:rPr>
        <w:t>Digitalization as an enabler to SMEs implementing Lean-Green? A systematic review through the topic modelling approach</w:t>
      </w:r>
      <w:r>
        <w:rPr>
          <w:rFonts w:eastAsia="Times New Roman" w:cs="Times New Roman"/>
          <w:sz w:val="24"/>
          <w:lang w:val="en-US" w:eastAsia="en-US"/>
        </w:rPr>
        <w:t xml:space="preserve">. Sustainability, Basel, v. 14, n. 21, art. 14089, 2022. </w:t>
      </w:r>
      <w:r>
        <w:rPr>
          <w:rFonts w:eastAsia="Times New Roman" w:cs="Times New Roman"/>
          <w:sz w:val="24"/>
          <w:lang w:eastAsia="en-US"/>
        </w:rPr>
        <w:t>Disponível em: https://doi.org/10.3390/su142114089.</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RAMOS, J. F. et al. </w:t>
      </w:r>
      <w:r>
        <w:rPr>
          <w:rFonts w:eastAsia="Times New Roman" w:cs="Times New Roman"/>
          <w:b/>
          <w:sz w:val="24"/>
          <w:lang w:eastAsia="en-US"/>
        </w:rPr>
        <w:t>Desenvolvimento de software para análise de viabilidade econômica em empreendimentos aquícolas</w:t>
      </w:r>
      <w:r>
        <w:rPr>
          <w:rFonts w:eastAsia="Times New Roman" w:cs="Times New Roman"/>
          <w:sz w:val="24"/>
          <w:lang w:eastAsia="en-US"/>
        </w:rPr>
        <w:t>. In: CONGRESSO TÉCNICO CIENTÍFICO DA ENGENHARIA E DA AGRONOMIA, 10., 2024, Salvador. Anais [...]. [Brasília]: Confea, 2024. p. 1-5. Disponível em: https://www.confea.org.br/midias/uploads-imce/contecc%202024/AGRO/DESENVOLVIMENTO_DE_SOFTWARE_PARA_AN%C3%81LISE_DE_VIABILIDADE_ECON%C3%94MICA_EM_EMPREENDIMENTOS_AQU%C3%8DCOLAS.pdf.</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RAZA, M. H.; ZHONG, R. Y. </w:t>
      </w:r>
      <w:r>
        <w:rPr>
          <w:rFonts w:eastAsia="Times New Roman" w:cs="Times New Roman"/>
          <w:b/>
          <w:sz w:val="24"/>
          <w:lang w:val="en-US" w:eastAsia="en-US"/>
        </w:rPr>
        <w:t>Integration of additive manufacturing, lean and green construction: a conceptual framework</w:t>
      </w:r>
      <w:r>
        <w:rPr>
          <w:rFonts w:eastAsia="Times New Roman" w:cs="Times New Roman"/>
          <w:sz w:val="24"/>
          <w:lang w:val="en-US" w:eastAsia="en-US"/>
        </w:rPr>
        <w:t xml:space="preserve">. </w:t>
      </w:r>
      <w:r>
        <w:rPr>
          <w:rFonts w:eastAsia="Times New Roman" w:cs="Times New Roman"/>
          <w:sz w:val="24"/>
          <w:lang w:eastAsia="en-US"/>
        </w:rPr>
        <w:t>Procedia CIRP, v. 128, p. 180-185, 2024. Disponível em: https://doi.org/10.1016/j.procir.2024.06.018.</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REZENDE, F. P. et al. </w:t>
      </w:r>
      <w:r>
        <w:rPr>
          <w:rFonts w:eastAsia="Times New Roman" w:cs="Times New Roman"/>
          <w:b/>
          <w:sz w:val="24"/>
          <w:lang w:eastAsia="en-US"/>
        </w:rPr>
        <w:t>Sistemas e infraestrutura de produção</w:t>
      </w:r>
      <w:r>
        <w:rPr>
          <w:rFonts w:eastAsia="Times New Roman" w:cs="Times New Roman"/>
          <w:sz w:val="24"/>
          <w:lang w:eastAsia="en-US"/>
        </w:rPr>
        <w:t>. In: REZENDE, F. P.; FUJIMOTO, R. Y. (org.). Peixes ornamentais no Brasil: mercado, legislação, sistemas de produção e sanidade. Brasília, DF: Embrapa, 2021. p. 139-226. Disponível em: https://www.infoteca.cnptia.embrapa.br/infoteca/handle/doc/1133452.</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RUBINSTEIN, R. Y.; KROESE, D. P. </w:t>
      </w:r>
      <w:r>
        <w:rPr>
          <w:rFonts w:eastAsia="Times New Roman" w:cs="Times New Roman"/>
          <w:b/>
          <w:bCs/>
          <w:sz w:val="24"/>
          <w:lang w:eastAsia="en-US"/>
        </w:rPr>
        <w:t>Simulation and the Monte Carlo method</w:t>
      </w:r>
      <w:r>
        <w:rPr>
          <w:rFonts w:eastAsia="Times New Roman" w:cs="Times New Roman"/>
          <w:sz w:val="24"/>
          <w:lang w:eastAsia="en-US"/>
        </w:rPr>
        <w:t>. 3. ed. Hoboken: John Wiley &amp; Sons, 2017. (Wiley Series in Probability and Statistics). Disponível em: https://doi.org/10.1002/9781118631980.</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val="en-US" w:eastAsia="en-US"/>
        </w:rPr>
        <w:t xml:space="preserve">RYAN, M. J.; WHEATCRAFT, L. S. </w:t>
      </w:r>
      <w:r>
        <w:rPr>
          <w:rFonts w:eastAsia="Times New Roman" w:cs="Times New Roman"/>
          <w:b/>
          <w:sz w:val="24"/>
          <w:lang w:val="en-US" w:eastAsia="en-US"/>
        </w:rPr>
        <w:t>On the use of the terms verification and validation</w:t>
      </w:r>
      <w:r>
        <w:rPr>
          <w:rFonts w:eastAsia="Times New Roman" w:cs="Times New Roman"/>
          <w:sz w:val="24"/>
          <w:lang w:val="en-US" w:eastAsia="en-US"/>
        </w:rPr>
        <w:t>. In: INCOSE INTERNATIONAL SYMPOSIUM, 2017, Adelaide. Proceedings […]. Adelaide: Wiley, 2017. p. 1-15. Disponível em: https://doi.org/10.1002/j.2334-5837.2017.00427.x.</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SAATY, T. L. </w:t>
      </w:r>
      <w:r>
        <w:rPr>
          <w:rFonts w:eastAsia="Times New Roman" w:cs="Times New Roman"/>
          <w:b/>
          <w:sz w:val="24"/>
          <w:lang w:eastAsia="en-US"/>
        </w:rPr>
        <w:t>The analytic hierarchy process: planning, priority setting, resource allocation</w:t>
      </w:r>
      <w:r>
        <w:rPr>
          <w:rFonts w:eastAsia="Times New Roman" w:cs="Times New Roman"/>
          <w:sz w:val="24"/>
          <w:lang w:eastAsia="en-US"/>
        </w:rPr>
        <w:t>. New York: McGraw-Hill, 1980.</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SACHS, I. </w:t>
      </w:r>
      <w:r>
        <w:rPr>
          <w:rFonts w:eastAsia="Times New Roman" w:cs="Times New Roman"/>
          <w:b/>
          <w:sz w:val="24"/>
          <w:lang w:eastAsia="en-US"/>
        </w:rPr>
        <w:t>Caminhos para o desenvolvimento sustentável</w:t>
      </w:r>
      <w:r>
        <w:rPr>
          <w:rFonts w:eastAsia="Times New Roman" w:cs="Times New Roman"/>
          <w:sz w:val="24"/>
          <w:lang w:eastAsia="en-US"/>
        </w:rPr>
        <w:t>. Rio de Janeiro: Garamond, 2009.</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SANTOS, G. et al. </w:t>
      </w:r>
      <w:r>
        <w:rPr>
          <w:rFonts w:eastAsia="Times New Roman" w:cs="Times New Roman"/>
          <w:b/>
          <w:sz w:val="24"/>
          <w:lang w:eastAsia="en-US"/>
        </w:rPr>
        <w:t>Partindo do DT aplicado à engenharia de prompt</w:t>
      </w:r>
      <w:r>
        <w:rPr>
          <w:rFonts w:eastAsia="Times New Roman" w:cs="Times New Roman"/>
          <w:sz w:val="24"/>
          <w:lang w:eastAsia="en-US"/>
        </w:rPr>
        <w:t>. Anais do Congresso Brasileiro de Assistentes Sociais (CBAS), 2025. Disponível em: &lt;https://cfess.org.br/cbas2025-assets/pdf/625-1278387_08_08_2025_23-13-42_7623_v4.pdf.&gt;</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SCHUMPETER, J. A. </w:t>
      </w:r>
      <w:r>
        <w:rPr>
          <w:rFonts w:eastAsia="Times New Roman" w:cs="Times New Roman"/>
          <w:b/>
          <w:sz w:val="24"/>
          <w:lang w:eastAsia="en-US"/>
        </w:rPr>
        <w:t>Capitalismo, socialismo e democracia</w:t>
      </w:r>
      <w:r>
        <w:rPr>
          <w:rFonts w:eastAsia="Times New Roman" w:cs="Times New Roman"/>
          <w:sz w:val="24"/>
          <w:lang w:eastAsia="en-US"/>
        </w:rPr>
        <w:t>. 3. ed. Rio de Janeiro: Fundo de Cultura, 1961.</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SHABUR, M. A. </w:t>
      </w:r>
      <w:r>
        <w:rPr>
          <w:rFonts w:eastAsia="Times New Roman" w:cs="Times New Roman"/>
          <w:b/>
          <w:sz w:val="24"/>
          <w:lang w:val="en-US" w:eastAsia="en-US"/>
        </w:rPr>
        <w:t>A comprehensive review on the impact of Industry 4.0 on the development of a sustainable environment</w:t>
      </w:r>
      <w:r>
        <w:rPr>
          <w:rFonts w:eastAsia="Times New Roman" w:cs="Times New Roman"/>
          <w:sz w:val="24"/>
          <w:lang w:val="en-US" w:eastAsia="en-US"/>
        </w:rPr>
        <w:t xml:space="preserve">. </w:t>
      </w:r>
      <w:r>
        <w:rPr>
          <w:rFonts w:eastAsia="Times New Roman" w:cs="Times New Roman"/>
          <w:sz w:val="24"/>
          <w:lang w:eastAsia="en-US"/>
        </w:rPr>
        <w:t>Discover Sustainability, v. 5, art. 97, 2024. Disponível em: https://doi.org/10.1007/s43621-024-00290-7.</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eastAsia="en-US"/>
        </w:rPr>
        <w:t xml:space="preserve">SHITU, A. et al. </w:t>
      </w:r>
      <w:r>
        <w:rPr>
          <w:rFonts w:eastAsia="Times New Roman" w:cs="Times New Roman"/>
          <w:b/>
          <w:sz w:val="24"/>
          <w:lang w:eastAsia="en-US"/>
        </w:rPr>
        <w:t>Review of recent advances in utilising aquaculture wastewater for algae cultivation and microalgae-based bioproduct recovery</w:t>
      </w:r>
      <w:r>
        <w:rPr>
          <w:rFonts w:eastAsia="Times New Roman" w:cs="Times New Roman"/>
          <w:sz w:val="24"/>
          <w:lang w:eastAsia="en-US"/>
        </w:rPr>
        <w:t xml:space="preserve">. </w:t>
      </w:r>
      <w:r>
        <w:rPr>
          <w:rFonts w:eastAsia="Times New Roman" w:cs="Times New Roman"/>
          <w:sz w:val="24"/>
          <w:lang w:val="en-US" w:eastAsia="en-US"/>
        </w:rPr>
        <w:t>Environmental Geochemistry and Health, v. 46, n. 12, art. 485, 2024. Disponível em: https://doi.org/10.1007/s10653-024-02286-8.</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SILVA ARAÚJO, L.; KEESMAN, K. J.; GODDEK, S. </w:t>
      </w:r>
      <w:r>
        <w:rPr>
          <w:rFonts w:eastAsia="Times New Roman" w:cs="Times New Roman"/>
          <w:b/>
          <w:sz w:val="24"/>
          <w:lang w:val="en-US" w:eastAsia="en-US"/>
        </w:rPr>
        <w:t>Making aquaponics a business: a framework</w:t>
      </w:r>
      <w:r>
        <w:rPr>
          <w:rFonts w:eastAsia="Times New Roman" w:cs="Times New Roman"/>
          <w:sz w:val="24"/>
          <w:lang w:val="en-US" w:eastAsia="en-US"/>
        </w:rPr>
        <w:t xml:space="preserve">. </w:t>
      </w:r>
      <w:r>
        <w:rPr>
          <w:rFonts w:eastAsia="Times New Roman" w:cs="Times New Roman"/>
          <w:sz w:val="24"/>
          <w:lang w:eastAsia="en-US"/>
        </w:rPr>
        <w:t>Water, v. 13, n. 21, art. 2978, 2021. Disponível em: https://doi.org/10.3390/w13212978.</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SLACK, N.; CHAMBERS, S.; JOHNSTON, R. </w:t>
      </w:r>
      <w:r>
        <w:rPr>
          <w:rFonts w:eastAsia="Times New Roman" w:cs="Times New Roman"/>
          <w:b/>
          <w:sz w:val="24"/>
          <w:lang w:eastAsia="en-US"/>
        </w:rPr>
        <w:t>Administração da produção</w:t>
      </w:r>
      <w:r>
        <w:rPr>
          <w:rFonts w:eastAsia="Times New Roman" w:cs="Times New Roman"/>
          <w:sz w:val="24"/>
          <w:lang w:eastAsia="en-US"/>
        </w:rPr>
        <w:t>. 2. ed. São Paulo: Atlas, 2002.</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SWEIGART, A. </w:t>
      </w:r>
      <w:r>
        <w:rPr>
          <w:rFonts w:eastAsia="Times New Roman" w:cs="Times New Roman"/>
          <w:b/>
          <w:bCs/>
          <w:sz w:val="24"/>
          <w:lang w:eastAsia="en-US"/>
        </w:rPr>
        <w:t>Automate the boring stuff with Python: practical programming for total beginners.</w:t>
      </w:r>
      <w:r>
        <w:rPr>
          <w:rFonts w:eastAsia="Times New Roman" w:cs="Times New Roman"/>
          <w:sz w:val="24"/>
          <w:lang w:eastAsia="en-US"/>
        </w:rPr>
        <w:t xml:space="preserve"> 1. ed. San Francisco: No Starch Press, 2015.</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TEECE, D. J.; PISANO, G.; SHUEN, A. </w:t>
      </w:r>
      <w:r>
        <w:rPr>
          <w:rFonts w:eastAsia="Times New Roman" w:cs="Times New Roman"/>
          <w:b/>
          <w:sz w:val="24"/>
          <w:lang w:val="en-US" w:eastAsia="en-US"/>
        </w:rPr>
        <w:t>Dynamic capabilities and strategic management</w:t>
      </w:r>
      <w:r>
        <w:rPr>
          <w:rFonts w:eastAsia="Times New Roman" w:cs="Times New Roman"/>
          <w:sz w:val="24"/>
          <w:lang w:val="en-US" w:eastAsia="en-US"/>
        </w:rPr>
        <w:t xml:space="preserve">. </w:t>
      </w:r>
      <w:r>
        <w:rPr>
          <w:rFonts w:eastAsia="Times New Roman" w:cs="Times New Roman"/>
          <w:sz w:val="24"/>
          <w:lang w:eastAsia="en-US"/>
        </w:rPr>
        <w:t>Strategic Management Journal, v. 18, n. 7, p. 509-533, 1997. Disponível em: https://doi.org/10.1002/(SICI)1097-0266(199708)18:7&lt;509::AID-SMJ882&gt;3.0.CO;2-Z.</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UBALDO, L. A. do N.; COELHO, J. </w:t>
      </w:r>
      <w:r>
        <w:rPr>
          <w:rFonts w:eastAsia="Times New Roman" w:cs="Times New Roman"/>
          <w:b/>
          <w:sz w:val="24"/>
          <w:lang w:eastAsia="en-US"/>
        </w:rPr>
        <w:t>Investigando o Uso da Inteligência Artificial em Projetos Python Hospedados no GitHub</w:t>
      </w:r>
      <w:r>
        <w:rPr>
          <w:rFonts w:eastAsia="Times New Roman" w:cs="Times New Roman"/>
          <w:sz w:val="24"/>
          <w:lang w:eastAsia="en-US"/>
        </w:rPr>
        <w:t>. Anais do XII Workshop de Visualização, Evolução e Manutenção de Software (VEM). Porto Alegre: Sociedade Brasileira de Computação, 2024. p. 13-22. Disponível em: https://sol.sbc.org.br/index.php/vem/article/view/30278.</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val="en-US" w:eastAsia="en-US"/>
        </w:rPr>
        <w:t xml:space="preserve">WANG, J.; ZHANG, Y.; YAO, X.; ZHU, X. </w:t>
      </w:r>
      <w:r>
        <w:rPr>
          <w:rFonts w:eastAsia="Times New Roman" w:cs="Times New Roman"/>
          <w:b/>
          <w:sz w:val="24"/>
          <w:lang w:val="en-US" w:eastAsia="en-US"/>
        </w:rPr>
        <w:t>The impact of lean inventory management on ESG performance</w:t>
      </w:r>
      <w:r>
        <w:rPr>
          <w:rFonts w:eastAsia="Times New Roman" w:cs="Times New Roman"/>
          <w:sz w:val="24"/>
          <w:lang w:val="en-US" w:eastAsia="en-US"/>
        </w:rPr>
        <w:t>. Journal of Manufacturing Technology Management, v. 36, n. 5, p. 1096-1118, 2025. Disponível em: https://doi.org/10.1108/JMTM-09-2024-0516.</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WAZLAWICK, R. S. </w:t>
      </w:r>
      <w:r>
        <w:rPr>
          <w:rFonts w:eastAsia="Times New Roman" w:cs="Times New Roman"/>
          <w:b/>
          <w:sz w:val="24"/>
          <w:lang w:eastAsia="en-US"/>
        </w:rPr>
        <w:t>Metodologia de Pesquisa para Ciência da Computação</w:t>
      </w:r>
      <w:r>
        <w:rPr>
          <w:rFonts w:eastAsia="Times New Roman" w:cs="Times New Roman"/>
          <w:sz w:val="24"/>
          <w:lang w:eastAsia="en-US"/>
        </w:rPr>
        <w:t>. 1. ed. Rio de Janeiro: Elsevier, 2009.</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eastAsia="en-US"/>
        </w:rPr>
        <w:t xml:space="preserve">WBCSD – WORLD BUSINESS COUNCIL FOR SUSTAINABLE DEVELOPMENT. </w:t>
      </w:r>
      <w:r>
        <w:rPr>
          <w:rFonts w:eastAsia="Times New Roman" w:cs="Times New Roman"/>
          <w:b/>
          <w:sz w:val="24"/>
          <w:lang w:eastAsia="en-US"/>
        </w:rPr>
        <w:t>Eco-efficiency: creating more value with less impact</w:t>
      </w:r>
      <w:r>
        <w:rPr>
          <w:rFonts w:eastAsia="Times New Roman" w:cs="Times New Roman"/>
          <w:sz w:val="24"/>
          <w:lang w:eastAsia="en-US"/>
        </w:rPr>
        <w:t>. Geneva: WBCSD, 2000.</w:t>
      </w:r>
    </w:p>
    <w:p>
      <w:pPr>
        <w:pStyle w:val="Normal"/>
        <w:suppressAutoHyphens w:val="false"/>
        <w:spacing w:lineRule="auto" w:line="240" w:before="0" w:after="240"/>
        <w:rPr>
          <w:rFonts w:ascii="Times New Roman" w:hAnsi="Times New Roman" w:eastAsia="Times New Roman" w:cs="Times New Roman"/>
          <w:sz w:val="24"/>
          <w:lang w:val="en-US" w:eastAsia="en-US"/>
        </w:rPr>
      </w:pPr>
      <w:r>
        <w:rPr>
          <w:rFonts w:eastAsia="Times New Roman" w:cs="Times New Roman"/>
          <w:sz w:val="24"/>
          <w:lang w:val="en-US" w:eastAsia="en-US"/>
        </w:rPr>
        <w:t xml:space="preserve">XU, Y.; ZHU, N. </w:t>
      </w:r>
      <w:r>
        <w:rPr>
          <w:rFonts w:eastAsia="Times New Roman" w:cs="Times New Roman"/>
          <w:b/>
          <w:sz w:val="24"/>
          <w:lang w:val="en-US" w:eastAsia="en-US"/>
        </w:rPr>
        <w:t>The effect of Environmental, Social, and Governance (ESG) performance on corporate financial performance in China: based on the perspective of innovation and financial constraints</w:t>
      </w:r>
      <w:r>
        <w:rPr>
          <w:rFonts w:eastAsia="Times New Roman" w:cs="Times New Roman"/>
          <w:sz w:val="24"/>
          <w:lang w:val="en-US" w:eastAsia="en-US"/>
        </w:rPr>
        <w:t>. Sustainability, v. 16, n. 8, art. 3329, 2024. Disponível em: https://doi.org/10.3390/su16083329.</w:t>
      </w:r>
    </w:p>
    <w:p>
      <w:pPr>
        <w:pStyle w:val="Normal"/>
        <w:suppressAutoHyphens w:val="false"/>
        <w:spacing w:lineRule="auto" w:line="240" w:before="0" w:after="240"/>
        <w:rPr>
          <w:rFonts w:ascii="Times New Roman" w:hAnsi="Times New Roman" w:eastAsia="Times New Roman" w:cs="Times New Roman"/>
          <w:sz w:val="24"/>
          <w:lang w:eastAsia="en-US"/>
        </w:rPr>
      </w:pPr>
      <w:r>
        <w:rPr>
          <w:rFonts w:eastAsia="Times New Roman" w:cs="Times New Roman"/>
          <w:sz w:val="24"/>
          <w:lang w:val="en-US" w:eastAsia="en-US"/>
        </w:rPr>
        <w:t xml:space="preserve">YADAV, V.; GAHLOT, P. </w:t>
      </w:r>
      <w:r>
        <w:rPr>
          <w:rFonts w:eastAsia="Times New Roman" w:cs="Times New Roman"/>
          <w:b/>
          <w:sz w:val="24"/>
          <w:lang w:val="en-US" w:eastAsia="en-US"/>
        </w:rPr>
        <w:t>Green Lean Six Sigma sustainability-oriented framework for small and medium enterprises</w:t>
      </w:r>
      <w:r>
        <w:rPr>
          <w:rFonts w:eastAsia="Times New Roman" w:cs="Times New Roman"/>
          <w:sz w:val="24"/>
          <w:lang w:val="en-US" w:eastAsia="en-US"/>
        </w:rPr>
        <w:t xml:space="preserve">. International Journal of Quality &amp; Reliability Management, Bingley, v. 39, n. 7, p. 1787-1807, 2022. </w:t>
      </w:r>
      <w:r>
        <w:rPr>
          <w:rFonts w:eastAsia="Times New Roman" w:cs="Times New Roman"/>
          <w:sz w:val="24"/>
          <w:lang w:eastAsia="en-US"/>
        </w:rPr>
        <w:t>Disponível em: https://doi.org/10.1108/IJQRM-08-2021-0297.</w:t>
      </w:r>
    </w:p>
    <w:p>
      <w:pPr>
        <w:pStyle w:val="Normal"/>
        <w:suppressAutoHyphens w:val="false"/>
        <w:spacing w:lineRule="auto" w:line="240" w:beforeAutospacing="1" w:afterAutospacing="1"/>
        <w:rPr>
          <w:rFonts w:ascii="Times New Roman" w:hAnsi="Times New Roman" w:eastAsia="Times New Roman" w:cs="Times New Roman"/>
          <w:color w:themeColor="text1" w:val="000000"/>
          <w:sz w:val="24"/>
          <w:szCs w:val="24"/>
        </w:rPr>
      </w:pPr>
      <w:r>
        <w:rPr>
          <w:rFonts w:eastAsia="Times New Roman" w:cs="Times New Roman"/>
          <w:sz w:val="24"/>
          <w:lang w:eastAsia="en-US"/>
        </w:rPr>
        <w:t xml:space="preserve">YOKOYAMA, T. T.; OLIVEIRA, M. A.; FUTAMI, A. H. </w:t>
      </w:r>
      <w:r>
        <w:rPr>
          <w:rFonts w:eastAsia="Times New Roman" w:cs="Times New Roman"/>
          <w:b/>
          <w:sz w:val="24"/>
          <w:lang w:eastAsia="en-US"/>
        </w:rPr>
        <w:t>Gestão da cadeia de suprimentos enxuta e verde: uma revisão e análise bibliométrica</w:t>
      </w:r>
      <w:r>
        <w:rPr>
          <w:rFonts w:eastAsia="Times New Roman" w:cs="Times New Roman"/>
          <w:sz w:val="24"/>
          <w:lang w:eastAsia="en-US"/>
        </w:rPr>
        <w:t>. Revista Produção em Foco, Joinville, v. 8, n. 4, p. 667-691, 2018. Disponível em: 10.14521/P2237-5163.201</w:t>
      </w:r>
    </w:p>
    <w:p>
      <w:pPr>
        <w:pStyle w:val="Normal"/>
        <w:spacing w:before="0" w:after="160"/>
        <w:rPr/>
      </w:pPr>
      <w:r>
        <w:rPr/>
      </w:r>
    </w:p>
    <w:sectPr>
      <w:headerReference w:type="default" r:id="rId53"/>
      <w:headerReference w:type="first" r:id="rId54"/>
      <w:footerReference w:type="default" r:id="rId55"/>
      <w:footerReference w:type="first" r:id="rId56"/>
      <w:footnotePr>
        <w:numFmt w:val="decimal"/>
      </w:footnotePr>
      <w:type w:val="nextPage"/>
      <w:pgSz w:w="11906" w:h="16838"/>
      <w:pgMar w:left="1701" w:right="1701" w:gutter="0" w:header="708" w:top="1417" w:footer="0" w:bottom="1417"/>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ptos">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Calibri">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libri Light">
    <w:charset w:val="01"/>
    <w:family w:val="roman"/>
    <w:pitch w:val="variable"/>
    <w:embedRegular r:id="rId13" w:fontKey="{0D014A78-CABC-4EF0-12AC-5CD89AEFDE0D}"/>
  </w:font>
  <w:font w:name="Segoe UI">
    <w:charset w:val="01"/>
    <w:family w:val="roman"/>
    <w:pitch w:val="variable"/>
    <w:embedRegular r:id="rId14" w:fontKey="{0E014A78-CABC-4EF0-12AC-5CD89AEFDE0E}"/>
    <w:embedBold r:id="rId15" w:fontKey="{0F014A78-CABC-4EF0-12AC-5CD89AEFDE0F}"/>
  </w:font>
  <w:font w:name="Consolas">
    <w:charset w:val="01"/>
    <w:family w:val="roman"/>
    <w:pitch w:val="variable"/>
    <w:embedRegular r:id="rId16" w:fontKey="{10014A78-CABC-4EF0-12AC-5CD89AEFDE10}"/>
  </w:font>
  <w:font w:name="Courier New">
    <w:charset w:val="01"/>
    <w:family w:val="roman"/>
    <w:pitch w:val="variable"/>
  </w:font>
  <w:font w:name="Liberation Sans">
    <w:altName w:val="Arial"/>
    <w:charset w:val="01"/>
    <w:family w:val="roman"/>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Arial">
    <w:charset w:val="01"/>
    <w:family w:val="roman"/>
    <w:pitch w:val="variable"/>
  </w:font>
  <w:font w:name="Cambria Math">
    <w:charset w:val="01"/>
    <w:family w:val="roman"/>
    <w:pitch w:val="variable"/>
    <w:embedRegular r:id="rId21" w:fontKey="{15014A78-CABC-4EF0-12AC-5CD89AEFDE15}"/>
    <w:embedBold r:id="rId22" w:fontKey="{16014A78-CABC-4EF0-12AC-5CD89AEFDE16}"/>
  </w:font>
  <w:font w:name="Noto Sans Symbols">
    <w:charset w:val="01"/>
    <w:family w:val="swiss"/>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rFonts w:ascii="Arial" w:hAnsi="Arial"/>
        <w:sz w:val="18"/>
      </w:rPr>
      <w:t xml:space="preserve">Página </w:t>
    </w:r>
    <w:r>
      <w:rPr/>
      <w:fldChar w:fldCharType="begin"/>
    </w:r>
    <w:r>
      <w:rPr/>
      <w:instrText xml:space="preserve"> PAGE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rFonts w:ascii="Arial" w:hAnsi="Arial"/>
        <w:sz w:val="18"/>
      </w:rPr>
      <w:t xml:space="preserve">Página </w:t>
    </w:r>
    <w:r>
      <w:rPr/>
      <w:fldChar w:fldCharType="begin"/>
    </w:r>
    <w:r>
      <w:rPr/>
      <w:instrText xml:space="preserve"> PAGE </w:instrText>
    </w:r>
    <w:r>
      <w:rPr/>
      <w:fldChar w:fldCharType="separate"/>
    </w:r>
    <w:r>
      <w:rPr/>
      <w:t>21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rFonts w:ascii="Arial" w:hAnsi="Arial"/>
        <w:sz w:val="18"/>
      </w:rPr>
      <w:t xml:space="preserve">Página </w:t>
    </w:r>
    <w:r>
      <w:rPr/>
      <w:fldChar w:fldCharType="begin"/>
    </w:r>
    <w:r>
      <w:rPr/>
      <w:instrText xml:space="preserve"> PAGE </w:instrText>
    </w:r>
    <w:r>
      <w:rPr/>
      <w:fldChar w:fldCharType="separate"/>
    </w:r>
    <w:r>
      <w:rPr/>
      <w:t>34</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rFonts w:ascii="Arial" w:hAnsi="Arial"/>
        <w:sz w:val="18"/>
      </w:rPr>
      <w:t xml:space="preserve">Página </w:t>
    </w:r>
    <w:r>
      <w:rPr/>
      <w:fldChar w:fldCharType="begin"/>
    </w:r>
    <w:r>
      <w:rPr/>
      <w:instrText xml:space="preserve"> PAGE </w:instrText>
    </w:r>
    <w:r>
      <w:rPr/>
      <w:fldChar w:fldCharType="separate"/>
    </w:r>
    <w:r>
      <w:rPr/>
      <w:t>56</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rFonts w:ascii="Arial" w:hAnsi="Arial"/>
        <w:sz w:val="18"/>
      </w:rPr>
      <w:t xml:space="preserve">Página </w:t>
    </w:r>
    <w:r>
      <w:rPr/>
      <w:fldChar w:fldCharType="begin"/>
    </w:r>
    <w:r>
      <w:rPr/>
      <w:instrText xml:space="preserve"> PAGE </w:instrText>
    </w:r>
    <w:r>
      <w:rPr/>
      <w:fldChar w:fldCharType="separate"/>
    </w:r>
    <w:r>
      <w:rPr/>
      <w:t>87</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rFonts w:ascii="Arial" w:hAnsi="Arial"/>
        <w:sz w:val="18"/>
      </w:rPr>
      <w:t xml:space="preserve">Página </w:t>
    </w:r>
    <w:r>
      <w:rPr/>
      <w:fldChar w:fldCharType="begin"/>
    </w:r>
    <w:r>
      <w:rPr/>
      <w:instrText xml:space="preserve"> PAGE </w:instrText>
    </w:r>
    <w:r>
      <w:rPr/>
      <w:fldChar w:fldCharType="separate"/>
    </w:r>
    <w:r>
      <w:rPr/>
      <w:t>88</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rFonts w:ascii="Arial" w:hAnsi="Arial"/>
        <w:sz w:val="18"/>
      </w:rPr>
      <w:t xml:space="preserve">Página </w:t>
    </w:r>
    <w:r>
      <w:rPr/>
      <w:fldChar w:fldCharType="begin"/>
    </w:r>
    <w:r>
      <w:rPr/>
      <w:instrText xml:space="preserve"> PAGE </w:instrText>
    </w:r>
    <w:r>
      <w:rPr/>
      <w:fldChar w:fldCharType="separate"/>
    </w:r>
    <w:r>
      <w:rPr/>
      <w:t>96</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rFonts w:ascii="Arial" w:hAnsi="Arial"/>
        <w:sz w:val="18"/>
      </w:rPr>
      <w:t xml:space="preserve">Página </w:t>
    </w:r>
    <w:r>
      <w:rPr/>
      <w:fldChar w:fldCharType="begin"/>
    </w:r>
    <w:r>
      <w:rPr/>
      <w:instrText xml:space="preserve"> PAGE </w:instrText>
    </w:r>
    <w:r>
      <w:rPr/>
      <w:fldChar w:fldCharType="separate"/>
    </w:r>
    <w:r>
      <w:rPr/>
      <w:t>98</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rFonts w:ascii="Arial" w:hAnsi="Arial"/>
        <w:sz w:val="18"/>
      </w:rPr>
      <w:t xml:space="preserve">Página </w:t>
    </w:r>
    <w:r>
      <w:rPr/>
      <w:fldChar w:fldCharType="begin"/>
    </w:r>
    <w:r>
      <w:rPr/>
      <w:instrText xml:space="preserve"> PAGE </w:instrText>
    </w:r>
    <w:r>
      <w:rPr/>
      <w:fldChar w:fldCharType="separate"/>
    </w:r>
    <w:r>
      <w:rPr/>
      <w:t>135</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 xml:space="preserve"> </w:t>
      </w:r>
      <w:r>
        <w:rPr/>
        <w:t>O PEA Pescarte é uma medida de mitigação exigida pelo licenciamento ambiental federal, coordenado pela Universidade Estadual do Norte Fluminense Darcy Ribeiro (UENF), conduzido pelo IBAMA e financiado pela Petrobras, conforme é possível verificar em: https://pescarte.org.br/</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137563958"/>
    </w:sdtPr>
    <w:sdtContent>
      <w:p>
        <w:pPr>
          <w:pStyle w:val="Header"/>
          <w:jc w:val="right"/>
          <w:rPr/>
        </w:pPr>
        <w:r>
          <w:rPr/>
          <w:fldChar w:fldCharType="begin"/>
        </w:r>
        <w:r>
          <w:rPr/>
          <w:instrText xml:space="preserve"> PAGE </w:instrText>
        </w:r>
        <w:r>
          <w:rPr/>
          <w:fldChar w:fldCharType="separate"/>
        </w:r>
        <w:r>
          <w:rPr/>
          <w:t>34</w:t>
        </w:r>
        <w:r>
          <w:rPr/>
          <w:fldChar w:fldCharType="end"/>
        </w:r>
      </w:p>
      <w:p>
        <w:pPr>
          <w:pStyle w:val="Header"/>
          <w:rPr/>
        </w:pPr>
        <w:r>
          <w:rPr/>
        </w:r>
      </w:p>
    </w:sdtContent>
  </w:sdt>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2074496505"/>
    </w:sdtPr>
    <w:sdtContent>
      <w:p>
        <w:pPr>
          <w:pStyle w:val="Header"/>
          <w:jc w:val="right"/>
          <w:rPr/>
        </w:pPr>
        <w:r>
          <w:rPr/>
          <w:fldChar w:fldCharType="begin"/>
        </w:r>
        <w:r>
          <w:rPr/>
          <w:instrText xml:space="preserve"> PAGE </w:instrText>
        </w:r>
        <w:r>
          <w:rPr/>
          <w:fldChar w:fldCharType="separate"/>
        </w:r>
        <w:r>
          <w:rPr/>
          <w:t>56</w:t>
        </w:r>
        <w:r>
          <w:rPr/>
          <w:fldChar w:fldCharType="end"/>
        </w:r>
      </w:p>
      <w:p>
        <w:pPr>
          <w:pStyle w:val="Header"/>
          <w:rPr/>
        </w:pPr>
        <w:r>
          <w:rPr/>
        </w:r>
      </w:p>
    </w:sdtContent>
  </w:sdt>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600074605"/>
    </w:sdtPr>
    <w:sdtContent>
      <w:p>
        <w:pPr>
          <w:pStyle w:val="Header"/>
          <w:jc w:val="right"/>
          <w:rPr/>
        </w:pPr>
        <w:r>
          <w:rPr/>
          <w:fldChar w:fldCharType="begin"/>
        </w:r>
        <w:r>
          <w:rPr/>
          <w:instrText xml:space="preserve"> PAGE </w:instrText>
        </w:r>
        <w:r>
          <w:rPr/>
          <w:fldChar w:fldCharType="separate"/>
        </w:r>
        <w:r>
          <w:rPr/>
          <w:t>87</w:t>
        </w:r>
        <w:r>
          <w:rPr/>
          <w:fldChar w:fldCharType="end"/>
        </w:r>
      </w:p>
      <w:p>
        <w:pPr>
          <w:pStyle w:val="Header"/>
          <w:rPr/>
        </w:pPr>
        <w:r>
          <w:rPr/>
        </w:r>
      </w:p>
    </w:sdtContent>
  </w:sdt>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754058404"/>
    </w:sdtPr>
    <w:sdtContent>
      <w:p>
        <w:pPr>
          <w:pStyle w:val="Header"/>
          <w:jc w:val="right"/>
          <w:rPr/>
        </w:pPr>
        <w:r>
          <w:rPr/>
          <w:fldChar w:fldCharType="begin"/>
        </w:r>
        <w:r>
          <w:rPr/>
          <w:instrText xml:space="preserve"> PAGE </w:instrText>
        </w:r>
        <w:r>
          <w:rPr/>
          <w:fldChar w:fldCharType="separate"/>
        </w:r>
        <w:r>
          <w:rPr/>
          <w:t>88</w:t>
        </w:r>
        <w:r>
          <w:rPr/>
          <w:fldChar w:fldCharType="end"/>
        </w:r>
      </w:p>
      <w:p>
        <w:pPr>
          <w:pStyle w:val="Header"/>
          <w:rPr/>
        </w:pPr>
        <w:r>
          <w:rPr/>
        </w:r>
      </w:p>
    </w:sdtContent>
  </w:sdt>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459919925"/>
    </w:sdtPr>
    <w:sdtContent>
      <w:p>
        <w:pPr>
          <w:pStyle w:val="Header"/>
          <w:jc w:val="right"/>
          <w:rPr/>
        </w:pPr>
        <w:r>
          <w:rPr/>
          <w:fldChar w:fldCharType="begin"/>
        </w:r>
        <w:r>
          <w:rPr/>
          <w:instrText xml:space="preserve"> PAGE </w:instrText>
        </w:r>
        <w:r>
          <w:rPr/>
          <w:fldChar w:fldCharType="separate"/>
        </w:r>
        <w:r>
          <w:rPr/>
          <w:t>96</w:t>
        </w:r>
        <w:r>
          <w:rPr/>
          <w:fldChar w:fldCharType="end"/>
        </w:r>
      </w:p>
      <w:p>
        <w:pPr>
          <w:pStyle w:val="Header"/>
          <w:rPr/>
        </w:pPr>
        <w:r>
          <w:rPr/>
        </w:r>
      </w:p>
    </w:sdtContent>
  </w:sdt>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80188818"/>
    </w:sdtPr>
    <w:sdtContent>
      <w:p>
        <w:pPr>
          <w:pStyle w:val="Header"/>
          <w:jc w:val="right"/>
          <w:rPr/>
        </w:pPr>
        <w:r>
          <w:rPr/>
          <w:fldChar w:fldCharType="begin"/>
        </w:r>
        <w:r>
          <w:rPr/>
          <w:instrText xml:space="preserve"> PAGE </w:instrText>
        </w:r>
        <w:r>
          <w:rPr/>
          <w:fldChar w:fldCharType="separate"/>
        </w:r>
        <w:r>
          <w:rPr/>
          <w:t>98</w:t>
        </w:r>
        <w:r>
          <w:rPr/>
          <w:fldChar w:fldCharType="end"/>
        </w:r>
      </w:p>
      <w:p>
        <w:pPr>
          <w:pStyle w:val="Header"/>
          <w:rPr/>
        </w:pPr>
        <w:r>
          <w:rPr/>
        </w:r>
      </w:p>
    </w:sdtContent>
  </w:sdt>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436255211"/>
    </w:sdtPr>
    <w:sdtContent>
      <w:p>
        <w:pPr>
          <w:pStyle w:val="Header"/>
          <w:jc w:val="right"/>
          <w:rPr/>
        </w:pPr>
        <w:r>
          <w:rPr/>
          <w:fldChar w:fldCharType="begin"/>
        </w:r>
        <w:r>
          <w:rPr/>
          <w:instrText xml:space="preserve"> PAGE </w:instrText>
        </w:r>
        <w:r>
          <w:rPr/>
          <w:fldChar w:fldCharType="separate"/>
        </w:r>
        <w:r>
          <w:rPr/>
          <w:t>135</w:t>
        </w:r>
        <w:r>
          <w:rPr/>
          <w:fldChar w:fldCharType="end"/>
        </w:r>
      </w:p>
      <w:p>
        <w:pPr>
          <w:pStyle w:val="Header"/>
          <w:rPr/>
        </w:pPr>
        <w:r>
          <w:rPr/>
        </w:r>
      </w:p>
    </w:sdtContent>
  </w:sdt>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decimal"/>
      <w:lvlText w:val="%1."/>
      <w:lvlJc w:val="left"/>
      <w:pPr>
        <w:tabs>
          <w:tab w:val="num" w:pos="0"/>
        </w:tabs>
        <w:ind w:left="720" w:hanging="360"/>
      </w:pPr>
      <w:rPr>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
    <w:lvl w:ilvl="0">
      <w:start w:val="1"/>
      <w:numFmt w:val="decimal"/>
      <w:lvlText w:val="%1."/>
      <w:lvlJc w:val="left"/>
      <w:pPr>
        <w:tabs>
          <w:tab w:val="num" w:pos="0"/>
        </w:tabs>
        <w:ind w:left="1428" w:hanging="360"/>
      </w:pPr>
      <w:rPr/>
    </w:lvl>
    <w:lvl w:ilvl="1">
      <w:start w:val="1"/>
      <w:numFmt w:val="lowerLetter"/>
      <w:lvlText w:val="%2."/>
      <w:lvlJc w:val="left"/>
      <w:pPr>
        <w:tabs>
          <w:tab w:val="num" w:pos="0"/>
        </w:tabs>
        <w:ind w:left="2148" w:hanging="360"/>
      </w:pPr>
      <w:rPr/>
    </w:lvl>
    <w:lvl w:ilvl="2">
      <w:start w:val="1"/>
      <w:numFmt w:val="lowerRoman"/>
      <w:lvlText w:val="%3."/>
      <w:lvlJc w:val="right"/>
      <w:pPr>
        <w:tabs>
          <w:tab w:val="num" w:pos="0"/>
        </w:tabs>
        <w:ind w:left="2868" w:hanging="180"/>
      </w:pPr>
      <w:rPr/>
    </w:lvl>
    <w:lvl w:ilvl="3">
      <w:start w:val="1"/>
      <w:numFmt w:val="decimal"/>
      <w:lvlText w:val="%4."/>
      <w:lvlJc w:val="left"/>
      <w:pPr>
        <w:tabs>
          <w:tab w:val="num" w:pos="0"/>
        </w:tabs>
        <w:ind w:left="3588" w:hanging="360"/>
      </w:pPr>
      <w:rPr/>
    </w:lvl>
    <w:lvl w:ilvl="4">
      <w:start w:val="1"/>
      <w:numFmt w:val="lowerLetter"/>
      <w:lvlText w:val="%5."/>
      <w:lvlJc w:val="left"/>
      <w:pPr>
        <w:tabs>
          <w:tab w:val="num" w:pos="0"/>
        </w:tabs>
        <w:ind w:left="4308" w:hanging="360"/>
      </w:pPr>
      <w:rPr/>
    </w:lvl>
    <w:lvl w:ilvl="5">
      <w:start w:val="1"/>
      <w:numFmt w:val="lowerRoman"/>
      <w:lvlText w:val="%6."/>
      <w:lvlJc w:val="right"/>
      <w:pPr>
        <w:tabs>
          <w:tab w:val="num" w:pos="0"/>
        </w:tabs>
        <w:ind w:left="5028" w:hanging="180"/>
      </w:pPr>
      <w:rPr/>
    </w:lvl>
    <w:lvl w:ilvl="6">
      <w:start w:val="1"/>
      <w:numFmt w:val="decimal"/>
      <w:lvlText w:val="%7."/>
      <w:lvlJc w:val="left"/>
      <w:pPr>
        <w:tabs>
          <w:tab w:val="num" w:pos="0"/>
        </w:tabs>
        <w:ind w:left="5748" w:hanging="360"/>
      </w:pPr>
      <w:rPr/>
    </w:lvl>
    <w:lvl w:ilvl="7">
      <w:start w:val="1"/>
      <w:numFmt w:val="lowerLetter"/>
      <w:lvlText w:val="%8."/>
      <w:lvlJc w:val="left"/>
      <w:pPr>
        <w:tabs>
          <w:tab w:val="num" w:pos="0"/>
        </w:tabs>
        <w:ind w:left="6468" w:hanging="360"/>
      </w:pPr>
      <w:rPr/>
    </w:lvl>
    <w:lvl w:ilvl="8">
      <w:start w:val="1"/>
      <w:numFmt w:val="lowerRoman"/>
      <w:lvlText w:val="%9."/>
      <w:lvlJc w:val="right"/>
      <w:pPr>
        <w:tabs>
          <w:tab w:val="num" w:pos="0"/>
        </w:tabs>
        <w:ind w:left="7188" w:hanging="180"/>
      </w:pPr>
      <w:rPr/>
    </w:lvl>
  </w:abstractNum>
  <w:abstractNum w:abstractNumId="4">
    <w:lvl w:ilvl="0">
      <w:start w:val="1"/>
      <w:numFmt w:val="decimal"/>
      <w:lvlText w:val="%1."/>
      <w:lvlJc w:val="left"/>
      <w:pPr>
        <w:tabs>
          <w:tab w:val="num" w:pos="0"/>
        </w:tabs>
        <w:ind w:left="1428" w:hanging="360"/>
      </w:pPr>
      <w:rPr/>
    </w:lvl>
    <w:lvl w:ilvl="1">
      <w:start w:val="1"/>
      <w:numFmt w:val="lowerLetter"/>
      <w:lvlText w:val="%2."/>
      <w:lvlJc w:val="left"/>
      <w:pPr>
        <w:tabs>
          <w:tab w:val="num" w:pos="0"/>
        </w:tabs>
        <w:ind w:left="2148" w:hanging="360"/>
      </w:pPr>
      <w:rPr/>
    </w:lvl>
    <w:lvl w:ilvl="2">
      <w:start w:val="1"/>
      <w:numFmt w:val="lowerRoman"/>
      <w:lvlText w:val="%3."/>
      <w:lvlJc w:val="right"/>
      <w:pPr>
        <w:tabs>
          <w:tab w:val="num" w:pos="0"/>
        </w:tabs>
        <w:ind w:left="2868" w:hanging="180"/>
      </w:pPr>
      <w:rPr/>
    </w:lvl>
    <w:lvl w:ilvl="3">
      <w:start w:val="1"/>
      <w:numFmt w:val="decimal"/>
      <w:lvlText w:val="%4."/>
      <w:lvlJc w:val="left"/>
      <w:pPr>
        <w:tabs>
          <w:tab w:val="num" w:pos="0"/>
        </w:tabs>
        <w:ind w:left="3588" w:hanging="360"/>
      </w:pPr>
      <w:rPr/>
    </w:lvl>
    <w:lvl w:ilvl="4">
      <w:start w:val="1"/>
      <w:numFmt w:val="lowerLetter"/>
      <w:lvlText w:val="%5."/>
      <w:lvlJc w:val="left"/>
      <w:pPr>
        <w:tabs>
          <w:tab w:val="num" w:pos="0"/>
        </w:tabs>
        <w:ind w:left="4308" w:hanging="360"/>
      </w:pPr>
      <w:rPr/>
    </w:lvl>
    <w:lvl w:ilvl="5">
      <w:start w:val="1"/>
      <w:numFmt w:val="lowerRoman"/>
      <w:lvlText w:val="%6."/>
      <w:lvlJc w:val="right"/>
      <w:pPr>
        <w:tabs>
          <w:tab w:val="num" w:pos="0"/>
        </w:tabs>
        <w:ind w:left="5028" w:hanging="180"/>
      </w:pPr>
      <w:rPr/>
    </w:lvl>
    <w:lvl w:ilvl="6">
      <w:start w:val="1"/>
      <w:numFmt w:val="decimal"/>
      <w:lvlText w:val="%7."/>
      <w:lvlJc w:val="left"/>
      <w:pPr>
        <w:tabs>
          <w:tab w:val="num" w:pos="0"/>
        </w:tabs>
        <w:ind w:left="5748" w:hanging="360"/>
      </w:pPr>
      <w:rPr/>
    </w:lvl>
    <w:lvl w:ilvl="7">
      <w:start w:val="1"/>
      <w:numFmt w:val="lowerLetter"/>
      <w:lvlText w:val="%8."/>
      <w:lvlJc w:val="left"/>
      <w:pPr>
        <w:tabs>
          <w:tab w:val="num" w:pos="0"/>
        </w:tabs>
        <w:ind w:left="6468" w:hanging="360"/>
      </w:pPr>
      <w:rPr/>
    </w:lvl>
    <w:lvl w:ilvl="8">
      <w:start w:val="1"/>
      <w:numFmt w:val="lowerRoman"/>
      <w:lvlText w:val="%9."/>
      <w:lvlJc w:val="right"/>
      <w:pPr>
        <w:tabs>
          <w:tab w:val="num" w:pos="0"/>
        </w:tabs>
        <w:ind w:left="7188" w:hanging="180"/>
      </w:pPr>
      <w:rPr/>
    </w:lvl>
  </w:abstractNum>
  <w:abstractNum w:abstractNumId="5">
    <w:lvl w:ilvl="0">
      <w:start w:val="1"/>
      <w:numFmt w:val="decimal"/>
      <w:lvlText w:val="%1."/>
      <w:lvlJc w:val="left"/>
      <w:pPr>
        <w:tabs>
          <w:tab w:val="num" w:pos="0"/>
        </w:tabs>
        <w:ind w:left="1428" w:hanging="360"/>
      </w:pPr>
      <w:rPr/>
    </w:lvl>
    <w:lvl w:ilvl="1">
      <w:start w:val="1"/>
      <w:numFmt w:val="lowerLetter"/>
      <w:lvlText w:val="%2."/>
      <w:lvlJc w:val="left"/>
      <w:pPr>
        <w:tabs>
          <w:tab w:val="num" w:pos="0"/>
        </w:tabs>
        <w:ind w:left="2148" w:hanging="360"/>
      </w:pPr>
      <w:rPr/>
    </w:lvl>
    <w:lvl w:ilvl="2">
      <w:start w:val="1"/>
      <w:numFmt w:val="lowerRoman"/>
      <w:lvlText w:val="%3."/>
      <w:lvlJc w:val="right"/>
      <w:pPr>
        <w:tabs>
          <w:tab w:val="num" w:pos="0"/>
        </w:tabs>
        <w:ind w:left="2868" w:hanging="180"/>
      </w:pPr>
      <w:rPr/>
    </w:lvl>
    <w:lvl w:ilvl="3">
      <w:start w:val="1"/>
      <w:numFmt w:val="decimal"/>
      <w:lvlText w:val="%4."/>
      <w:lvlJc w:val="left"/>
      <w:pPr>
        <w:tabs>
          <w:tab w:val="num" w:pos="0"/>
        </w:tabs>
        <w:ind w:left="3588" w:hanging="360"/>
      </w:pPr>
      <w:rPr/>
    </w:lvl>
    <w:lvl w:ilvl="4">
      <w:start w:val="1"/>
      <w:numFmt w:val="lowerLetter"/>
      <w:lvlText w:val="%5."/>
      <w:lvlJc w:val="left"/>
      <w:pPr>
        <w:tabs>
          <w:tab w:val="num" w:pos="0"/>
        </w:tabs>
        <w:ind w:left="4308" w:hanging="360"/>
      </w:pPr>
      <w:rPr/>
    </w:lvl>
    <w:lvl w:ilvl="5">
      <w:start w:val="1"/>
      <w:numFmt w:val="lowerRoman"/>
      <w:lvlText w:val="%6."/>
      <w:lvlJc w:val="right"/>
      <w:pPr>
        <w:tabs>
          <w:tab w:val="num" w:pos="0"/>
        </w:tabs>
        <w:ind w:left="5028" w:hanging="180"/>
      </w:pPr>
      <w:rPr/>
    </w:lvl>
    <w:lvl w:ilvl="6">
      <w:start w:val="1"/>
      <w:numFmt w:val="decimal"/>
      <w:lvlText w:val="%7."/>
      <w:lvlJc w:val="left"/>
      <w:pPr>
        <w:tabs>
          <w:tab w:val="num" w:pos="0"/>
        </w:tabs>
        <w:ind w:left="5748" w:hanging="360"/>
      </w:pPr>
      <w:rPr/>
    </w:lvl>
    <w:lvl w:ilvl="7">
      <w:start w:val="1"/>
      <w:numFmt w:val="lowerLetter"/>
      <w:lvlText w:val="%8."/>
      <w:lvlJc w:val="left"/>
      <w:pPr>
        <w:tabs>
          <w:tab w:val="num" w:pos="0"/>
        </w:tabs>
        <w:ind w:left="6468" w:hanging="360"/>
      </w:pPr>
      <w:rPr/>
    </w:lvl>
    <w:lvl w:ilvl="8">
      <w:start w:val="1"/>
      <w:numFmt w:val="lowerRoman"/>
      <w:lvlText w:val="%9."/>
      <w:lvlJc w:val="right"/>
      <w:pPr>
        <w:tabs>
          <w:tab w:val="num" w:pos="0"/>
        </w:tabs>
        <w:ind w:left="7188" w:hanging="180"/>
      </w:pPr>
      <w:rPr/>
    </w:lvl>
  </w:abstractNum>
  <w:abstractNum w:abstractNumId="6">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7">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8">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9">
    <w:lvl w:ilvl="0">
      <w:start w:val="1"/>
      <w:numFmt w:val="decimal"/>
      <w:lvlText w:val="%1."/>
      <w:lvlJc w:val="left"/>
      <w:pPr>
        <w:tabs>
          <w:tab w:val="num" w:pos="0"/>
        </w:tabs>
        <w:ind w:left="1428" w:hanging="360"/>
      </w:pPr>
      <w:rPr/>
    </w:lvl>
    <w:lvl w:ilvl="1">
      <w:start w:val="1"/>
      <w:numFmt w:val="lowerLetter"/>
      <w:lvlText w:val="%2."/>
      <w:lvlJc w:val="left"/>
      <w:pPr>
        <w:tabs>
          <w:tab w:val="num" w:pos="0"/>
        </w:tabs>
        <w:ind w:left="2148" w:hanging="360"/>
      </w:pPr>
      <w:rPr/>
    </w:lvl>
    <w:lvl w:ilvl="2">
      <w:start w:val="1"/>
      <w:numFmt w:val="lowerRoman"/>
      <w:lvlText w:val="%3."/>
      <w:lvlJc w:val="right"/>
      <w:pPr>
        <w:tabs>
          <w:tab w:val="num" w:pos="0"/>
        </w:tabs>
        <w:ind w:left="2868" w:hanging="180"/>
      </w:pPr>
      <w:rPr/>
    </w:lvl>
    <w:lvl w:ilvl="3">
      <w:start w:val="1"/>
      <w:numFmt w:val="decimal"/>
      <w:lvlText w:val="%4."/>
      <w:lvlJc w:val="left"/>
      <w:pPr>
        <w:tabs>
          <w:tab w:val="num" w:pos="0"/>
        </w:tabs>
        <w:ind w:left="3588" w:hanging="360"/>
      </w:pPr>
      <w:rPr/>
    </w:lvl>
    <w:lvl w:ilvl="4">
      <w:start w:val="1"/>
      <w:numFmt w:val="lowerLetter"/>
      <w:lvlText w:val="%5."/>
      <w:lvlJc w:val="left"/>
      <w:pPr>
        <w:tabs>
          <w:tab w:val="num" w:pos="0"/>
        </w:tabs>
        <w:ind w:left="4308" w:hanging="360"/>
      </w:pPr>
      <w:rPr/>
    </w:lvl>
    <w:lvl w:ilvl="5">
      <w:start w:val="1"/>
      <w:numFmt w:val="lowerRoman"/>
      <w:lvlText w:val="%6."/>
      <w:lvlJc w:val="right"/>
      <w:pPr>
        <w:tabs>
          <w:tab w:val="num" w:pos="0"/>
        </w:tabs>
        <w:ind w:left="5028" w:hanging="180"/>
      </w:pPr>
      <w:rPr/>
    </w:lvl>
    <w:lvl w:ilvl="6">
      <w:start w:val="1"/>
      <w:numFmt w:val="decimal"/>
      <w:lvlText w:val="%7."/>
      <w:lvlJc w:val="left"/>
      <w:pPr>
        <w:tabs>
          <w:tab w:val="num" w:pos="0"/>
        </w:tabs>
        <w:ind w:left="5748" w:hanging="360"/>
      </w:pPr>
      <w:rPr/>
    </w:lvl>
    <w:lvl w:ilvl="7">
      <w:start w:val="1"/>
      <w:numFmt w:val="lowerLetter"/>
      <w:lvlText w:val="%8."/>
      <w:lvlJc w:val="left"/>
      <w:pPr>
        <w:tabs>
          <w:tab w:val="num" w:pos="0"/>
        </w:tabs>
        <w:ind w:left="6468" w:hanging="360"/>
      </w:pPr>
      <w:rPr/>
    </w:lvl>
    <w:lvl w:ilvl="8">
      <w:start w:val="1"/>
      <w:numFmt w:val="lowerRoman"/>
      <w:lvlText w:val="%9."/>
      <w:lvlJc w:val="right"/>
      <w:pPr>
        <w:tabs>
          <w:tab w:val="num" w:pos="0"/>
        </w:tabs>
        <w:ind w:left="7188" w:hanging="180"/>
      </w:pPr>
      <w:rPr/>
    </w:lvl>
  </w:abstractNum>
  <w:abstractNum w:abstractNumId="10">
    <w:lvl w:ilvl="0">
      <w:start w:val="2"/>
      <w:numFmt w:val="decimal"/>
      <w:lvlText w:val="%1"/>
      <w:lvlJc w:val="left"/>
      <w:pPr>
        <w:tabs>
          <w:tab w:val="num" w:pos="0"/>
        </w:tabs>
        <w:ind w:left="375" w:hanging="375"/>
      </w:pPr>
      <w:rPr/>
    </w:lvl>
    <w:lvl w:ilvl="1">
      <w:start w:val="1"/>
      <w:numFmt w:val="decimal"/>
      <w:lvlText w:val="%1.%2"/>
      <w:lvlJc w:val="left"/>
      <w:pPr>
        <w:tabs>
          <w:tab w:val="num" w:pos="0"/>
        </w:tabs>
        <w:ind w:left="375" w:hanging="375"/>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trackRevisions/>
  <w:embedTrueTypeFonts/>
  <w:defaultTabStop w:val="720"/>
  <w:autoHyphenation w:val="true"/>
  <w:hyphenationZone w:val="425"/>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2"/>
        <w:szCs w:val="22"/>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Times New Roman" w:hAnsi="Times New Roman" w:eastAsia="Aptos" w:cs="Aptos"/>
      <w:color w:val="auto"/>
      <w:kern w:val="0"/>
      <w:sz w:val="24"/>
      <w:szCs w:val="22"/>
      <w:lang w:val="pt-BR" w:eastAsia="pt-BR" w:bidi="ar-SA"/>
    </w:rPr>
  </w:style>
  <w:style w:type="paragraph" w:styleId="Heading1">
    <w:name w:val="Heading 1"/>
    <w:basedOn w:val="Normal"/>
    <w:next w:val="Normal"/>
    <w:uiPriority w:val="9"/>
    <w:qFormat/>
    <w:pPr>
      <w:keepNext w:val="true"/>
      <w:keepLines/>
      <w:spacing w:before="360" w:after="80"/>
      <w:outlineLvl w:val="0"/>
    </w:pPr>
    <w:rPr>
      <w:rFonts w:ascii="Calibri" w:hAnsi="Calibri" w:eastAsia="Calibri" w:cs="Calibri"/>
      <w:color w:val="2F5496"/>
      <w:sz w:val="40"/>
      <w:szCs w:val="40"/>
    </w:rPr>
  </w:style>
  <w:style w:type="paragraph" w:styleId="Heading2">
    <w:name w:val="Heading 2"/>
    <w:basedOn w:val="Normal"/>
    <w:next w:val="Normal"/>
    <w:uiPriority w:val="9"/>
    <w:unhideWhenUsed/>
    <w:qFormat/>
    <w:pPr>
      <w:keepNext w:val="true"/>
      <w:keepLines/>
      <w:spacing w:before="160" w:after="80"/>
      <w:outlineLvl w:val="1"/>
    </w:pPr>
    <w:rPr>
      <w:rFonts w:ascii="Calibri" w:hAnsi="Calibri" w:eastAsia="Calibri" w:cs="Calibri"/>
      <w:color w:val="2F5496"/>
      <w:sz w:val="32"/>
      <w:szCs w:val="32"/>
    </w:rPr>
  </w:style>
  <w:style w:type="paragraph" w:styleId="Heading3">
    <w:name w:val="Heading 3"/>
    <w:basedOn w:val="Normal"/>
    <w:next w:val="Normal"/>
    <w:uiPriority w:val="9"/>
    <w:unhideWhenUsed/>
    <w:qFormat/>
    <w:pPr>
      <w:keepNext w:val="true"/>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val="true"/>
      <w:keepLines/>
      <w:spacing w:before="80" w:after="40"/>
      <w:outlineLvl w:val="3"/>
    </w:pPr>
    <w:rPr>
      <w:i/>
      <w:iCs/>
      <w:color w:val="2F5496"/>
    </w:rPr>
  </w:style>
  <w:style w:type="paragraph" w:styleId="Heading5">
    <w:name w:val="Heading 5"/>
    <w:basedOn w:val="Normal"/>
    <w:next w:val="Normal"/>
    <w:uiPriority w:val="9"/>
    <w:semiHidden/>
    <w:unhideWhenUsed/>
    <w:qFormat/>
    <w:pPr>
      <w:keepNext w:val="true"/>
      <w:keepLines/>
      <w:spacing w:before="80" w:after="40"/>
      <w:outlineLvl w:val="4"/>
    </w:pPr>
    <w:rPr>
      <w:color w:val="2F5496"/>
    </w:rPr>
  </w:style>
  <w:style w:type="paragraph" w:styleId="Heading6">
    <w:name w:val="Heading 6"/>
    <w:basedOn w:val="Normal"/>
    <w:next w:val="Normal"/>
    <w:uiPriority w:val="9"/>
    <w:semiHidden/>
    <w:unhideWhenUsed/>
    <w:qFormat/>
    <w:pPr>
      <w:keepNext w:val="true"/>
      <w:keepLines/>
      <w:spacing w:before="40" w:after="0"/>
      <w:outlineLvl w:val="5"/>
    </w:pPr>
    <w:rPr>
      <w:i/>
      <w:iCs/>
      <w:color w:val="595959"/>
    </w:rPr>
  </w:style>
  <w:style w:type="paragraph" w:styleId="Heading7">
    <w:name w:val="Heading 7"/>
    <w:basedOn w:val="Normal"/>
    <w:next w:val="Normal"/>
    <w:link w:val="Ttulo7Char"/>
    <w:uiPriority w:val="9"/>
    <w:semiHidden/>
    <w:unhideWhenUsed/>
    <w:qFormat/>
    <w:rsid w:val="0097185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har"/>
    <w:uiPriority w:val="9"/>
    <w:semiHidden/>
    <w:unhideWhenUsed/>
    <w:qFormat/>
    <w:rsid w:val="0097185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har"/>
    <w:uiPriority w:val="9"/>
    <w:semiHidden/>
    <w:unhideWhenUsed/>
    <w:qFormat/>
    <w:rsid w:val="0097185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97185f"/>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har" w:customStyle="1">
    <w:name w:val="Título 2 Char"/>
    <w:basedOn w:val="DefaultParagraphFont"/>
    <w:uiPriority w:val="9"/>
    <w:qFormat/>
    <w:rsid w:val="0097185f"/>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har" w:customStyle="1">
    <w:name w:val="Título 3 Char"/>
    <w:basedOn w:val="DefaultParagraphFont"/>
    <w:uiPriority w:val="9"/>
    <w:qFormat/>
    <w:rsid w:val="0097185f"/>
    <w:rPr>
      <w:rFonts w:eastAsia="" w:cs="" w:cstheme="majorBidi" w:eastAsiaTheme="majorEastAsia"/>
      <w:color w:themeColor="accent1" w:themeShade="bf" w:val="2F5496"/>
      <w:sz w:val="28"/>
      <w:szCs w:val="28"/>
    </w:rPr>
  </w:style>
  <w:style w:type="character" w:styleId="Ttulo4Char" w:customStyle="1">
    <w:name w:val="Título 4 Char"/>
    <w:basedOn w:val="DefaultParagraphFont"/>
    <w:uiPriority w:val="9"/>
    <w:semiHidden/>
    <w:qFormat/>
    <w:rsid w:val="0097185f"/>
    <w:rPr>
      <w:rFonts w:eastAsia="" w:cs="" w:cstheme="majorBidi" w:eastAsiaTheme="majorEastAsia"/>
      <w:i/>
      <w:iCs/>
      <w:color w:themeColor="accent1" w:themeShade="bf" w:val="2F5496"/>
    </w:rPr>
  </w:style>
  <w:style w:type="character" w:styleId="Ttulo5Char" w:customStyle="1">
    <w:name w:val="Título 5 Char"/>
    <w:basedOn w:val="DefaultParagraphFont"/>
    <w:uiPriority w:val="9"/>
    <w:semiHidden/>
    <w:qFormat/>
    <w:rsid w:val="0097185f"/>
    <w:rPr>
      <w:rFonts w:eastAsia="" w:cs="" w:cstheme="majorBidi" w:eastAsiaTheme="majorEastAsia"/>
      <w:color w:themeColor="accent1" w:themeShade="bf" w:val="2F5496"/>
    </w:rPr>
  </w:style>
  <w:style w:type="character" w:styleId="Ttulo6Char" w:customStyle="1">
    <w:name w:val="Título 6 Char"/>
    <w:basedOn w:val="DefaultParagraphFont"/>
    <w:uiPriority w:val="9"/>
    <w:semiHidden/>
    <w:qFormat/>
    <w:rsid w:val="0097185f"/>
    <w:rPr>
      <w:rFonts w:eastAsia="" w:cs="" w:cstheme="majorBidi" w:eastAsiaTheme="majorEastAsia"/>
      <w:i/>
      <w:iCs/>
      <w:color w:themeColor="text1" w:themeTint="a6" w:val="595959"/>
    </w:rPr>
  </w:style>
  <w:style w:type="character" w:styleId="Ttulo7Char" w:customStyle="1">
    <w:name w:val="Título 7 Char"/>
    <w:basedOn w:val="DefaultParagraphFont"/>
    <w:link w:val="Heading7"/>
    <w:uiPriority w:val="9"/>
    <w:semiHidden/>
    <w:qFormat/>
    <w:rsid w:val="0097185f"/>
    <w:rPr>
      <w:rFonts w:eastAsia="" w:cs="" w:cstheme="majorBidi" w:eastAsiaTheme="majorEastAsia"/>
      <w:color w:themeColor="text1" w:themeTint="a6" w:val="595959"/>
    </w:rPr>
  </w:style>
  <w:style w:type="character" w:styleId="Ttulo8Char" w:customStyle="1">
    <w:name w:val="Título 8 Char"/>
    <w:basedOn w:val="DefaultParagraphFont"/>
    <w:link w:val="Heading8"/>
    <w:uiPriority w:val="9"/>
    <w:semiHidden/>
    <w:qFormat/>
    <w:rsid w:val="0097185f"/>
    <w:rPr>
      <w:rFonts w:eastAsia="" w:cs="" w:cstheme="majorBidi" w:eastAsiaTheme="majorEastAsia"/>
      <w:i/>
      <w:iCs/>
      <w:color w:themeColor="text1" w:themeTint="d8" w:val="272727"/>
    </w:rPr>
  </w:style>
  <w:style w:type="character" w:styleId="Ttulo9Char" w:customStyle="1">
    <w:name w:val="Título 9 Char"/>
    <w:basedOn w:val="DefaultParagraphFont"/>
    <w:link w:val="Heading9"/>
    <w:uiPriority w:val="9"/>
    <w:semiHidden/>
    <w:qFormat/>
    <w:rsid w:val="0097185f"/>
    <w:rPr>
      <w:rFonts w:eastAsia="" w:cs="" w:cstheme="majorBidi" w:eastAsiaTheme="majorEastAsia"/>
      <w:color w:themeColor="text1" w:themeTint="d8" w:val="272727"/>
    </w:rPr>
  </w:style>
  <w:style w:type="character" w:styleId="TtuloChar" w:customStyle="1">
    <w:name w:val="Título Char"/>
    <w:basedOn w:val="DefaultParagraphFont"/>
    <w:uiPriority w:val="10"/>
    <w:qFormat/>
    <w:rsid w:val="0097185f"/>
    <w:rPr>
      <w:rFonts w:ascii="Calibri Light" w:hAnsi="Calibri Light"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uiPriority w:val="11"/>
    <w:qFormat/>
    <w:rsid w:val="0097185f"/>
    <w:rPr>
      <w:rFonts w:eastAsia="" w:cs="" w:cstheme="majorBidi" w:eastAsiaTheme="majorEastAsia"/>
      <w:color w:themeColor="text1" w:themeTint="a6" w:val="595959"/>
      <w:spacing w:val="15"/>
      <w:sz w:val="28"/>
      <w:szCs w:val="28"/>
    </w:rPr>
  </w:style>
  <w:style w:type="character" w:styleId="CitaoChar" w:customStyle="1">
    <w:name w:val="Citação Char"/>
    <w:basedOn w:val="DefaultParagraphFont"/>
    <w:link w:val="Quote"/>
    <w:uiPriority w:val="29"/>
    <w:qFormat/>
    <w:rsid w:val="0097185f"/>
    <w:rPr>
      <w:i/>
      <w:iCs/>
      <w:color w:themeColor="text1" w:themeTint="bf" w:val="404040"/>
    </w:rPr>
  </w:style>
  <w:style w:type="character" w:styleId="IntenseEmphasis">
    <w:name w:val="Intense Emphasis"/>
    <w:basedOn w:val="DefaultParagraphFont"/>
    <w:uiPriority w:val="21"/>
    <w:qFormat/>
    <w:rsid w:val="0097185f"/>
    <w:rPr>
      <w:i/>
      <w:iCs/>
      <w:color w:themeColor="accent1" w:themeShade="bf" w:val="2F5496"/>
    </w:rPr>
  </w:style>
  <w:style w:type="character" w:styleId="CitaoIntensaChar" w:customStyle="1">
    <w:name w:val="Citação Intensa Char"/>
    <w:basedOn w:val="DefaultParagraphFont"/>
    <w:link w:val="IntenseQuote"/>
    <w:uiPriority w:val="30"/>
    <w:qFormat/>
    <w:rsid w:val="0097185f"/>
    <w:rPr>
      <w:i/>
      <w:iCs/>
      <w:color w:themeColor="accent1" w:themeShade="bf" w:val="2F5496"/>
    </w:rPr>
  </w:style>
  <w:style w:type="character" w:styleId="IntenseReference">
    <w:name w:val="Intense Reference"/>
    <w:basedOn w:val="DefaultParagraphFont"/>
    <w:uiPriority w:val="32"/>
    <w:qFormat/>
    <w:rsid w:val="0097185f"/>
    <w:rPr>
      <w:b/>
      <w:bCs/>
      <w:smallCaps/>
      <w:color w:themeColor="accent1" w:themeShade="bf" w:val="2F5496"/>
      <w:spacing w:val="5"/>
    </w:rPr>
  </w:style>
  <w:style w:type="character" w:styleId="Strong">
    <w:name w:val="Strong"/>
    <w:basedOn w:val="DefaultParagraphFont"/>
    <w:uiPriority w:val="22"/>
    <w:qFormat/>
    <w:rsid w:val="00905bfa"/>
    <w:rPr>
      <w:b/>
      <w:bCs/>
    </w:rPr>
  </w:style>
  <w:style w:type="character" w:styleId="Emphasis">
    <w:name w:val="Emphasis"/>
    <w:basedOn w:val="DefaultParagraphFont"/>
    <w:uiPriority w:val="20"/>
    <w:qFormat/>
    <w:rsid w:val="00905bfa"/>
    <w:rPr>
      <w:i/>
      <w:iCs/>
    </w:rPr>
  </w:style>
  <w:style w:type="character" w:styleId="annotationreference">
    <w:name w:val="annotation reference"/>
    <w:basedOn w:val="DefaultParagraphFont"/>
    <w:uiPriority w:val="99"/>
    <w:semiHidden/>
    <w:unhideWhenUsed/>
    <w:qFormat/>
    <w:rsid w:val="006751ce"/>
    <w:rPr>
      <w:sz w:val="16"/>
      <w:szCs w:val="16"/>
    </w:rPr>
  </w:style>
  <w:style w:type="character" w:styleId="TextodecomentrioChar" w:customStyle="1">
    <w:name w:val="Texto de comentário Char"/>
    <w:basedOn w:val="DefaultParagraphFont"/>
    <w:link w:val="AnnotationText"/>
    <w:uiPriority w:val="99"/>
    <w:qFormat/>
    <w:rsid w:val="006751ce"/>
    <w:rPr>
      <w:rFonts w:ascii="Aptos" w:hAnsi="Aptos" w:eastAsia="Aptos" w:cs="Aptos"/>
      <w:kern w:val="0"/>
      <w:sz w:val="20"/>
      <w:szCs w:val="20"/>
      <w:lang w:eastAsia="pt-BR"/>
    </w:rPr>
  </w:style>
  <w:style w:type="character" w:styleId="AssuntodocomentrioChar" w:customStyle="1">
    <w:name w:val="Assunto do comentário Char"/>
    <w:basedOn w:val="TextodecomentrioChar"/>
    <w:link w:val="annotationsubject"/>
    <w:uiPriority w:val="99"/>
    <w:semiHidden/>
    <w:qFormat/>
    <w:rsid w:val="006751ce"/>
    <w:rPr>
      <w:rFonts w:ascii="Aptos" w:hAnsi="Aptos" w:eastAsia="Aptos" w:cs="Aptos"/>
      <w:b/>
      <w:bCs/>
      <w:kern w:val="0"/>
      <w:sz w:val="20"/>
      <w:szCs w:val="20"/>
      <w:lang w:eastAsia="pt-BR"/>
    </w:rPr>
  </w:style>
  <w:style w:type="character" w:styleId="TextodebaloChar" w:customStyle="1">
    <w:name w:val="Texto de balão Char"/>
    <w:basedOn w:val="DefaultParagraphFont"/>
    <w:link w:val="BalloonText"/>
    <w:uiPriority w:val="99"/>
    <w:semiHidden/>
    <w:qFormat/>
    <w:rsid w:val="006751ce"/>
    <w:rPr>
      <w:rFonts w:ascii="Segoe UI" w:hAnsi="Segoe UI" w:eastAsia="Aptos" w:cs="Segoe UI"/>
      <w:kern w:val="0"/>
      <w:sz w:val="18"/>
      <w:szCs w:val="18"/>
      <w:lang w:eastAsia="pt-BR"/>
    </w:rPr>
  </w:style>
  <w:style w:type="character" w:styleId="Hyperlink">
    <w:name w:val="Hyperlink"/>
    <w:basedOn w:val="DefaultParagraphFont"/>
    <w:uiPriority w:val="99"/>
    <w:unhideWhenUsed/>
    <w:rsid w:val="00472e27"/>
    <w:rPr>
      <w:color w:val="0000FF"/>
      <w:u w:val="single"/>
    </w:rPr>
  </w:style>
  <w:style w:type="character" w:styleId="citation-43" w:customStyle="1">
    <w:name w:val="citation-43"/>
    <w:basedOn w:val="DefaultParagraphFont"/>
    <w:qFormat/>
    <w:rsid w:val="00472e27"/>
    <w:rPr/>
  </w:style>
  <w:style w:type="character" w:styleId="citation-56" w:customStyle="1">
    <w:name w:val="citation-56"/>
    <w:basedOn w:val="DefaultParagraphFont"/>
    <w:qFormat/>
    <w:rsid w:val="00c41d04"/>
    <w:rPr/>
  </w:style>
  <w:style w:type="character" w:styleId="citation-55" w:customStyle="1">
    <w:name w:val="citation-55"/>
    <w:basedOn w:val="DefaultParagraphFont"/>
    <w:qFormat/>
    <w:rsid w:val="00c41d04"/>
    <w:rPr/>
  </w:style>
  <w:style w:type="character" w:styleId="citation-54" w:customStyle="1">
    <w:name w:val="citation-54"/>
    <w:basedOn w:val="DefaultParagraphFont"/>
    <w:qFormat/>
    <w:rsid w:val="00c41d04"/>
    <w:rPr/>
  </w:style>
  <w:style w:type="character" w:styleId="citation-53" w:customStyle="1">
    <w:name w:val="citation-53"/>
    <w:basedOn w:val="DefaultParagraphFont"/>
    <w:qFormat/>
    <w:rsid w:val="00c41d04"/>
    <w:rPr/>
  </w:style>
  <w:style w:type="character" w:styleId="citation-51" w:customStyle="1">
    <w:name w:val="citation-51"/>
    <w:basedOn w:val="DefaultParagraphFont"/>
    <w:qFormat/>
    <w:rsid w:val="00c41d04"/>
    <w:rPr/>
  </w:style>
  <w:style w:type="character" w:styleId="citation-50" w:customStyle="1">
    <w:name w:val="citation-50"/>
    <w:basedOn w:val="DefaultParagraphFont"/>
    <w:qFormat/>
    <w:rsid w:val="00c41d04"/>
    <w:rPr/>
  </w:style>
  <w:style w:type="character" w:styleId="citation-49" w:customStyle="1">
    <w:name w:val="citation-49"/>
    <w:basedOn w:val="DefaultParagraphFont"/>
    <w:qFormat/>
    <w:rsid w:val="00c41d04"/>
    <w:rPr/>
  </w:style>
  <w:style w:type="character" w:styleId="citation-48" w:customStyle="1">
    <w:name w:val="citation-48"/>
    <w:basedOn w:val="DefaultParagraphFont"/>
    <w:qFormat/>
    <w:rsid w:val="00c41d04"/>
    <w:rPr/>
  </w:style>
  <w:style w:type="character" w:styleId="citation-62" w:customStyle="1">
    <w:name w:val="citation-62"/>
    <w:basedOn w:val="DefaultParagraphFont"/>
    <w:qFormat/>
    <w:rsid w:val="00ff4e4b"/>
    <w:rPr/>
  </w:style>
  <w:style w:type="character" w:styleId="citation-68" w:customStyle="1">
    <w:name w:val="citation-68"/>
    <w:basedOn w:val="DefaultParagraphFont"/>
    <w:qFormat/>
    <w:rsid w:val="00cd33d6"/>
    <w:rPr/>
  </w:style>
  <w:style w:type="character" w:styleId="citation-67" w:customStyle="1">
    <w:name w:val="citation-67"/>
    <w:basedOn w:val="DefaultParagraphFont"/>
    <w:qFormat/>
    <w:rsid w:val="00cd33d6"/>
    <w:rPr/>
  </w:style>
  <w:style w:type="character" w:styleId="citation-66" w:customStyle="1">
    <w:name w:val="citation-66"/>
    <w:basedOn w:val="DefaultParagraphFont"/>
    <w:qFormat/>
    <w:rsid w:val="00cd33d6"/>
    <w:rPr/>
  </w:style>
  <w:style w:type="character" w:styleId="citation-65" w:customStyle="1">
    <w:name w:val="citation-65"/>
    <w:basedOn w:val="DefaultParagraphFont"/>
    <w:qFormat/>
    <w:rsid w:val="00cd33d6"/>
    <w:rPr/>
  </w:style>
  <w:style w:type="character" w:styleId="citation-64" w:customStyle="1">
    <w:name w:val="citation-64"/>
    <w:basedOn w:val="DefaultParagraphFont"/>
    <w:qFormat/>
    <w:rsid w:val="00cd33d6"/>
    <w:rPr/>
  </w:style>
  <w:style w:type="character" w:styleId="citation-63" w:customStyle="1">
    <w:name w:val="citation-63"/>
    <w:basedOn w:val="DefaultParagraphFont"/>
    <w:qFormat/>
    <w:rsid w:val="00cd33d6"/>
    <w:rPr/>
  </w:style>
  <w:style w:type="character" w:styleId="citation-90" w:customStyle="1">
    <w:name w:val="citation-90"/>
    <w:basedOn w:val="DefaultParagraphFont"/>
    <w:qFormat/>
    <w:rsid w:val="00e84093"/>
    <w:rPr/>
  </w:style>
  <w:style w:type="character" w:styleId="citation-59" w:customStyle="1">
    <w:name w:val="citation-59"/>
    <w:basedOn w:val="DefaultParagraphFont"/>
    <w:qFormat/>
    <w:rsid w:val="00cc0222"/>
    <w:rPr/>
  </w:style>
  <w:style w:type="character" w:styleId="citation-58" w:customStyle="1">
    <w:name w:val="citation-58"/>
    <w:basedOn w:val="DefaultParagraphFont"/>
    <w:qFormat/>
    <w:rsid w:val="00cc0222"/>
    <w:rPr/>
  </w:style>
  <w:style w:type="character" w:styleId="citation-57" w:customStyle="1">
    <w:name w:val="citation-57"/>
    <w:basedOn w:val="DefaultParagraphFont"/>
    <w:qFormat/>
    <w:rsid w:val="00cc0222"/>
    <w:rPr/>
  </w:style>
  <w:style w:type="character" w:styleId="citation-52" w:customStyle="1">
    <w:name w:val="citation-52"/>
    <w:basedOn w:val="DefaultParagraphFont"/>
    <w:qFormat/>
    <w:rsid w:val="00cc0222"/>
    <w:rPr/>
  </w:style>
  <w:style w:type="character" w:styleId="citation-45" w:customStyle="1">
    <w:name w:val="citation-45"/>
    <w:basedOn w:val="DefaultParagraphFont"/>
    <w:qFormat/>
    <w:rsid w:val="00cc0222"/>
    <w:rPr/>
  </w:style>
  <w:style w:type="character" w:styleId="citation-47" w:customStyle="1">
    <w:name w:val="citation-47"/>
    <w:basedOn w:val="DefaultParagraphFont"/>
    <w:qFormat/>
    <w:rsid w:val="00e852c2"/>
    <w:rPr/>
  </w:style>
  <w:style w:type="character" w:styleId="citation-46" w:customStyle="1">
    <w:name w:val="citation-46"/>
    <w:basedOn w:val="DefaultParagraphFont"/>
    <w:qFormat/>
    <w:rsid w:val="00e852c2"/>
    <w:rPr/>
  </w:style>
  <w:style w:type="character" w:styleId="citation-44" w:customStyle="1">
    <w:name w:val="citation-44"/>
    <w:basedOn w:val="DefaultParagraphFont"/>
    <w:qFormat/>
    <w:rsid w:val="00e852c2"/>
    <w:rPr/>
  </w:style>
  <w:style w:type="character" w:styleId="citation-109" w:customStyle="1">
    <w:name w:val="citation-109"/>
    <w:basedOn w:val="DefaultParagraphFont"/>
    <w:qFormat/>
    <w:rsid w:val="00ff3f1a"/>
    <w:rPr/>
  </w:style>
  <w:style w:type="character" w:styleId="citation-108" w:customStyle="1">
    <w:name w:val="citation-108"/>
    <w:basedOn w:val="DefaultParagraphFont"/>
    <w:qFormat/>
    <w:rsid w:val="00ff3f1a"/>
    <w:rPr/>
  </w:style>
  <w:style w:type="character" w:styleId="citation-107" w:customStyle="1">
    <w:name w:val="citation-107"/>
    <w:basedOn w:val="DefaultParagraphFont"/>
    <w:qFormat/>
    <w:rsid w:val="00ff3f1a"/>
    <w:rPr/>
  </w:style>
  <w:style w:type="character" w:styleId="A0" w:customStyle="1">
    <w:name w:val="A0"/>
    <w:uiPriority w:val="99"/>
    <w:qFormat/>
    <w:rsid w:val="00e45892"/>
    <w:rPr>
      <w:color w:val="000000"/>
      <w:sz w:val="20"/>
      <w:szCs w:val="20"/>
    </w:rPr>
  </w:style>
  <w:style w:type="character" w:styleId="citation-83" w:customStyle="1">
    <w:name w:val="citation-83"/>
    <w:basedOn w:val="DefaultParagraphFont"/>
    <w:qFormat/>
    <w:rsid w:val="00561deb"/>
    <w:rPr/>
  </w:style>
  <w:style w:type="character" w:styleId="citation-82" w:customStyle="1">
    <w:name w:val="citation-82"/>
    <w:basedOn w:val="DefaultParagraphFont"/>
    <w:qFormat/>
    <w:rsid w:val="00561deb"/>
    <w:rPr/>
  </w:style>
  <w:style w:type="character" w:styleId="citation-81" w:customStyle="1">
    <w:name w:val="citation-81"/>
    <w:basedOn w:val="DefaultParagraphFont"/>
    <w:qFormat/>
    <w:rsid w:val="00561deb"/>
    <w:rPr/>
  </w:style>
  <w:style w:type="character" w:styleId="citation-80" w:customStyle="1">
    <w:name w:val="citation-80"/>
    <w:basedOn w:val="DefaultParagraphFont"/>
    <w:qFormat/>
    <w:rsid w:val="00561deb"/>
    <w:rPr/>
  </w:style>
  <w:style w:type="character" w:styleId="citation-79" w:customStyle="1">
    <w:name w:val="citation-79"/>
    <w:basedOn w:val="DefaultParagraphFont"/>
    <w:qFormat/>
    <w:rsid w:val="00561deb"/>
    <w:rPr/>
  </w:style>
  <w:style w:type="character" w:styleId="math-inline" w:customStyle="1">
    <w:name w:val="math-inline"/>
    <w:basedOn w:val="DefaultParagraphFont"/>
    <w:qFormat/>
    <w:rsid w:val="00127b7e"/>
    <w:rPr/>
  </w:style>
  <w:style w:type="character" w:styleId="citation-12" w:customStyle="1">
    <w:name w:val="citation-12"/>
    <w:basedOn w:val="DefaultParagraphFont"/>
    <w:qFormat/>
    <w:rsid w:val="005841c9"/>
    <w:rPr/>
  </w:style>
  <w:style w:type="character" w:styleId="citation-39" w:customStyle="1">
    <w:name w:val="citation-39"/>
    <w:basedOn w:val="DefaultParagraphFont"/>
    <w:qFormat/>
    <w:rsid w:val="007d463a"/>
    <w:rPr/>
  </w:style>
  <w:style w:type="character" w:styleId="citation-38" w:customStyle="1">
    <w:name w:val="citation-38"/>
    <w:basedOn w:val="DefaultParagraphFont"/>
    <w:qFormat/>
    <w:rsid w:val="007d463a"/>
    <w:rPr/>
  </w:style>
  <w:style w:type="character" w:styleId="citation-37" w:customStyle="1">
    <w:name w:val="citation-37"/>
    <w:basedOn w:val="DefaultParagraphFont"/>
    <w:qFormat/>
    <w:rsid w:val="007d463a"/>
    <w:rPr/>
  </w:style>
  <w:style w:type="character" w:styleId="citation-36" w:customStyle="1">
    <w:name w:val="citation-36"/>
    <w:basedOn w:val="DefaultParagraphFont"/>
    <w:qFormat/>
    <w:rsid w:val="007d463a"/>
    <w:rPr/>
  </w:style>
  <w:style w:type="character" w:styleId="citation-35" w:customStyle="1">
    <w:name w:val="citation-35"/>
    <w:basedOn w:val="DefaultParagraphFont"/>
    <w:qFormat/>
    <w:rsid w:val="007d463a"/>
    <w:rPr/>
  </w:style>
  <w:style w:type="character" w:styleId="citation-34" w:customStyle="1">
    <w:name w:val="citation-34"/>
    <w:basedOn w:val="DefaultParagraphFont"/>
    <w:qFormat/>
    <w:rsid w:val="007d463a"/>
    <w:rPr/>
  </w:style>
  <w:style w:type="character" w:styleId="citation-33" w:customStyle="1">
    <w:name w:val="citation-33"/>
    <w:basedOn w:val="DefaultParagraphFont"/>
    <w:qFormat/>
    <w:rsid w:val="007d463a"/>
    <w:rPr/>
  </w:style>
  <w:style w:type="character" w:styleId="citation-32" w:customStyle="1">
    <w:name w:val="citation-32"/>
    <w:basedOn w:val="DefaultParagraphFont"/>
    <w:qFormat/>
    <w:rsid w:val="007d463a"/>
    <w:rPr/>
  </w:style>
  <w:style w:type="character" w:styleId="citation-31" w:customStyle="1">
    <w:name w:val="citation-31"/>
    <w:basedOn w:val="DefaultParagraphFont"/>
    <w:qFormat/>
    <w:rsid w:val="007d463a"/>
    <w:rPr/>
  </w:style>
  <w:style w:type="character" w:styleId="citation-30" w:customStyle="1">
    <w:name w:val="citation-30"/>
    <w:basedOn w:val="DefaultParagraphFont"/>
    <w:qFormat/>
    <w:rsid w:val="007d463a"/>
    <w:rPr/>
  </w:style>
  <w:style w:type="character" w:styleId="CabealhoChar" w:customStyle="1">
    <w:name w:val="Cabeçalho Char"/>
    <w:basedOn w:val="DefaultParagraphFont"/>
    <w:link w:val="Header"/>
    <w:uiPriority w:val="99"/>
    <w:qFormat/>
    <w:rsid w:val="00fe096e"/>
    <w:rPr>
      <w:rFonts w:ascii="Aptos" w:hAnsi="Aptos" w:eastAsia="Aptos" w:cs="Aptos"/>
      <w:kern w:val="0"/>
      <w:lang w:eastAsia="pt-BR"/>
    </w:rPr>
  </w:style>
  <w:style w:type="character" w:styleId="RodapChar" w:customStyle="1">
    <w:name w:val="Rodapé Char"/>
    <w:basedOn w:val="DefaultParagraphFont"/>
    <w:link w:val="Footer"/>
    <w:uiPriority w:val="99"/>
    <w:qFormat/>
    <w:rsid w:val="00fe096e"/>
    <w:rPr>
      <w:rFonts w:ascii="Aptos" w:hAnsi="Aptos" w:eastAsia="Aptos" w:cs="Aptos"/>
      <w:kern w:val="0"/>
      <w:lang w:eastAsia="pt-BR"/>
    </w:rPr>
  </w:style>
  <w:style w:type="character" w:styleId="MenoPendente1" w:customStyle="1">
    <w:name w:val="Menção Pendente1"/>
    <w:basedOn w:val="DefaultParagraphFont"/>
    <w:uiPriority w:val="99"/>
    <w:semiHidden/>
    <w:unhideWhenUsed/>
    <w:qFormat/>
    <w:rsid w:val="00ab7692"/>
    <w:rPr>
      <w:color w:val="605E5C"/>
      <w:shd w:fill="E1DFDD" w:val="clear"/>
    </w:rPr>
  </w:style>
  <w:style w:type="character" w:styleId="VerbatimChar" w:customStyle="1">
    <w:name w:val="Verbatim Char"/>
    <w:qFormat/>
    <w:rsid w:val="0070758f"/>
    <w:rPr>
      <w:rFonts w:ascii="Consolas" w:hAnsi="Consolas"/>
      <w:sz w:val="22"/>
    </w:rPr>
  </w:style>
  <w:style w:type="character" w:styleId="PlaceholderText">
    <w:name w:val="Placeholder Text"/>
    <w:basedOn w:val="DefaultParagraphFont"/>
    <w:uiPriority w:val="99"/>
    <w:semiHidden/>
    <w:qFormat/>
    <w:rsid w:val="008827c2"/>
    <w:rPr>
      <w:color w:val="666666"/>
    </w:rPr>
  </w:style>
  <w:style w:type="character" w:styleId="MenoPendente2" w:customStyle="1">
    <w:name w:val="Menção Pendente2"/>
    <w:basedOn w:val="DefaultParagraphFont"/>
    <w:uiPriority w:val="99"/>
    <w:semiHidden/>
    <w:unhideWhenUsed/>
    <w:qFormat/>
    <w:rsid w:val="00805927"/>
    <w:rPr>
      <w:color w:val="605E5C"/>
      <w:shd w:fill="E1DFDD" w:val="clear"/>
    </w:rPr>
  </w:style>
  <w:style w:type="character" w:styleId="TextodenotaderodapChar" w:customStyle="1">
    <w:name w:val="Texto de nota de rodapé Char"/>
    <w:basedOn w:val="DefaultParagraphFont"/>
    <w:link w:val="FootnoteText"/>
    <w:uiPriority w:val="99"/>
    <w:semiHidden/>
    <w:qFormat/>
    <w:rsid w:val="001c0bff"/>
    <w:rPr>
      <w:sz w:val="20"/>
      <w:szCs w:val="20"/>
    </w:rPr>
  </w:style>
  <w:style w:type="character" w:styleId="FootnoteCharacters" w:customStyle="1">
    <w:name w:val="Footnote Characters"/>
    <w:uiPriority w:val="99"/>
    <w:semiHidden/>
    <w:unhideWhenUsed/>
    <w:qFormat/>
    <w:rsid w:val="001c0bff"/>
    <w:rPr>
      <w:vertAlign w:val="superscript"/>
    </w:rPr>
  </w:style>
  <w:style w:type="character" w:styleId="FootnoteReference">
    <w:name w:val="Footnote Reference"/>
    <w:rPr>
      <w:vertAlign w:val="superscript"/>
    </w:rPr>
  </w:style>
  <w:style w:type="character" w:styleId="FollowedHyperlink">
    <w:name w:val="FollowedHyperlink"/>
    <w:basedOn w:val="DefaultParagraphFont"/>
    <w:uiPriority w:val="99"/>
    <w:semiHidden/>
    <w:unhideWhenUsed/>
    <w:rsid w:val="009317b6"/>
    <w:rPr>
      <w:color w:themeColor="followedHyperlink" w:val="954F72"/>
      <w:u w:val="single"/>
    </w:rPr>
  </w:style>
  <w:style w:type="character" w:styleId="Pr-formataoHTMLChar" w:customStyle="1">
    <w:name w:val="Pré-formatação HTML Char"/>
    <w:basedOn w:val="DefaultParagraphFont"/>
    <w:link w:val="HTMLPreformatted"/>
    <w:uiPriority w:val="99"/>
    <w:semiHidden/>
    <w:qFormat/>
    <w:rsid w:val="00ab7cbc"/>
    <w:rPr>
      <w:rFonts w:ascii="Courier New" w:hAnsi="Courier New" w:eastAsia="Times New Roman" w:cs="Courier New"/>
      <w:sz w:val="20"/>
      <w:szCs w:val="20"/>
    </w:rPr>
  </w:style>
  <w:style w:type="character" w:styleId="y2iqfc" w:customStyle="1">
    <w:name w:val="y2iqfc"/>
    <w:basedOn w:val="DefaultParagraphFont"/>
    <w:qFormat/>
    <w:rsid w:val="00ab7cbc"/>
    <w:rPr/>
  </w:style>
  <w:style w:type="character" w:styleId="al-author-delim" w:customStyle="1">
    <w:name w:val="al-author-delim"/>
    <w:basedOn w:val="DefaultParagraphFont"/>
    <w:qFormat/>
    <w:rsid w:val="006576ab"/>
    <w:rPr/>
  </w:style>
  <w:style w:type="character" w:styleId="IndexLink" w:customStyle="1">
    <w:name w:val="Index Link"/>
    <w:qFormat/>
    <w:rPr/>
  </w:style>
  <w:style w:type="character" w:styleId="LineNumber">
    <w:name w:val="Line Number"/>
    <w:rPr/>
  </w:style>
  <w:style w:type="character" w:styleId="EndnoteCharacters" w:customStyle="1">
    <w:name w:val="Endnote Characters"/>
    <w:qFormat/>
    <w:rPr/>
  </w:style>
  <w:style w:type="character" w:styleId="EndnoteReference">
    <w:name w:val="Endnote Reference"/>
    <w:rPr>
      <w:vertAlign w:val="superscript"/>
    </w:rPr>
  </w:style>
  <w:style w:type="character" w:styleId="UnresolvedMention">
    <w:name w:val="Unresolved Mention"/>
    <w:basedOn w:val="DefaultParagraphFont"/>
    <w:uiPriority w:val="99"/>
    <w:semiHidden/>
    <w:unhideWhenUsed/>
    <w:qFormat/>
    <w:rsid w:val="00553236"/>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b31434"/>
    <w:pPr>
      <w:spacing w:lineRule="auto" w:line="240" w:before="0" w:after="200"/>
    </w:pPr>
    <w:rPr>
      <w:i/>
      <w:iCs/>
      <w:color w:themeColor="text2" w:val="44546A"/>
      <w:sz w:val="18"/>
      <w:szCs w:val="18"/>
    </w:rPr>
  </w:style>
  <w:style w:type="paragraph" w:styleId="Index" w:customStyle="1">
    <w:name w:val="Index"/>
    <w:basedOn w:val="Normal"/>
    <w:qFormat/>
    <w:pPr>
      <w:suppressLineNumbers/>
    </w:pPr>
    <w:rPr>
      <w:rFonts w:cs="FreeSans"/>
    </w:rPr>
  </w:style>
  <w:style w:type="paragraph" w:styleId="Title">
    <w:name w:val="Title"/>
    <w:basedOn w:val="Normal"/>
    <w:next w:val="Normal"/>
    <w:uiPriority w:val="10"/>
    <w:qFormat/>
    <w:pPr>
      <w:spacing w:lineRule="auto" w:line="240" w:before="0" w:after="80"/>
    </w:pPr>
    <w:rPr>
      <w:rFonts w:ascii="Calibri" w:hAnsi="Calibri" w:eastAsia="Calibri" w:cs="Calibri"/>
      <w:sz w:val="56"/>
      <w:szCs w:val="56"/>
    </w:rPr>
  </w:style>
  <w:style w:type="paragraph" w:styleId="Quote">
    <w:name w:val="Quote"/>
    <w:basedOn w:val="Normal"/>
    <w:next w:val="Normal"/>
    <w:link w:val="CitaoChar"/>
    <w:uiPriority w:val="29"/>
    <w:qFormat/>
    <w:rsid w:val="0097185f"/>
    <w:pPr>
      <w:spacing w:before="160" w:after="160"/>
      <w:jc w:val="center"/>
    </w:pPr>
    <w:rPr>
      <w:i/>
      <w:iCs/>
      <w:color w:themeColor="text1" w:themeTint="bf" w:val="404040"/>
    </w:rPr>
  </w:style>
  <w:style w:type="paragraph" w:styleId="ListParagraph">
    <w:name w:val="List Paragraph"/>
    <w:basedOn w:val="Normal"/>
    <w:uiPriority w:val="34"/>
    <w:qFormat/>
    <w:rsid w:val="0097185f"/>
    <w:pPr>
      <w:spacing w:before="0" w:after="160"/>
      <w:ind w:left="720"/>
      <w:contextualSpacing/>
    </w:pPr>
    <w:rPr/>
  </w:style>
  <w:style w:type="paragraph" w:styleId="IntenseQuote">
    <w:name w:val="Intense Quote"/>
    <w:basedOn w:val="Normal"/>
    <w:next w:val="Normal"/>
    <w:link w:val="CitaoIntensaChar"/>
    <w:uiPriority w:val="30"/>
    <w:qFormat/>
    <w:rsid w:val="0097185f"/>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unhideWhenUsed/>
    <w:qFormat/>
    <w:rsid w:val="0097185f"/>
    <w:pPr>
      <w:spacing w:lineRule="auto" w:line="240" w:beforeAutospacing="1" w:afterAutospacing="1"/>
    </w:pPr>
    <w:rPr>
      <w:rFonts w:ascii="Times New Roman" w:hAnsi="Times New Roman" w:eastAsia="Times New Roman" w:cs="Times New Roman"/>
      <w:sz w:val="24"/>
      <w:szCs w:val="24"/>
    </w:rPr>
  </w:style>
  <w:style w:type="paragraph" w:styleId="AnnotationText">
    <w:name w:val="Annotation Text"/>
    <w:basedOn w:val="Normal"/>
    <w:link w:val="TextodecomentrioChar"/>
    <w:uiPriority w:val="99"/>
    <w:unhideWhenUsed/>
    <w:rsid w:val="006751ce"/>
    <w:pPr>
      <w:spacing w:lineRule="auto" w:line="240"/>
    </w:pPr>
    <w:rPr>
      <w:sz w:val="20"/>
      <w:szCs w:val="20"/>
    </w:rPr>
  </w:style>
  <w:style w:type="paragraph" w:styleId="annotationsubject">
    <w:name w:val="annotation subject"/>
    <w:basedOn w:val="AnnotationText"/>
    <w:next w:val="AnnotationText"/>
    <w:link w:val="AssuntodocomentrioChar"/>
    <w:uiPriority w:val="99"/>
    <w:semiHidden/>
    <w:unhideWhenUsed/>
    <w:qFormat/>
    <w:rsid w:val="006751ce"/>
    <w:pPr/>
    <w:rPr>
      <w:b/>
      <w:bCs/>
    </w:rPr>
  </w:style>
  <w:style w:type="paragraph" w:styleId="BalloonText">
    <w:name w:val="Balloon Text"/>
    <w:basedOn w:val="Normal"/>
    <w:link w:val="TextodebaloChar"/>
    <w:uiPriority w:val="99"/>
    <w:semiHidden/>
    <w:unhideWhenUsed/>
    <w:qFormat/>
    <w:rsid w:val="006751ce"/>
    <w:pPr>
      <w:spacing w:lineRule="auto" w:line="240" w:before="0" w:after="0"/>
    </w:pPr>
    <w:rPr>
      <w:rFonts w:ascii="Segoe UI" w:hAnsi="Segoe UI" w:cs="Segoe UI"/>
      <w:sz w:val="18"/>
      <w:szCs w:val="18"/>
    </w:rPr>
  </w:style>
  <w:style w:type="paragraph" w:styleId="IndexHeading">
    <w:name w:val="Index Heading"/>
    <w:basedOn w:val="Heading"/>
    <w:pPr/>
    <w:rPr/>
  </w:style>
  <w:style w:type="paragraph" w:styleId="TOCHeading">
    <w:name w:val="TOC Heading"/>
    <w:next w:val="Normal"/>
    <w:uiPriority w:val="39"/>
    <w:unhideWhenUsed/>
    <w:qFormat/>
    <w:rsid w:val="00a45f45"/>
    <w:pPr>
      <w:widowControl/>
      <w:suppressAutoHyphens w:val="true"/>
      <w:bidi w:val="0"/>
      <w:spacing w:lineRule="auto" w:line="259" w:before="240" w:after="0"/>
      <w:jc w:val="left"/>
    </w:pPr>
    <w:rPr>
      <w:rFonts w:ascii="Aptos" w:hAnsi="Aptos" w:eastAsia="Aptos" w:cs="Aptos"/>
      <w:color w:val="auto"/>
      <w:kern w:val="0"/>
      <w:sz w:val="32"/>
      <w:szCs w:val="32"/>
      <w:lang w:val="pt-BR" w:eastAsia="pt-BR" w:bidi="ar-SA"/>
    </w:rPr>
  </w:style>
  <w:style w:type="paragraph" w:styleId="TOC1">
    <w:name w:val="TOC 1"/>
    <w:basedOn w:val="Normal"/>
    <w:next w:val="Normal"/>
    <w:autoRedefine/>
    <w:uiPriority w:val="39"/>
    <w:unhideWhenUsed/>
    <w:rsid w:val="00a45f45"/>
    <w:pPr>
      <w:spacing w:before="0" w:after="100"/>
    </w:pPr>
    <w:rPr/>
  </w:style>
  <w:style w:type="paragraph" w:styleId="TOC2">
    <w:name w:val="TOC 2"/>
    <w:basedOn w:val="Normal"/>
    <w:next w:val="Normal"/>
    <w:autoRedefine/>
    <w:uiPriority w:val="39"/>
    <w:unhideWhenUsed/>
    <w:rsid w:val="009c4970"/>
    <w:pPr>
      <w:tabs>
        <w:tab w:val="clear" w:pos="720"/>
        <w:tab w:val="right" w:pos="8494" w:leader="dot"/>
      </w:tabs>
      <w:spacing w:before="0" w:after="100"/>
    </w:pPr>
    <w:rPr>
      <w:rFonts w:ascii="Times New Roman" w:hAnsi="Times New Roman" w:eastAsia="Times New Roman" w:cs="Times New Roman"/>
      <w:b/>
      <w:bCs/>
    </w:rPr>
  </w:style>
  <w:style w:type="paragraph" w:styleId="TOC3">
    <w:name w:val="TOC 3"/>
    <w:basedOn w:val="Normal"/>
    <w:next w:val="Normal"/>
    <w:autoRedefine/>
    <w:uiPriority w:val="39"/>
    <w:unhideWhenUsed/>
    <w:rsid w:val="00a45f45"/>
    <w:pPr>
      <w:spacing w:before="0" w:after="100"/>
      <w:ind w:left="440"/>
    </w:pPr>
    <w:rPr/>
  </w:style>
  <w:style w:type="paragraph" w:styleId="Default" w:customStyle="1">
    <w:name w:val="Default"/>
    <w:qFormat/>
    <w:rsid w:val="00e45892"/>
    <w:pPr>
      <w:widowControl/>
      <w:suppressAutoHyphens w:val="true"/>
      <w:bidi w:val="0"/>
      <w:spacing w:before="0" w:after="0"/>
      <w:jc w:val="left"/>
    </w:pPr>
    <w:rPr>
      <w:rFonts w:ascii="Times New Roman" w:hAnsi="Times New Roman" w:cs="Times New Roman" w:eastAsia="Aptos"/>
      <w:color w:val="000000"/>
      <w:kern w:val="0"/>
      <w:sz w:val="24"/>
      <w:szCs w:val="24"/>
      <w:lang w:val="pt-BR" w:eastAsia="pt-BR" w:bidi="ar-SA"/>
    </w:rPr>
  </w:style>
  <w:style w:type="paragraph" w:styleId="HeaderandFooter" w:customStyle="1">
    <w:name w:val="Header and Footer"/>
    <w:basedOn w:val="Normal"/>
    <w:qFormat/>
    <w:pPr/>
    <w:rPr/>
  </w:style>
  <w:style w:type="paragraph" w:styleId="Header">
    <w:name w:val="Header"/>
    <w:basedOn w:val="Normal"/>
    <w:link w:val="CabealhoChar"/>
    <w:uiPriority w:val="99"/>
    <w:unhideWhenUsed/>
    <w:rsid w:val="00fe096e"/>
    <w:pPr>
      <w:tabs>
        <w:tab w:val="clear" w:pos="720"/>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fe096e"/>
    <w:pPr>
      <w:tabs>
        <w:tab w:val="clear" w:pos="720"/>
        <w:tab w:val="center" w:pos="4252" w:leader="none"/>
        <w:tab w:val="right" w:pos="8504" w:leader="none"/>
      </w:tabs>
      <w:spacing w:lineRule="auto" w:line="240" w:before="0" w:after="0"/>
    </w:pPr>
    <w:rPr/>
  </w:style>
  <w:style w:type="paragraph" w:styleId="TableofFigures">
    <w:name w:val="Table of Figures"/>
    <w:basedOn w:val="Normal"/>
    <w:next w:val="Normal"/>
    <w:uiPriority w:val="99"/>
    <w:unhideWhenUsed/>
    <w:rsid w:val="00e57618"/>
    <w:pPr>
      <w:spacing w:before="0" w:after="0"/>
    </w:pPr>
    <w:rPr/>
  </w:style>
  <w:style w:type="paragraph" w:styleId="Subtitle">
    <w:name w:val="Subtitle"/>
    <w:basedOn w:val="Normal"/>
    <w:next w:val="Normal"/>
    <w:uiPriority w:val="11"/>
    <w:qFormat/>
    <w:pPr/>
    <w:rPr>
      <w:color w:val="595959"/>
      <w:sz w:val="28"/>
      <w:szCs w:val="28"/>
    </w:rPr>
  </w:style>
  <w:style w:type="paragraph" w:styleId="my-2" w:customStyle="1">
    <w:name w:val="my-2"/>
    <w:basedOn w:val="Normal"/>
    <w:qFormat/>
    <w:rsid w:val="00e37c7c"/>
    <w:pPr>
      <w:spacing w:lineRule="auto" w:line="240" w:beforeAutospacing="1" w:afterAutospacing="1"/>
    </w:pPr>
    <w:rPr>
      <w:rFonts w:ascii="Times New Roman" w:hAnsi="Times New Roman" w:eastAsia="Times New Roman" w:cs="Times New Roman"/>
      <w:sz w:val="24"/>
      <w:szCs w:val="24"/>
    </w:rPr>
  </w:style>
  <w:style w:type="paragraph" w:styleId="Revision">
    <w:name w:val="Revision"/>
    <w:uiPriority w:val="99"/>
    <w:semiHidden/>
    <w:qFormat/>
    <w:rsid w:val="00c62623"/>
    <w:pPr>
      <w:widowControl/>
      <w:suppressAutoHyphens w:val="true"/>
      <w:bidi w:val="0"/>
      <w:spacing w:before="0" w:after="0"/>
      <w:jc w:val="left"/>
    </w:pPr>
    <w:rPr>
      <w:rFonts w:ascii="Aptos" w:hAnsi="Aptos" w:eastAsia="Aptos" w:cs="Aptos"/>
      <w:color w:val="auto"/>
      <w:kern w:val="0"/>
      <w:sz w:val="22"/>
      <w:szCs w:val="22"/>
      <w:lang w:val="pt-BR" w:eastAsia="pt-BR" w:bidi="ar-SA"/>
    </w:rPr>
  </w:style>
  <w:style w:type="paragraph" w:styleId="FootnoteText">
    <w:name w:val="Footnote Text"/>
    <w:basedOn w:val="Normal"/>
    <w:link w:val="TextodenotaderodapChar"/>
    <w:uiPriority w:val="99"/>
    <w:semiHidden/>
    <w:unhideWhenUsed/>
    <w:rsid w:val="001c0bff"/>
    <w:pPr>
      <w:spacing w:lineRule="auto" w:line="240" w:before="0" w:after="0"/>
    </w:pPr>
    <w:rPr>
      <w:sz w:val="20"/>
      <w:szCs w:val="20"/>
    </w:rPr>
  </w:style>
  <w:style w:type="paragraph" w:styleId="HTMLPreformatted">
    <w:name w:val="HTML Preformatted"/>
    <w:basedOn w:val="Normal"/>
    <w:link w:val="Pr-formataoHTMLChar"/>
    <w:uiPriority w:val="99"/>
    <w:semiHidden/>
    <w:unhideWhenUsed/>
    <w:qFormat/>
    <w:rsid w:val="00ab7cbc"/>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HeaderLeft" w:customStyle="1">
    <w:name w:val="Header Left"/>
    <w:basedOn w:val="Header"/>
    <w:qFormat/>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styleId="TabelaSimples5">
    <w:name w:val="Plain Table 5"/>
    <w:basedOn w:val="Tabelanormal"/>
    <w:uiPriority w:val="45"/>
    <w:rsid w:val="005e6b1e"/>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2">
    <w:name w:val="Grid Table 2"/>
    <w:basedOn w:val="Tabelanormal"/>
    <w:uiPriority w:val="47"/>
    <w:rsid w:val="005e6b1e"/>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000000" w:themeColor="text1" w:sz="12" w:space="0"/>
          <w:insideH w:val="nil"/>
          <w:insideV w:val="nil"/>
        </w:tcBorders>
        <w:shd w:val="clear" w:color="auto" w:fill="FFFFFF" w:themeFill="background1"/>
      </w:tcPr>
    </w:tblStylePr>
    <w:tblStylePr w:type="lastRow">
      <w:rPr>
        <w:b/>
        <w:bCs/>
      </w:rPr>
      <w:tblPr/>
      <w:tcPr>
        <w:tcBorders>
          <w:top w:val="double" w:color="000000"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NormalGrid">
    <w:name w:val="Normal Grid"/>
    <w:basedOn w:val="Tabelanormal"/>
    <w:uiPriority w:val="39"/>
    <w:rsid w:val="0070758f"/>
    <w:rPr>
      <w:lang w:val="pt-PT"/>
      <w:sz w:val="21"/>
    </w:rPr>
    <w:tblPr>
      <w:tblCellMar>
        <w:top w:w="80" w:type="dxa"/>
        <w:left w:w="160" w:type="dxa"/>
        <w:bottom w:w="80" w:type="dxa"/>
        <w:right w:w="160" w:type="dxa"/>
      </w:tblCellMar>
    </w:tblPr>
  </w:style>
  <w:style w:type="table" w:customStyle="1" w:styleId="10">
    <w:name w:val="10"/>
    <w:basedOn w:val="TableNormal"/>
    <w:tblPr>
      <w:tblStyleRowBandSize w:val="1"/>
      <w:tblStyleColBandSize w:val="1"/>
      <w:tblCellMar>
        <w:top w:w="15" w:type="dxa"/>
        <w:left w:w="15" w:type="dxa"/>
        <w:bottom w:w="15" w:type="dxa"/>
        <w:right w:w="15" w:type="dxa"/>
      </w:tblCellMar>
    </w:tblPr>
  </w:style>
  <w:style w:type="table" w:customStyle="1" w:styleId="9">
    <w:name w:val="9"/>
    <w:basedOn w:val="TableNormal"/>
    <w:tblPr>
      <w:tblStyleRowBandSize w:val="1"/>
      <w:tblStyleColBandSize w:val="1"/>
      <w:tblCellMar>
        <w:top w:w="0" w:type="dxa"/>
        <w:left w:w="10" w:type="dxa"/>
        <w:bottom w:w="0" w:type="dxa"/>
        <w:right w:w="10" w:type="dxa"/>
      </w:tblCellMar>
    </w:tblPr>
  </w:style>
  <w:style w:type="table" w:customStyle="1" w:styleId="8">
    <w:name w:val="8"/>
    <w:basedOn w:val="TableNormal"/>
    <w:tblPr>
      <w:tblStyleRowBandSize w:val="1"/>
      <w:tblStyleColBandSize w:val="1"/>
      <w:tblCellMar>
        <w:top w:w="0" w:type="dxa"/>
        <w:left w:w="10" w:type="dxa"/>
        <w:bottom w:w="0" w:type="dxa"/>
        <w:right w:w="10" w:type="dxa"/>
      </w:tblCellMar>
    </w:tblPr>
  </w:style>
  <w:style w:type="table" w:customStyle="1" w:styleId="7">
    <w:name w:val="7"/>
    <w:basedOn w:val="TableNormal"/>
    <w:tblPr>
      <w:tblStyleRowBandSize w:val="1"/>
      <w:tblStyleColBandSize w:val="1"/>
      <w:tblCellMar>
        <w:top w:w="0" w:type="dxa"/>
        <w:left w:w="10" w:type="dxa"/>
        <w:bottom w:w="0" w:type="dxa"/>
        <w:right w:w="10" w:type="dxa"/>
      </w:tblCellMar>
    </w:tblPr>
  </w:style>
  <w:style w:type="table" w:customStyle="1" w:styleId="6">
    <w:name w:val="6"/>
    <w:basedOn w:val="TableNormal"/>
    <w:tblPr>
      <w:tblStyleRowBandSize w:val="1"/>
      <w:tblStyleColBandSize w:val="1"/>
      <w:tblCellMar>
        <w:top w:w="0" w:type="dxa"/>
        <w:left w:w="10" w:type="dxa"/>
        <w:bottom w:w="0" w:type="dxa"/>
        <w:right w:w="10" w:type="dxa"/>
      </w:tblCellMar>
    </w:tblPr>
  </w:style>
  <w:style w:type="table" w:customStyle="1" w:styleId="5">
    <w:name w:val="5"/>
    <w:basedOn w:val="TableNormal"/>
    <w:tblPr>
      <w:tblStyleRowBandSize w:val="1"/>
      <w:tblStyleColBandSize w:val="1"/>
      <w:tblCellMar>
        <w:top w:w="0" w:type="dxa"/>
        <w:left w:w="10" w:type="dxa"/>
        <w:bottom w:w="0" w:type="dxa"/>
        <w:right w:w="10" w:type="dxa"/>
      </w:tblCellMar>
    </w:tblPr>
  </w:style>
  <w:style w:type="table" w:customStyle="1" w:styleId="4">
    <w:name w:val="4"/>
    <w:basedOn w:val="TableNormal"/>
    <w:tblPr>
      <w:tblStyleRowBandSize w:val="1"/>
      <w:tblStyleColBandSize w:val="1"/>
      <w:tblCellMar>
        <w:top w:w="0" w:type="dxa"/>
        <w:left w:w="10" w:type="dxa"/>
        <w:bottom w:w="0" w:type="dxa"/>
        <w:right w:w="10" w:type="dxa"/>
      </w:tblCellMar>
    </w:tblPr>
  </w:style>
  <w:style w:type="table" w:customStyle="1" w:styleId="3">
    <w:name w:val="3"/>
    <w:basedOn w:val="TableNormal"/>
    <w:tblPr>
      <w:tblStyleRowBandSize w:val="1"/>
      <w:tblStyleColBandSize w:val="1"/>
      <w:tblCellMar>
        <w:top w:w="0" w:type="dxa"/>
        <w:left w:w="10" w:type="dxa"/>
        <w:bottom w:w="0" w:type="dxa"/>
        <w:right w:w="10" w:type="dxa"/>
      </w:tblCellMar>
    </w:tblPr>
  </w:style>
  <w:style w:type="table" w:customStyle="1" w:styleId="2">
    <w:name w:val="2"/>
    <w:basedOn w:val="TableNormal"/>
    <w:tblPr>
      <w:tblStyleRowBandSize w:val="1"/>
      <w:tblStyleColBandSize w:val="1"/>
      <w:tblCellMar>
        <w:top w:w="0" w:type="dxa"/>
        <w:left w:w="10" w:type="dxa"/>
        <w:bottom w:w="0" w:type="dxa"/>
        <w:right w:w="10" w:type="dxa"/>
      </w:tblCellMar>
    </w:tblPr>
  </w:style>
  <w:style w:type="table" w:customStyle="1" w:styleId="1">
    <w:name w:val="1"/>
    <w:basedOn w:val="TableNormal"/>
    <w:tblPr>
      <w:tblStyleRowBandSize w:val="1"/>
      <w:tblStyleColBandSize w:val="1"/>
      <w:tblCellMar>
        <w:top w:w="0" w:type="dxa"/>
        <w:left w:w="108" w:type="dxa"/>
        <w:bottom w:w="0" w:type="dxa"/>
        <w:right w:w="108" w:type="dxa"/>
      </w:tblCellMar>
    </w:tblPr>
    <w:tblStylePr w:type="firstRow">
      <w:rPr>
        <w:b/>
        <w:bCs/>
      </w:rPr>
      <w:tblPr/>
      <w:tcPr>
        <w:tcBorders>
          <w:top w:val="nil"/>
          <w:bottom w:val="single" w:color="666666" w:sz="12" w:space="0"/>
          <w:insideH w:val="nil"/>
          <w:insideV w:val="nil"/>
        </w:tcBorders>
        <w:shd w:val="clear" w:color="auto" w:fill="FFFFFF"/>
      </w:tcPr>
    </w:tblStylePr>
    <w:tblStylePr w:type="lastRow">
      <w:rPr>
        <w:b/>
        <w:bCs/>
      </w:rPr>
      <w:tblPr/>
      <w:tcPr>
        <w:tcBorders>
          <w:top w:val="single" w:color="666666" w:sz="4"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CCCCCC"/>
      </w:tcPr>
    </w:tblStylePr>
    <w:tblStylePr w:type="band1Horz">
      <w:tblPr/>
      <w:tcPr>
        <w:shd w:val="clear" w:color="auto" w:fill="CCCCCC"/>
      </w:tcPr>
    </w:tblStylePr>
  </w:style>
  <w:style w:type="table" w:styleId="Tabelacomgrade">
    <w:name w:val="Table Grid"/>
    <w:basedOn w:val="Tabelanormal"/>
    <w:uiPriority w:val="59"/>
    <w:rsid w:val="00b2636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3.png"/><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eader" Target="header6.xml"/><Relationship Id="rId24" Type="http://schemas.openxmlformats.org/officeDocument/2006/relationships/header" Target="header7.xml"/><Relationship Id="rId25" Type="http://schemas.openxmlformats.org/officeDocument/2006/relationships/footer" Target="footer6.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header" Target="header9.xml"/><Relationship Id="rId29" Type="http://schemas.openxmlformats.org/officeDocument/2006/relationships/footer" Target="footer8.xml"/><Relationship Id="rId30" Type="http://schemas.openxmlformats.org/officeDocument/2006/relationships/footer" Target="footer9.xml"/><Relationship Id="rId31" Type="http://schemas.openxmlformats.org/officeDocument/2006/relationships/image" Target="media/image12.png"/><Relationship Id="rId32" Type="http://schemas.openxmlformats.org/officeDocument/2006/relationships/header" Target="header10.xml"/><Relationship Id="rId33" Type="http://schemas.openxmlformats.org/officeDocument/2006/relationships/header" Target="header11.xml"/><Relationship Id="rId34" Type="http://schemas.openxmlformats.org/officeDocument/2006/relationships/footer" Target="footer10.xml"/><Relationship Id="rId35" Type="http://schemas.openxmlformats.org/officeDocument/2006/relationships/footer" Target="footer11.xml"/><Relationship Id="rId36" Type="http://schemas.openxmlformats.org/officeDocument/2006/relationships/header" Target="header12.xml"/><Relationship Id="rId37" Type="http://schemas.openxmlformats.org/officeDocument/2006/relationships/header" Target="header13.xml"/><Relationship Id="rId38" Type="http://schemas.openxmlformats.org/officeDocument/2006/relationships/footer" Target="footer12.xml"/><Relationship Id="rId39" Type="http://schemas.openxmlformats.org/officeDocument/2006/relationships/footer" Target="footer13.xml"/><Relationship Id="rId40" Type="http://schemas.openxmlformats.org/officeDocument/2006/relationships/header" Target="header14.xml"/><Relationship Id="rId41" Type="http://schemas.openxmlformats.org/officeDocument/2006/relationships/header" Target="header15.xml"/><Relationship Id="rId42" Type="http://schemas.openxmlformats.org/officeDocument/2006/relationships/footer" Target="footer14.xml"/><Relationship Id="rId43" Type="http://schemas.openxmlformats.org/officeDocument/2006/relationships/footer" Target="footer15.xml"/><Relationship Id="rId44" Type="http://schemas.openxmlformats.org/officeDocument/2006/relationships/image" Target="media/image13.png"/><Relationship Id="rId45" Type="http://schemas.openxmlformats.org/officeDocument/2006/relationships/image" Target="media/image14.png"/><Relationship Id="rId46" Type="http://schemas.openxmlformats.org/officeDocument/2006/relationships/image" Target="media/image15.png"/><Relationship Id="rId47" Type="http://schemas.openxmlformats.org/officeDocument/2006/relationships/image" Target="media/image16.png"/><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image" Target="media/image19.png"/><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header" Target="header16.xml"/><Relationship Id="rId54" Type="http://schemas.openxmlformats.org/officeDocument/2006/relationships/header" Target="header17.xml"/><Relationship Id="rId55" Type="http://schemas.openxmlformats.org/officeDocument/2006/relationships/footer" Target="footer16.xml"/><Relationship Id="rId56" Type="http://schemas.openxmlformats.org/officeDocument/2006/relationships/footer" Target="footer17.xml"/><Relationship Id="rId57" Type="http://schemas.openxmlformats.org/officeDocument/2006/relationships/footnotes" Target="footnotes.xml"/><Relationship Id="rId58" Type="http://schemas.openxmlformats.org/officeDocument/2006/relationships/numbering" Target="numbering.xml"/><Relationship Id="rId59" Type="http://schemas.openxmlformats.org/officeDocument/2006/relationships/fontTable" Target="fontTable.xml"/><Relationship Id="rId60" Type="http://schemas.openxmlformats.org/officeDocument/2006/relationships/settings" Target="settings.xml"/><Relationship Id="rId61" Type="http://schemas.openxmlformats.org/officeDocument/2006/relationships/theme" Target="theme/theme1.xml"/><Relationship Id="rId62" Type="http://schemas.openxmlformats.org/officeDocument/2006/relationships/customXml" Target="../customXml/item1.xml"/><Relationship Id="rId63"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2blnHAjCLCdTRWC4MSBQhw5JO9Q==">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1FE52AF-55D7-4601-9FF7-ECD54B3F9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Application>LibreOffice/24.2.7.2$Linux_X86_64 LibreOffice_project/420$Build-2</Application>
  <AppVersion>15.0000</AppVersion>
  <Pages>68</Pages>
  <Words>635</Words>
  <Characters>4395</Characters>
  <CharactersWithSpaces>5008</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2026-10-07T15:46:00Z</dcterms:created>
  <dc:creator>Rafael Alves Bastos</dc:creator>
  <dc:description>Capítulos finais integrados antes das referências, sumário automático e excertos reais do código-fonte do notebook EVTEAS-Py.</dc:description>
  <dc:language>pt-BR</dc:language>
  <cp:lastModifiedBy/>
  <dcterms:modified xsi:type="dcterms:W3CDTF">2026-10-07T18:24:55Z</dcterms:modified>
  <cp:revision>3</cp:revision>
  <dc:subject>Desenvolvimento dos capítulos finais a partir da Rev. 182 e do EVTEAS-Py MASTER</dc:subject>
  <dc:title>Dissertação EVTEAS-Py — Rev. 183 — Texto Limpo Final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2i5Nn73zzUZq_1">
    <vt:lpwstr>ZOTERO_TEMP</vt:lpwstr>
  </property>
  <property fmtid="{D5CDD505-2E9C-101B-9397-08002B2CF9AE}" pid="3" name="ZOTERO_BREF_3Mb7Rg0LUiSz_1">
    <vt:lpwstr>ZOTERO_TEMP</vt:lpwstr>
  </property>
  <property fmtid="{D5CDD505-2E9C-101B-9397-08002B2CF9AE}" pid="4" name="ZOTERO_BREF_8tcVsA8ffNTI_1">
    <vt:lpwstr>ZOTERO_TEMP</vt:lpwstr>
  </property>
  <property fmtid="{D5CDD505-2E9C-101B-9397-08002B2CF9AE}" pid="5" name="ZOTERO_BREF_Lg8gpNlLq8UM_1">
    <vt:lpwstr>ZOTERO_TEMP</vt:lpwstr>
  </property>
  <property fmtid="{D5CDD505-2E9C-101B-9397-08002B2CF9AE}" pid="6" name="ZOTERO_BREF_PARzrDwnZjvq_1">
    <vt:lpwstr>ZOTERO_TEMP</vt:lpwstr>
  </property>
  <property fmtid="{D5CDD505-2E9C-101B-9397-08002B2CF9AE}" pid="7" name="ZOTERO_BREF_ysBxUMgvl1LI_1">
    <vt:lpwstr>ZOTERO_TEMP</vt:lpwstr>
  </property>
  <property fmtid="{D5CDD505-2E9C-101B-9397-08002B2CF9AE}" pid="8" name="ZOTERO_PREF_1">
    <vt:lpwstr>&lt;data data-version="3" zotero-version="8.0.3"&gt;&lt;session id="bo1CICUF"/&gt;&lt;style id="http://www.zotero.org/styles/apa" locale="pt-BR" hasBibliography="1" bibliographyStyleHasBeenSet="0"/&gt;&lt;prefs&gt;&lt;pref name="fieldType" value="Bookmark"/&gt;&lt;pref name="automaticJou</vt:lpwstr>
  </property>
  <property fmtid="{D5CDD505-2E9C-101B-9397-08002B2CF9AE}" pid="9" name="ZOTERO_PREF_2">
    <vt:lpwstr>rnalAbbreviations" value="true"/&gt;&lt;/prefs&gt;&lt;/data&gt;</vt:lpwstr>
  </property>
</Properties>
</file>