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color w:val="0D0D0D"/>
          <w:sz w:val="56"/>
          <w:szCs w:val="56"/>
        </w:rPr>
        <w:t xml:space="preserve">ARI CONSULTING</w:t>
      </w:r>
    </w:p>
    <w:p>
      <w:pPr>
        <w:spacing w:after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Consultoria Oracle  ·  São Paulo — Capital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D0D0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ORACLE</w:t>
            </w:r>
          </w:p>
        </w:tc>
        <w:tc>
          <w:tcPr>
            <w:tcW w:type="dxa" w:w="2340"/>
            <w:shd w:fill="0D0D0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ERP CLOUD</w:t>
            </w:r>
          </w:p>
        </w:tc>
        <w:tc>
          <w:tcPr>
            <w:tcW w:type="dxa" w:w="2340"/>
            <w:shd w:fill="0D0D0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CONSULTORIA</w:t>
            </w:r>
          </w:p>
        </w:tc>
        <w:tc>
          <w:tcPr>
            <w:tcW w:type="dxa" w:w="2340"/>
            <w:shd w:fill="0D0D0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BUSINESS</w:t>
            </w:r>
          </w:p>
        </w:tc>
      </w:tr>
    </w:tbl>
    <w:p>
      <w:pPr>
        <w:spacing w:after="240"/>
      </w:pPr>
    </w:p>
    <w:p>
      <w:pPr>
        <w:spacing w:after="2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PROPOSTA COMERCIAL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D0D0D"/>
          <w:sz w:val="40"/>
          <w:szCs w:val="40"/>
        </w:rPr>
        <w:t xml:space="preserve">Nº 196/2026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555555"/>
                <w:sz w:val="16"/>
                <w:szCs w:val="16"/>
              </w:rPr>
              <w:t xml:space="preserve">DATA DE EMISSÃO</w:t>
            </w:r>
          </w:p>
        </w:tc>
        <w:tc>
          <w:tcPr>
            <w:tcW w:type="dxa" w:w="624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0D0D"/>
                <w:sz w:val="20"/>
                <w:szCs w:val="20"/>
              </w:rPr>
              <w:t xml:space="preserve">23 de setembro de 2026</w:t>
            </w:r>
          </w:p>
        </w:tc>
      </w:tr>
      <w:tr>
        <w:tc>
          <w:tcPr>
            <w:tcW w:type="dxa" w:w="312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555555"/>
                <w:sz w:val="16"/>
                <w:szCs w:val="16"/>
              </w:rPr>
              <w:t xml:space="preserve">VÁLIDA ATÉ</w:t>
            </w:r>
          </w:p>
        </w:tc>
        <w:tc>
          <w:tcPr>
            <w:tcW w:type="dxa" w:w="624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0D0D"/>
                <w:sz w:val="20"/>
                <w:szCs w:val="20"/>
              </w:rPr>
              <w:t xml:space="preserve">23 de outubro de 2026 — 30 dias corridos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aps/>
          <w:color w:val="0D0D0D"/>
          <w:sz w:val="18"/>
          <w:szCs w:val="18"/>
        </w:rPr>
        <w:t xml:space="preserve">DADOS DO CLIENTE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555555"/>
                <w:sz w:val="16"/>
                <w:szCs w:val="16"/>
              </w:rPr>
              <w:t xml:space="preserve">EMPRESA</w:t>
            </w:r>
          </w:p>
        </w:tc>
        <w:tc>
          <w:tcPr>
            <w:tcW w:type="dxa" w:w="624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0D0D"/>
                <w:sz w:val="20"/>
                <w:szCs w:val="20"/>
              </w:rPr>
              <w:t xml:space="preserve">Banco Central do Sul</w:t>
            </w:r>
          </w:p>
        </w:tc>
      </w:tr>
      <w:tr>
        <w:tc>
          <w:tcPr>
            <w:tcW w:type="dxa" w:w="312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555555"/>
                <w:sz w:val="16"/>
                <w:szCs w:val="16"/>
              </w:rPr>
              <w:t xml:space="preserve">SETOR</w:t>
            </w:r>
          </w:p>
        </w:tc>
        <w:tc>
          <w:tcPr>
            <w:tcW w:type="dxa" w:w="624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0D0D"/>
                <w:sz w:val="20"/>
                <w:szCs w:val="20"/>
              </w:rPr>
              <w:t xml:space="preserve">Financeiro</w:t>
            </w:r>
          </w:p>
        </w:tc>
      </w:tr>
      <w:tr>
        <w:tc>
          <w:tcPr>
            <w:tcW w:type="dxa" w:w="312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555555"/>
                <w:sz w:val="16"/>
                <w:szCs w:val="16"/>
              </w:rPr>
              <w:t xml:space="preserve">CONTATO PRINCIPAL</w:t>
            </w:r>
          </w:p>
        </w:tc>
        <w:tc>
          <w:tcPr>
            <w:tcW w:type="dxa" w:w="624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0D0D"/>
                <w:sz w:val="20"/>
                <w:szCs w:val="20"/>
              </w:rPr>
              <w:t xml:space="preserve">Rafael Agra / CEO</w:t>
            </w:r>
          </w:p>
        </w:tc>
      </w:tr>
      <w:tr>
        <w:tc>
          <w:tcPr>
            <w:tcW w:type="dxa" w:w="312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555555"/>
                <w:sz w:val="16"/>
                <w:szCs w:val="16"/>
              </w:rPr>
              <w:t xml:space="preserve">EMAIL</w:t>
            </w:r>
          </w:p>
        </w:tc>
        <w:tc>
          <w:tcPr>
            <w:tcW w:type="dxa" w:w="624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0D0D"/>
                <w:sz w:val="20"/>
                <w:szCs w:val="20"/>
              </w:rPr>
              <w:t xml:space="preserve">rafael@bancocentral.com.br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aps/>
          <w:color w:val="0D0D0D"/>
          <w:sz w:val="18"/>
          <w:szCs w:val="18"/>
        </w:rPr>
        <w:t xml:space="preserve">DADOS DA ARI CONSULTING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555555"/>
                <w:sz w:val="16"/>
                <w:szCs w:val="16"/>
              </w:rPr>
              <w:t xml:space="preserve">CONSULTOR RESPONSÁVEL</w:t>
            </w:r>
          </w:p>
        </w:tc>
        <w:tc>
          <w:tcPr>
            <w:tcW w:type="dxa" w:w="624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0D0D"/>
                <w:sz w:val="20"/>
                <w:szCs w:val="20"/>
              </w:rPr>
              <w:t xml:space="preserve">João</w:t>
            </w:r>
          </w:p>
        </w:tc>
      </w:tr>
      <w:tr>
        <w:tc>
          <w:tcPr>
            <w:tcW w:type="dxa" w:w="312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555555"/>
                <w:sz w:val="16"/>
                <w:szCs w:val="16"/>
              </w:rPr>
              <w:t xml:space="preserve">EMAIL</w:t>
            </w:r>
          </w:p>
        </w:tc>
        <w:tc>
          <w:tcPr>
            <w:tcW w:type="dxa" w:w="624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0D0D"/>
                <w:sz w:val="20"/>
                <w:szCs w:val="20"/>
              </w:rPr>
              <w:t xml:space="preserve">joao@ariconsulting.com.br</w:t>
            </w:r>
          </w:p>
        </w:tc>
      </w:tr>
      <w:tr>
        <w:tc>
          <w:tcPr>
            <w:tcW w:type="dxa" w:w="312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555555"/>
                <w:sz w:val="16"/>
                <w:szCs w:val="16"/>
              </w:rPr>
              <w:t xml:space="preserve">ENDEREÇO</w:t>
            </w:r>
          </w:p>
        </w:tc>
        <w:tc>
          <w:tcPr>
            <w:tcW w:type="dxa" w:w="624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0D0D"/>
                <w:sz w:val="20"/>
                <w:szCs w:val="20"/>
              </w:rPr>
              <w:t xml:space="preserve">São Paulo — SP, Capital</w:t>
            </w:r>
          </w:p>
        </w:tc>
      </w:tr>
    </w:tbl>
    <w:p>
      <w:r>
        <w:br w:type="page"/>
      </w:r>
    </w:p>
    <w:p>
      <w:pPr>
        <w:spacing w:after="40" w:before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01 / 05</w:t>
      </w:r>
    </w:p>
    <w:p>
      <w:pPr>
        <w:pBdr>
          <w:bottom w:val="single" w:color="0D0D0D" w:sz="6" w:space="8"/>
        </w:pBdr>
        <w:spacing w:after="1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Entendimento do contexto</w:t>
      </w:r>
    </w:p>
    <w:p>
      <w:pPr>
        <w:spacing w:after="20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Compreendemos que a Banco Central do Sul atravessa um momento decisivo em sua trajetória de modernização tecnológica. Com 1.500 colaboradores distribuídos em 3 unidades e uma base de 15 mil clientes, a instituição opera hoje sobre sistemas legados implantados desde a fundação da empresa, em 1999.</w:t>
      </w:r>
    </w:p>
    <w:p>
      <w:pPr>
        <w:spacing w:after="20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Ao longo de mais de duas décadas de operação, esses sistemas cumpriram seu papel, mas não acompanharam a evolução do setor financeiro nem o crescimento da própria instituição. A defasagem tecnológica atual eleva o risco operacional, limita a capacidade de geração de informação gerencial confiável e torna cada vez mais custosa a manutenção de uma arquitetura que já não atende às exigências de escala, segurança e conformidade de uma instituição financeira do porte da Banco Central do Sul.</w:t>
      </w:r>
    </w:p>
    <w:p>
      <w:pPr>
        <w:spacing w:after="20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Diante desse cenário, a atualização da plataforma financeira core deixou de ser uma opção e passou a ser uma prioridade estratégica, com impacto direto na eficiência dos processos de contas a pagar, contas a receber, contabilidade e fechamento fiscal da organização.</w:t>
      </w:r>
    </w:p>
    <w:p>
      <w:pPr>
        <w:spacing w:after="20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A ARI CONSULTING entende que este projeto vai além da substituição de um sistema: trata-se de uma mudança estrutural na forma como a Banco Central do Sul sustenta sua operação financeira, com reflexos diretos em governança, controle e capacidade de crescimento sustentável.</w:t>
      </w:r>
    </w:p>
    <w:p>
      <w:pPr>
        <w:spacing w:after="40" w:before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02 / 05</w:t>
      </w:r>
    </w:p>
    <w:p>
      <w:pPr>
        <w:pBdr>
          <w:bottom w:val="single" w:color="0D0D0D" w:sz="6" w:space="8"/>
        </w:pBdr>
        <w:spacing w:after="1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Solução proposta</w:t>
      </w:r>
    </w:p>
    <w:p>
      <w:pPr>
        <w:spacing w:after="20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Com base no diagnóstico do cenário apresentado, a ARI CONSULTING recomenda a seguinte solução: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SERVIÇO 02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i w:val="false"/>
          <w:iCs w:val="false"/>
          <w:color w:val="0D0D0D"/>
          <w:sz w:val="22"/>
          <w:szCs w:val="22"/>
        </w:rPr>
        <w:t xml:space="preserve">Implementação Oracle ERP Cloud (Financials)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Objetivo para a Banco Central do Sul:</w:t>
      </w:r>
    </w:p>
    <w:p>
      <w:pPr>
        <w:spacing w:after="20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Substituir os sistemas financeiros legados, em uso desde 1999, por uma plataforma financeira unificada, escalável e em conformidade com as exigências regulatórias do setor bancário, dando suporte robusto à operação das 3 unidades e ao volume de 15 mil clientes atendidos pela instituição.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Escopo incluído:</w:t>
      </w:r>
    </w:p>
    <w:p>
      <w:pPr>
        <w:spacing w:after="80"/>
        <w:ind w:left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— General Ledger: plano de contas, centros de custo e consolidação das 3 unidades</w:t>
      </w:r>
    </w:p>
    <w:p>
      <w:pPr>
        <w:spacing w:after="80"/>
        <w:ind w:left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— Accounts Payable: ciclo completo de compras e pagamentos a fornecedores</w:t>
      </w:r>
    </w:p>
    <w:p>
      <w:pPr>
        <w:spacing w:after="80"/>
        <w:ind w:left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— Accounts Receivable: faturamento e cobrança da base de 15 mil clientes</w:t>
      </w:r>
    </w:p>
    <w:p>
      <w:pPr>
        <w:spacing w:after="80"/>
        <w:ind w:left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— Fixed Assets: gestão de ativos imobilizados e depreciação</w:t>
      </w:r>
    </w:p>
    <w:p>
      <w:pPr>
        <w:spacing w:after="80"/>
        <w:ind w:left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— Expense Management: reembolso de despesas corporativas</w:t>
      </w:r>
    </w:p>
    <w:p>
      <w:pPr>
        <w:spacing w:after="80"/>
        <w:ind w:left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— Cash Management: conciliação bancária e fluxo de caixa</w:t>
      </w:r>
    </w:p>
    <w:p>
      <w:pPr>
        <w:spacing w:after="80"/>
        <w:ind w:left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— Migração dos dados financeiros históricos dos sistemas legados</w:t>
      </w:r>
    </w:p>
    <w:p>
      <w:pPr>
        <w:spacing w:after="40" w:before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03 / 05</w:t>
      </w:r>
    </w:p>
    <w:p>
      <w:pPr>
        <w:pBdr>
          <w:bottom w:val="single" w:color="0D0D0D" w:sz="6" w:space="8"/>
        </w:pBdr>
        <w:spacing w:after="1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Metodologia e cronograma</w:t>
      </w:r>
    </w:p>
    <w:p>
      <w:pPr>
        <w:spacing w:after="20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A ARI CONSULTING conduz todos os projetos pela metodologia Oracle Cloud Implementation Methodology (OCIM), adaptada ao contexto de cada cliente. As fases são: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FASE 1 — DESCOBERTA   Semanas 1 e 2</w:t>
      </w:r>
    </w:p>
    <w:p>
      <w:pPr>
        <w:spacing w:after="20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Kick-off com a liderança executiva. Levantamento detalhado dos processos financeiros das 3 unidades, validação do escopo e alinhamento do cronograma e das ferramentas de projeto.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FASE 2 — DESIGN   Semanas 3 a 5</w:t>
      </w:r>
    </w:p>
    <w:p>
      <w:pPr>
        <w:spacing w:after="20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Configuração inicial do ambiente, definição das parametrizações do plano de contas e centros de custo, revisão com usuários-chave e aprovação do modelo de dados.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FASE 3 — BUILD   Semanas 6 a 10</w:t>
      </w:r>
    </w:p>
    <w:p>
      <w:pPr>
        <w:spacing w:after="20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Configuração completa dos módulos financeiros, migração dos dados históricos dos sistemas legados e documentação técnica do ambiente.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FASE 4 — TESTES   Semanas 11 e 12</w:t>
      </w:r>
    </w:p>
    <w:p>
      <w:pPr>
        <w:spacing w:after="20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Testes de sistema, testes de integração e testes de aceitação do usuário (UAT), com correção dos desvios identificados.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FASE 5 — GO-LIVE   Semana 13</w:t>
      </w:r>
    </w:p>
    <w:p>
      <w:pPr>
        <w:spacing w:after="20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Corte dos sistemas legados, ativação do Oracle ERP Cloud em produção e suporte intensivo da ARI CONSULTING nas duas primeiras semanas.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FASE 6 — HIPERESCALADA   Semanas 14 e 15</w:t>
      </w:r>
    </w:p>
    <w:p>
      <w:pPr>
        <w:spacing w:after="20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Acompanhamento do primeiro ciclo financeiro completo em produção, ajustes finos, encerramento formal do projeto e transição para o suporte contínuo.</w:t>
      </w:r>
    </w:p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555555"/>
                <w:sz w:val="16"/>
                <w:szCs w:val="16"/>
              </w:rPr>
              <w:t xml:space="preserve">PREVISÃO DE INÍCIO</w:t>
            </w:r>
          </w:p>
        </w:tc>
        <w:tc>
          <w:tcPr>
            <w:tcW w:type="dxa" w:w="624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0D0D"/>
                <w:sz w:val="20"/>
                <w:szCs w:val="20"/>
              </w:rPr>
              <w:t xml:space="preserve">01 de novembro de 2026 — confirmar na assinatura do contrato</w:t>
            </w:r>
          </w:p>
        </w:tc>
      </w:tr>
      <w:tr>
        <w:tc>
          <w:tcPr>
            <w:tcW w:type="dxa" w:w="312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555555"/>
                <w:sz w:val="16"/>
                <w:szCs w:val="16"/>
              </w:rPr>
              <w:t xml:space="preserve">PREVISÃO DE GO-LIVE</w:t>
            </w:r>
          </w:p>
        </w:tc>
        <w:tc>
          <w:tcPr>
            <w:tcW w:type="dxa" w:w="624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0D0D"/>
                <w:sz w:val="20"/>
                <w:szCs w:val="20"/>
              </w:rPr>
              <w:t xml:space="preserve">31 de janeiro de 2027</w:t>
            </w:r>
          </w:p>
        </w:tc>
      </w:tr>
      <w:tr>
        <w:tc>
          <w:tcPr>
            <w:tcW w:type="dxa" w:w="312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555555"/>
                <w:sz w:val="16"/>
                <w:szCs w:val="16"/>
              </w:rPr>
              <w:t xml:space="preserve">DURAÇÃO TOTAL</w:t>
            </w:r>
          </w:p>
        </w:tc>
        <w:tc>
          <w:tcPr>
            <w:tcW w:type="dxa" w:w="624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0D0D"/>
                <w:sz w:val="20"/>
                <w:szCs w:val="20"/>
              </w:rPr>
              <w:t xml:space="preserve">105 dias corridos (aproximadamente 15 semanas)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04 / 05</w:t>
      </w:r>
    </w:p>
    <w:p>
      <w:pPr>
        <w:pBdr>
          <w:bottom w:val="single" w:color="0D0D0D" w:sz="6" w:space="8"/>
        </w:pBdr>
        <w:spacing w:after="1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Investimento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0D0D0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SERVIÇO</w:t>
            </w:r>
          </w:p>
        </w:tc>
        <w:tc>
          <w:tcPr>
            <w:tcW w:type="dxa" w:w="2340"/>
            <w:shd w:fill="0D0D0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340"/>
            <w:shd w:fill="0D0D0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INVESTIMENTO</w:t>
            </w:r>
          </w:p>
        </w:tc>
      </w:tr>
      <w:tr>
        <w:tc>
          <w:tcPr>
            <w:tcW w:type="dxa" w:w="468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0D0D"/>
                <w:sz w:val="20"/>
                <w:szCs w:val="20"/>
              </w:rPr>
              <w:t xml:space="preserve">Implementação Oracle ERP Cloud (Financials)</w:t>
            </w:r>
          </w:p>
        </w:tc>
        <w:tc>
          <w:tcPr>
            <w:tcW w:type="dxa" w:w="234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0D0D"/>
                <w:sz w:val="20"/>
                <w:szCs w:val="20"/>
              </w:rPr>
              <w:t xml:space="preserve">105 dias</w:t>
            </w:r>
          </w:p>
        </w:tc>
        <w:tc>
          <w:tcPr>
            <w:tcW w:type="dxa" w:w="2340"/>
            <w:shd w:fill="F9F9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0D0D"/>
                <w:sz w:val="20"/>
                <w:szCs w:val="20"/>
              </w:rPr>
              <w:t xml:space="preserve">R$ 180.000</w:t>
            </w:r>
          </w:p>
        </w:tc>
      </w:tr>
      <w:tr>
        <w:tc>
          <w:tcPr>
            <w:tcW w:type="dxa" w:w="4680"/>
            <w:shd w:fill="0D0D0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TOTAL DO PROJETO</w:t>
            </w:r>
          </w:p>
        </w:tc>
        <w:tc>
          <w:tcPr>
            <w:tcW w:type="dxa" w:w="2340"/>
            <w:shd w:fill="0D0D0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105 dias</w:t>
            </w:r>
          </w:p>
        </w:tc>
        <w:tc>
          <w:tcPr>
            <w:tcW w:type="dxa" w:w="2340"/>
            <w:shd w:fill="0D0D0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R$ 180.000</w:t>
            </w:r>
          </w:p>
        </w:tc>
      </w:tr>
    </w:tbl>
    <w:p>
      <w:pPr>
        <w:spacing w:after="20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Condições de pagamento:</w:t>
      </w:r>
    </w:p>
    <w:p>
      <w:pPr>
        <w:spacing w:after="80"/>
        <w:ind w:left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— 30% na assinatura do contrato — R$ 54.000</w:t>
      </w:r>
    </w:p>
    <w:p>
      <w:pPr>
        <w:spacing w:after="80"/>
        <w:ind w:left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— 40% na conclusão da Fase de Build — R$ 72.000</w:t>
      </w:r>
    </w:p>
    <w:p>
      <w:pPr>
        <w:spacing w:after="80"/>
        <w:ind w:left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— 30% no Go-Live confirmado — R$ 54.000</w:t>
      </w:r>
    </w:p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Validade desta proposta: 30 dias corridos a partir da emissão (até 23 de outubro de 2026).</w:t>
      </w:r>
    </w:p>
    <w:p>
      <w:pPr>
        <w:spacing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Valores em Reais (BRL). Não incluem impostos sobre serviços (ISS municipal).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Esta seção de investimento deve ser revisada pelo gerente de contas da ARI CONSULTING antes do envio ao cliente.</w:t>
      </w:r>
    </w:p>
    <w:p>
      <w:pPr>
        <w:spacing w:after="40" w:before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05 / 05</w:t>
      </w:r>
    </w:p>
    <w:p>
      <w:pPr>
        <w:pBdr>
          <w:bottom w:val="single" w:color="0D0D0D" w:sz="6" w:space="8"/>
        </w:pBdr>
        <w:spacing w:after="1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Próximos passos</w:t>
      </w:r>
    </w:p>
    <w:p>
      <w:pPr>
        <w:spacing w:after="20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Para avançarmos com este projeto, propomos os seguintes passos:</w:t>
      </w:r>
    </w:p>
    <w:p>
      <w:pPr>
        <w:spacing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01  Revisão e aprovação interna desta proposta pela Banco Central do Sul</w:t>
      </w:r>
    </w:p>
    <w:p>
      <w:pPr>
        <w:spacing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02  Reunião de alinhamento técnico-executivo (30 minutos) — a agendar com o consultor responsável</w:t>
      </w:r>
    </w:p>
    <w:p>
      <w:pPr>
        <w:spacing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03  Assinatura do contrato e ordem de serviço</w:t>
      </w:r>
    </w:p>
    <w:p>
      <w:pPr>
        <w:spacing w:after="2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04  Kickoff oficial do projeto: 01 de novembro de 2026</w:t>
      </w:r>
    </w:p>
    <w:p>
      <w:pPr>
        <w:spacing w:after="20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Como opção complementar para o período pós-Go-Live, disponibilizamos o pacote de Suporte Pós-Implementação Básico (3 meses, 20 horas de suporte por mês, atendimento em horário comercial) pelo valor de R$ 8.000 por mês.</w:t>
      </w:r>
    </w:p>
    <w:p>
      <w:pPr>
        <w:spacing w:after="20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Estamos à disposição para esclarecer qualquer dúvida ou adaptar o escopo conforme necessário.</w:t>
      </w:r>
    </w:p>
    <w:p>
      <w:pPr>
        <w:spacing w:after="300" w:before="10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Vamos começar  →</w:t>
      </w:r>
    </w:p>
    <w:p>
      <w:pPr>
        <w:pBdr>
          <w:top w:val="single" w:color="0D0D0D" w:sz="6" w:space="8"/>
        </w:pBdr>
        <w:spacing w:after="40" w:before="1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João</w:t>
      </w:r>
    </w:p>
    <w:p>
      <w:pPr>
        <w:spacing w:after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Consultor Sênior Oracle ERP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ARI CONSULTING</w:t>
      </w:r>
    </w:p>
    <w:p>
      <w:pPr>
        <w:spacing w:after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São Paulo — Capital</w:t>
      </w:r>
    </w:p>
    <w:p>
      <w:pPr>
        <w:spacing w:after="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joao@ariconsulting.com.br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0D0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2026-09-23T15:33:43.006Z</dcterms:created>
  <dcterms:modified xsi:type="dcterms:W3CDTF">2026-09-23T15:33:43.023Z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