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56"/>
          <w:szCs w:val="56"/>
        </w:rPr>
        <w:t xml:space="preserve">ARI CONSULTING</w:t>
      </w:r>
    </w:p>
    <w:p>
      <w:pPr>
        <w:spacing w:after="2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Consultoria Oracle · São Paulo — Capital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pct" w:w="25%"/>
            <w:shd w:fill="0D0D0D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ORACLE</w:t>
            </w:r>
          </w:p>
        </w:tc>
        <w:tc>
          <w:tcPr>
            <w:tcW w:type="pct" w:w="25%"/>
            <w:shd w:fill="0D0D0D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ERP CLOUD</w:t>
            </w:r>
          </w:p>
        </w:tc>
        <w:tc>
          <w:tcPr>
            <w:tcW w:type="pct" w:w="25%"/>
            <w:shd w:fill="0D0D0D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INTEGRAÇÃO</w:t>
            </w:r>
          </w:p>
        </w:tc>
        <w:tc>
          <w:tcPr>
            <w:tcW w:type="pct" w:w="25%"/>
            <w:shd w:fill="0D0D0D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FINANÇAS</w:t>
            </w:r>
          </w:p>
        </w:tc>
      </w:tr>
    </w:tbl>
    <w:p>
      <w:pPr>
        <w:spacing w:after="320"/>
      </w:pPr>
    </w:p>
    <w:p>
      <w:pPr>
        <w:spacing w:after="220"/>
      </w:pPr>
      <w:r>
        <w:rPr>
          <w:rFonts w:ascii="Arial" w:cs="Arial" w:eastAsia="Arial" w:hAnsi="Arial"/>
          <w:b/>
          <w:bCs/>
          <w:color w:val="0D0D0D"/>
          <w:sz w:val="64"/>
          <w:szCs w:val="64"/>
        </w:rPr>
        <w:t xml:space="preserve">VETRIA EMBALAGENS INDUSTRIAIS S.A.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PROPOSTA COMERCIAL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0D0D0D"/>
          <w:sz w:val="48"/>
          <w:szCs w:val="48"/>
        </w:rPr>
        <w:t xml:space="preserve">Nº 197/2026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00"/>
      </w:tblGrid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DATA DE EMISSÃO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23 de setembro de 2026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VÁLIDA ATÉ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23 de outubro de 2026 — 30 dias corridos</w:t>
            </w:r>
          </w:p>
        </w:tc>
      </w:tr>
    </w:tbl>
    <w:p>
      <w:pPr>
        <w:spacing w:after="2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0D0D"/>
          <w:sz w:val="18"/>
          <w:szCs w:val="18"/>
        </w:rPr>
        <w:t xml:space="preserve">DADOS DO CLIENTE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00"/>
      </w:tblGrid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EMPRESA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Vetria Embalagens Industriais S.A.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CNPJ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78.901.234/0001-56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SETOR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Indústria — Embalagens plásticas e flexíveis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CONTATO PRINCIPAL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Carlos Suares / CIO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carlos@vetria.com.br</w:t>
            </w:r>
          </w:p>
        </w:tc>
      </w:tr>
    </w:tbl>
    <w:p>
      <w:pPr>
        <w:spacing w:after="2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0D0D"/>
          <w:sz w:val="18"/>
          <w:szCs w:val="18"/>
        </w:rPr>
        <w:t xml:space="preserve">DADOS DA ARI CONSULTING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00"/>
      </w:tblGrid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CONSULTOR RESPONSÁVEL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Maria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maria@ariconsulting.com.br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ENDEREÇO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São Paulo — SP, Capital</w:t>
            </w:r>
          </w:p>
        </w:tc>
      </w:tr>
    </w:tbl>
    <w:p>
      <w:pPr>
        <w:pageBreakBefore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01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ENTENDIMENTO DO CONTEXTO</w:t>
      </w:r>
    </w:p>
    <w:p>
      <w:pPr>
        <w:spacing w:after="160"/>
      </w:pP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Vetria Embalagens é uma das principais fabricantes de embalagens plásticas e flexíveis do Sul do Brasil, com 5 plantas industriais distribuídas entre Santa Catarina, Paraná e Rio Grande do Sul. Com 1.450 colaboradores e faturamento anual de aproximadamente R$ 680 milhões, a empresa atende indústrias de alimentos, bebidas, higiene e agronegócio.</w:t>
      </w: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Entre 2022 e 2025, a Vetria adquiriu dois concorrentes regionais para ganhar escala. As aquisições trouxeram crescimento de receita, mas também herança tecnológica: o grupo opera hoje com três ERPs diferentes — um Protheus na matriz, um Sankhya em duas plantas adquiridas e um sistema próprio desenvolvido em Delphi na planta mais antiga. O financeiro central atua como um "tradutor" permanente entre os três ambientes.</w:t>
      </w: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Esse cenário se traduz em quatro dores concretas. O fechamento contábil consolidado leva em média 14 dias úteis — o dobro do padrão de 5 dias que o CFO considera aceitável para o setor — porque a equipe precisa extrair balancetes dos três ERPs e reclassificar planos de contas incompatíveis manualmente. O contas a pagar não tem fluxo de aprovação centralizado: cada planta aprova pagamentos com alçadas próprias e sem trilha de auditoria unificada, o que já gerou 23 pagamentos duplicados em 2025, somando R$ 340 mil recuperados com esforço jurídico. A tesouraria monta a posição de caixa do grupo manualmente todas as manhãs, cruzando 11 contas bancárias com os três sistemas — um processo que consome 3 horas diárias de um analista sênior e só fica pronto às 11h, tarde demais para decisões de aplicação e captação. Por fim, o parque fabril tem mais de 4.200 ativos imobilizados controlados em planilhas por planta, com critérios divergentes que já geraram apontamento em auditoria externa.</w:t>
      </w: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ARI CONSULTING entende que este projeto vai além da unificação de sistemas: é a base da governança financeira que sustentará os planos de crescimento e captação de capital da Vetria nos próximos anos, com impacto direto na velocidade de fechamento, no controle de exposição financeira e na confiabilidade das informações levadas ao Conselho.</w:t>
      </w:r>
    </w:p>
    <w:p>
      <w:pPr>
        <w:pageBreakBefore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02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SOLUÇÃO PROPOSTA</w:t>
      </w:r>
    </w:p>
    <w:p>
      <w:pPr>
        <w:spacing w:after="160"/>
      </w:pP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 base no diagnóstico e nas prioridades definidas pela liderança executiva, a ARI CONSULTING recomenda a seguinte combinação de serviços, estruturada para respeitar a transição gradual — sem "big bang" — definida pelo CIO Eng. Paulo Nagata, com as plantas adquiridas operando nos ERPs atuais por 6 a 12 meses até a migração completa.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0D0D"/>
          <w:sz w:val="18"/>
          <w:szCs w:val="18"/>
        </w:rPr>
        <w:t xml:space="preserve">SERVIÇO 02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Implementação Oracle ERP Cloud (Financials)</w:t>
      </w:r>
    </w:p>
    <w:p>
      <w:pPr>
        <w:spacing w:after="12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Objetivo para a Vetria Embalagens: unificar o plano de contas e os processos financeiros centrais do grupo em uma única plataforma, eliminando a consolidação manual entre os três ERPs atualmente em uso.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Escopo incluído — Fase 1 (prioridade alta):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General Ledger: plano de contas único e centros de custo padronizados para as 5 plantas, com estrutura de consolidação automatizada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Accounts Payable: fluxo de aprovação centralizado com alçadas por planta e trilha de auditoria unificada, eliminando pagamentos duplicados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Cash Management: posição de caixa consolidada automatizada, cruzando as 11 contas bancárias do grupo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Módulos de fase futura (não incluídos nesta proposta):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Fixed Assets: gestão de ativos imobilizados e depreciação, recomendado para tratar o parque de 4.200+ ativos fabris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Expense Management: reembolso de despesas corporativas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0D0D"/>
          <w:sz w:val="18"/>
          <w:szCs w:val="18"/>
        </w:rPr>
        <w:t xml:space="preserve">SERVIÇO 05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Integração Oracle com Sistemas Legados</w:t>
      </w:r>
    </w:p>
    <w:p>
      <w:pPr>
        <w:spacing w:after="12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Objetivo para a Vetria Embalagens: conectar o Oracle ERP Cloud aos três ERPs hoje em operação, permitindo que as plantas adquiridas continuem funcionando normalmente durante a transição gradual, sem necessidade de reentrada manual de dados.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Escopo incluído: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Arquitetura de conectores via Oracle Integration Cloud (OIC), com fluxo de dados em batch e/ou tempo real conforme a criticidade de cada processo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Integração com o Protheus (matriz) — a ARI CONSULTING possui experiência prévia comprovada com esse ERP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Integração com o Sankhya (plantas adquiridas), preparando o desligamento gradual dessas licenças, cujo contrato vence em dezembro de 2026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Integração com o sistema proprietário em Delphi da planta mais antiga, incluindo levantamento detalhado de sua estrutura de dados</w:t>
      </w:r>
    </w:p>
    <w:p>
      <w:pPr>
        <w:pageBreakBefore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03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METODOLOGIA E CRONOGRAMA</w:t>
      </w:r>
    </w:p>
    <w:p>
      <w:pPr>
        <w:spacing w:after="160"/>
      </w:pP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ARI CONSULTING conduz todos os projetos pela metodologia Oracle Cloud Implementation Methodology (OCIM), adaptada ao contexto de cada cliente. Para a Vetria, as fases foram desenhadas para acomodar a coexistência com os três ERPs legados ao longo de todo o projeto.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1 — DESCOBERTA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Semanas 1 e 2</w:t>
      </w:r>
    </w:p>
    <w:p>
      <w:pPr>
        <w:spacing w:after="16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Kick-off com CIO, CFO e equipe financeira central. Levantamento dos planos de contas atuais nos três ERPs e mapeamento dos fluxos de aprovação de contas a pagar por planta.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2 — DESIGN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Semanas 3 a 5</w:t>
      </w:r>
    </w:p>
    <w:p>
      <w:pPr>
        <w:spacing w:after="16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Definição do plano de contas único e da estrutura de centros de custo. Desenho da arquitetura de conectores OIC para Protheus, Sankhya e o sistema Delphi. Validação com o CIO.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3 — BUILD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Semanas 6 a 11</w:t>
      </w:r>
    </w:p>
    <w:p>
      <w:pPr>
        <w:spacing w:after="16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Configuração completa de General Ledger, Accounts Payable e Cash Management. Desenvolvimento dos três conectores de integração. Migração de dados históricos e saldos contábeis.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4 — TESTES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Semanas 12 a 14</w:t>
      </w:r>
    </w:p>
    <w:p>
      <w:pPr>
        <w:spacing w:after="16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Testes de integração com os três ERPs legados. Simulação de um ciclo completo de fechamento consolidado. Testes de aceitação do usuário (UAT) com a equipe financeira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5 — GO-LIVE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 15</w:t>
      </w:r>
    </w:p>
    <w:p>
      <w:pPr>
        <w:spacing w:after="16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Ativação do novo plano de contas e dos módulos financeiros em produção. Suporte intensivo da ARI CONSULTING nas 2 primeiras semanas.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FASE 6 — HIPERESCALADA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Semanas 16 e 17</w:t>
      </w:r>
    </w:p>
    <w:p>
      <w:pPr>
        <w:spacing w:after="220" w:line="30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Acompanhamento do primeiro fechamento real no Oracle. Ajustes finos nos conectores. Encerramento formal do projeto e transição para suporte contínuo.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00"/>
      </w:tblGrid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INÍCIO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01 de outubro de 2026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GO-LIVE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semana de 07 de janeiro de 2027</w:t>
            </w:r>
          </w:p>
        </w:tc>
      </w:tr>
      <w:tr>
        <w:tc>
          <w:tcPr>
            <w:tcW w:type="pct" w:w="32%"/>
            <w:shd w:fill="F9F9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DURAÇÃO TOTAL</w:t>
            </w:r>
          </w:p>
        </w:tc>
        <w:tc>
          <w:tcPr>
            <w:tcW w:type="pct" w:w="68%"/>
            <w:shd w:fill="F9F9F9" w:color="auto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Aproximadamente 120 dias corridos</w:t>
            </w:r>
          </w:p>
        </w:tc>
      </w:tr>
    </w:tbl>
    <w:p>
      <w:pPr>
        <w:pageBreakBefore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04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INVESTIMENTO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000"/>
        <w:gridCol w:w="3000"/>
      </w:tblGrid>
      <w:tr>
        <w:trPr>
          <w:tblHeader/>
        </w:trPr>
        <w:tc>
          <w:tcPr>
            <w:tcW w:type="pct" w:w="50%"/>
            <w:shd w:fill="0D0D0D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pct" w:w="20%"/>
            <w:shd w:fill="0D0D0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pct" w:w="30%"/>
            <w:shd w:fill="0D0D0D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INVESTIMENTO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Implementação Oracle ERP Cloud (Financials)</w:t>
            </w:r>
          </w:p>
        </w:tc>
        <w:tc>
          <w:tcPr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120 dias</w:t>
            </w:r>
          </w:p>
        </w:tc>
        <w:tc>
          <w:tcPr>
            <w:shd w:fill="FFFFFF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R$ 200.000</w:t>
            </w:r>
          </w:p>
        </w:tc>
      </w:tr>
      <w:tr>
        <w:tc>
          <w:tcPr>
            <w:shd w:fill="F9F9F9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Integração Oracle com Sistemas Legados</w:t>
            </w:r>
          </w:p>
        </w:tc>
        <w:tc>
          <w:tcPr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60 dias</w:t>
            </w:r>
          </w:p>
        </w:tc>
        <w:tc>
          <w:tcPr>
            <w:shd w:fill="F9F9F9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20"/>
                <w:szCs w:val="20"/>
              </w:rPr>
              <w:t xml:space="preserve">R$ 85.000</w:t>
            </w:r>
          </w:p>
        </w:tc>
      </w:tr>
      <w:tr>
        <w:tc>
          <w:tcPr>
            <w:shd w:fill="F9F9F9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20"/>
                <w:szCs w:val="20"/>
              </w:rPr>
              <w:t xml:space="preserve">TOTAL DO PROJETO</w:t>
            </w:r>
          </w:p>
        </w:tc>
        <w:tc>
          <w:tcPr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20"/>
                <w:szCs w:val="20"/>
              </w:rPr>
              <w:t xml:space="preserve">120 dias</w:t>
            </w:r>
          </w:p>
        </w:tc>
        <w:tc>
          <w:tcPr>
            <w:shd w:fill="F9F9F9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20"/>
                <w:szCs w:val="20"/>
              </w:rPr>
              <w:t xml:space="preserve">R$ 285.000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Desconto por combinação de serviços (10%)</w:t>
            </w:r>
          </w:p>
        </w:tc>
        <w:tc>
          <w:tcPr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– R$ 28.500</w:t>
            </w:r>
          </w:p>
        </w:tc>
      </w:tr>
      <w:tr>
        <w:tc>
          <w:tcPr>
            <w:shd w:fill="0D0D0D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COM DESCONTO</w:t>
            </w:r>
          </w:p>
        </w:tc>
        <w:tc>
          <w:tcPr>
            <w:shd w:fill="0D0D0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0D0D" w:color="auto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R$ 256.500</w:t>
            </w:r>
          </w:p>
        </w:tc>
      </w:tr>
    </w:tbl>
    <w:p>
      <w:pPr>
        <w:spacing w:after="2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Condições de pagamento: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30% na assinatura do contrato — R$ 76.950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40% na conclusão da Fase de Build — R$ 102.600</w:t>
      </w:r>
    </w:p>
    <w:p>
      <w:pPr>
        <w:spacing w:after="100" w:line="300"/>
        <w:ind w:left="2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—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30% no Go-Live confirmado — R$ 76.950</w:t>
      </w:r>
    </w:p>
    <w:p>
      <w:pPr>
        <w:spacing w:after="160"/>
      </w:pP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Validade desta proposta: 30 dias corridos a partir da emissão (até 23 de outubro de 2026).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Valores em Reais (BRL). Não incluem impostos sobre serviços (ISS municipal).</w:t>
      </w:r>
    </w:p>
    <w:p>
      <w:pPr>
        <w:pageBreakBefore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05 / 05</w:t>
      </w:r>
    </w:p>
    <w:p>
      <w:pPr>
        <w:pBdr>
          <w:bottom w:val="single" w:color="0D0D0D" w:sz="6" w:space="8"/>
        </w:pBdr>
        <w:spacing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PRÓXIMOS PASSOS</w:t>
      </w:r>
    </w:p>
    <w:p>
      <w:pPr>
        <w:spacing w:after="160"/>
      </w:pPr>
    </w:p>
    <w:p>
      <w:pPr>
        <w:spacing w:after="2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Para avançarmos com este projeto dentro do prazo definido pela liderança da Vetria, propomos os seguintes passos: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01 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Validação final do escopo priorizado (General Ledger, Accounts Payable e Cash Management) e do cronograma junto ao CFO e ao CIO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02 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Aprovação formal da proposta, dentro do teto de investimento definido para a Fase 1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03 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Assinatura do contrato e ordem de serviço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04 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Kickoff oficial: 01 de outubro de 2026</w:t>
      </w:r>
    </w:p>
    <w:p>
      <w:pPr>
        <w:spacing w:after="0" w:before="100" w:line="33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Colocamo-nos à disposição para detalhar a arquitetura técnica dos conectores OIC com a equipe do Eng. Paulo Nagata antes da decisão final, incluindo referências de projetos anteriores com integração ao Protheus.</w:t>
      </w:r>
    </w:p>
    <w:p>
      <w:pPr>
        <w:spacing w:after="260" w:before="20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Agende sua reunião técnica  →</w:t>
      </w:r>
    </w:p>
    <w:p>
      <w:pPr>
        <w:pBdr>
          <w:top w:val="single" w:color="0D0D0D" w:sz="6" w:space="8"/>
        </w:pBdr>
        <w:spacing w:after="160" w:before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Maria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ARI CONSULTING</w:t>
      </w:r>
    </w:p>
    <w:p>
      <w:pPr>
        <w:spacing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São Paulo — Capital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maria@ariconsulting.com.br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2026-09-23T16:55:26.842Z</dcterms:created>
  <dcterms:modified xsi:type="dcterms:W3CDTF">2026-09-23T16:55:26.843Z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