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lineRule="auto" w:line="240"/>
        <w:jc w:val="center"/>
        <w:rPr/>
      </w:pPr>
      <w:r>
        <w:rPr/>
        <w:t>Análise e Insights do Dashboard - ClínicaCare</w:t>
      </w:r>
    </w:p>
    <w:p>
      <w:pPr>
        <w:pStyle w:val="Normal"/>
        <w:spacing w:lineRule="auto" w:line="240"/>
        <w:jc w:val="center"/>
        <w:rPr/>
      </w:pPr>
      <w:r>
        <w:rPr>
          <w:b/>
          <w:sz w:val="23"/>
        </w:rPr>
        <w:t>Módulo 4 - Power BI</w:t>
      </w:r>
    </w:p>
    <w:p>
      <w:pPr>
        <w:pStyle w:val="Normal"/>
        <w:spacing w:lineRule="auto" w:line="240"/>
        <w:rPr/>
      </w:pPr>
      <w:r>
        <w:rPr/>
        <w:t>O dashboard foi desenvolvido com dados da ClínicaCare para apoiar o acompanhamento de atendimentos, receita, planos de saúde e comportamento de comparecimento dos pacientes. Os dados utilizados são fictícios e destinados exclusivamente à atividade acadêmica.</w:t>
      </w:r>
    </w:p>
    <w:p>
      <w:pPr>
        <w:pStyle w:val="Heading1"/>
        <w:spacing w:lineRule="auto" w:line="240"/>
        <w:rPr/>
      </w:pPr>
      <w:r>
        <w:rPr/>
        <w:t>1. Indicadores principais (KPIs)</w:t>
      </w:r>
    </w:p>
    <w:p>
      <w:pPr>
        <w:pStyle w:val="Heading2"/>
        <w:spacing w:lineRule="auto" w:line="240"/>
        <w:rPr/>
      </w:pPr>
      <w:r>
        <w:rPr/>
        <w:t>Total de Pacientes</w:t>
      </w:r>
    </w:p>
    <w:p>
      <w:pPr>
        <w:pStyle w:val="Normal"/>
        <w:spacing w:lineRule="auto" w:line="240"/>
        <w:rPr/>
      </w:pPr>
      <w:r>
        <w:rPr>
          <w:b/>
        </w:rPr>
        <w:t xml:space="preserve">O que mostra: </w:t>
      </w:r>
      <w:r>
        <w:rPr/>
        <w:t>Mostra a quantidade de pacientes distintos presentes na base. O painel apresenta 12 pacientes cadastrados.</w:t>
      </w:r>
    </w:p>
    <w:p>
      <w:pPr>
        <w:pStyle w:val="Normal"/>
        <w:spacing w:lineRule="auto" w:line="240"/>
        <w:rPr/>
      </w:pPr>
      <w:r>
        <w:rPr>
          <w:b/>
        </w:rPr>
        <w:t xml:space="preserve">Recomendação: </w:t>
      </w:r>
      <w:r>
        <w:rPr/>
        <w:t>Acompanhar esse indicador ao longo do tempo para observar o crescimento da base de pacientes e apoiar o planejamento da capacidade de atendimento.</w:t>
      </w:r>
    </w:p>
    <w:p>
      <w:pPr>
        <w:pStyle w:val="Heading2"/>
        <w:spacing w:lineRule="auto" w:line="240"/>
        <w:rPr/>
      </w:pPr>
      <w:r>
        <w:rPr/>
        <w:t>Total de Receita</w:t>
      </w:r>
    </w:p>
    <w:p>
      <w:pPr>
        <w:pStyle w:val="Normal"/>
        <w:spacing w:lineRule="auto" w:line="240"/>
        <w:rPr/>
      </w:pPr>
      <w:r>
        <w:rPr>
          <w:b/>
        </w:rPr>
        <w:t xml:space="preserve">O que mostra: </w:t>
      </w:r>
      <w:r>
        <w:rPr/>
        <w:t>Apresenta a soma dos valores registrados em pagamentos. O dashboard mostra receita total de aproximadamente R$ 2.640,00.</w:t>
      </w:r>
    </w:p>
    <w:p>
      <w:pPr>
        <w:pStyle w:val="Normal"/>
        <w:spacing w:lineRule="auto" w:line="240"/>
        <w:rPr/>
      </w:pPr>
      <w:r>
        <w:rPr>
          <w:b/>
        </w:rPr>
        <w:t xml:space="preserve">Recomendação: </w:t>
      </w:r>
      <w:r>
        <w:rPr/>
        <w:t>Acompanhar a evolução da receita e comparar os resultados com especialidades e planos para identificar as principais fontes de contribuição financeira.</w:t>
      </w:r>
    </w:p>
    <w:p>
      <w:pPr>
        <w:pStyle w:val="Heading2"/>
        <w:spacing w:lineRule="auto" w:line="240"/>
        <w:rPr/>
      </w:pPr>
      <w:r>
        <w:rPr/>
        <w:t>Taxa de Ocupação</w:t>
      </w:r>
    </w:p>
    <w:p>
      <w:pPr>
        <w:pStyle w:val="Normal"/>
        <w:spacing w:lineRule="auto" w:line="240"/>
        <w:rPr/>
      </w:pPr>
      <w:r>
        <w:rPr>
          <w:b/>
        </w:rPr>
        <w:t xml:space="preserve">O que mostra: </w:t>
      </w:r>
      <w:r>
        <w:rPr/>
        <w:t>Indica a proporção de consultas que não foram canceladas. Na base analisada, a taxa calculada foi de 95%.</w:t>
      </w:r>
    </w:p>
    <w:p>
      <w:pPr>
        <w:pStyle w:val="Normal"/>
        <w:spacing w:lineRule="auto" w:line="240"/>
        <w:rPr/>
      </w:pPr>
      <w:r>
        <w:rPr>
          <w:b/>
        </w:rPr>
        <w:t xml:space="preserve">Recomendação: </w:t>
      </w:r>
      <w:r>
        <w:rPr/>
        <w:t>Monitorar cancelamentos e utilizar ações de confirmação de agenda para manter uma boa utilização dos horários disponíveis.</w:t>
      </w:r>
    </w:p>
    <w:p>
      <w:pPr>
        <w:pStyle w:val="Heading2"/>
        <w:spacing w:lineRule="auto" w:line="240"/>
        <w:rPr/>
      </w:pPr>
      <w:r>
        <w:rPr/>
        <w:t>Faturamento Mensal</w:t>
      </w:r>
    </w:p>
    <w:p>
      <w:pPr>
        <w:pStyle w:val="Normal"/>
        <w:spacing w:lineRule="auto" w:line="240"/>
        <w:rPr/>
      </w:pPr>
      <w:r>
        <w:rPr>
          <w:b/>
        </w:rPr>
        <w:t xml:space="preserve">O que mostra: </w:t>
      </w:r>
      <w:r>
        <w:rPr/>
        <w:t>Mostra o valor de faturamento consolidado por mês. Na base atual, o faturamento registrado está concentrado em março de 2026, com aproximadamente R$ 2.640,00.</w:t>
      </w:r>
    </w:p>
    <w:p>
      <w:pPr>
        <w:pStyle w:val="Normal"/>
        <w:spacing w:lineRule="auto" w:line="240"/>
        <w:rPr/>
      </w:pPr>
      <w:r>
        <w:rPr>
          <w:b/>
        </w:rPr>
        <w:t xml:space="preserve">Recomendação: </w:t>
      </w:r>
      <w:r>
        <w:rPr/>
        <w:t>Acompanhar mensalmente o faturamento para identificar variações, comparar períodos e apoiar decisões relacionadas ao planejamento financeiro da clínica.</w:t>
      </w:r>
    </w:p>
    <w:p>
      <w:pPr>
        <w:pStyle w:val="Heading2"/>
        <w:spacing w:lineRule="auto" w:line="240"/>
        <w:rPr/>
      </w:pPr>
      <w:r>
        <w:rPr/>
        <w:t>Contagem de Consultas (ID)</w:t>
      </w:r>
    </w:p>
    <w:p>
      <w:pPr>
        <w:pStyle w:val="Normal"/>
        <w:spacing w:lineRule="auto" w:line="240"/>
        <w:rPr/>
      </w:pPr>
      <w:r>
        <w:rPr>
          <w:b/>
        </w:rPr>
        <w:t xml:space="preserve">O que mostra: </w:t>
      </w:r>
      <w:r>
        <w:rPr/>
        <w:t>Mostra a quantidade total de registros de consulta identificados pelo campo id_consulta. A base utilizada no dashboard possui 20 consultas.</w:t>
      </w:r>
    </w:p>
    <w:p>
      <w:pPr>
        <w:pStyle w:val="Normal"/>
        <w:spacing w:lineRule="auto" w:line="240"/>
        <w:rPr/>
      </w:pPr>
      <w:r>
        <w:rPr>
          <w:b/>
        </w:rPr>
        <w:t xml:space="preserve">Recomendação: </w:t>
      </w:r>
      <w:r>
        <w:rPr/>
        <w:t>Utilizar a contagem de consultas para acompanhar o volume de atendimentos e comparar a demanda entre períodos, especialidades, médicos e planos de saúde.</w:t>
      </w:r>
    </w:p>
    <w:p>
      <w:pPr>
        <w:pStyle w:val="Heading1"/>
        <w:spacing w:lineRule="auto" w:line="240"/>
        <w:rPr/>
      </w:pPr>
      <w:r>
        <w:rPr/>
        <w:t>2. Visualizações do dashboard</w:t>
      </w:r>
    </w:p>
    <w:p>
      <w:pPr>
        <w:pStyle w:val="Heading2"/>
        <w:spacing w:lineRule="auto" w:line="240"/>
        <w:rPr/>
      </w:pPr>
      <w:r>
        <w:rPr/>
        <w:t>Consultas por Especialidade</w:t>
      </w:r>
    </w:p>
    <w:p>
      <w:pPr>
        <w:pStyle w:val="Normal"/>
        <w:spacing w:lineRule="auto" w:line="240"/>
        <w:rPr/>
      </w:pPr>
      <w:r>
        <w:rPr>
          <w:b/>
        </w:rPr>
        <w:t xml:space="preserve">O que mostra: </w:t>
      </w:r>
      <w:r>
        <w:rPr/>
        <w:t>Compara a quantidade de consultas registradas em cada especialidade. Clínica Geral apresenta o maior número de registros, seguida por Cardiologia, enquanto outras especialidades possuem menor volume.</w:t>
      </w:r>
    </w:p>
    <w:p>
      <w:pPr>
        <w:pStyle w:val="Normal"/>
        <w:spacing w:lineRule="auto" w:line="240"/>
        <w:rPr/>
      </w:pPr>
      <w:r>
        <w:rPr>
          <w:b/>
        </w:rPr>
        <w:t xml:space="preserve">Recomendação: </w:t>
      </w:r>
      <w:r>
        <w:rPr/>
        <w:t>Usar o volume de consultas por especialidade para ajustar a disponibilidade de médicos e horários, priorizando áreas com maior procura.</w:t>
      </w:r>
    </w:p>
    <w:p>
      <w:pPr>
        <w:pStyle w:val="Heading2"/>
        <w:spacing w:lineRule="auto" w:line="240"/>
        <w:rPr/>
      </w:pPr>
      <w:r>
        <w:rPr/>
        <w:t>Faturamento por Mês</w:t>
      </w:r>
    </w:p>
    <w:p>
      <w:pPr>
        <w:pStyle w:val="Normal"/>
        <w:spacing w:lineRule="auto" w:line="240"/>
        <w:rPr/>
      </w:pPr>
      <w:r>
        <w:rPr>
          <w:b/>
        </w:rPr>
        <w:t xml:space="preserve">O que mostra: </w:t>
      </w:r>
      <w:r>
        <w:rPr/>
        <w:t>Apresenta a soma da receita por mês. Na base utilizada, os pagamentos estão concentrados em março de 2026, totalizando aproximadamente R$ 2.640,00.</w:t>
      </w:r>
    </w:p>
    <w:p>
      <w:pPr>
        <w:pStyle w:val="Normal"/>
        <w:spacing w:lineRule="auto" w:line="240"/>
        <w:rPr/>
      </w:pPr>
      <w:r>
        <w:rPr>
          <w:b/>
        </w:rPr>
        <w:t xml:space="preserve">Recomendação: </w:t>
      </w:r>
      <w:r>
        <w:rPr/>
        <w:t>Acompanhar o faturamento mensal para identificar variações e, com uma base histórica maior, comparar períodos de maior e menor receita.</w:t>
      </w:r>
    </w:p>
    <w:p>
      <w:pPr>
        <w:pStyle w:val="Heading2"/>
        <w:spacing w:lineRule="auto" w:line="240"/>
        <w:rPr/>
      </w:pPr>
      <w:r>
        <w:rPr/>
        <w:t>Distribuição de Pacientes por Plano de Saúde</w:t>
      </w:r>
    </w:p>
    <w:p>
      <w:pPr>
        <w:pStyle w:val="Normal"/>
        <w:spacing w:lineRule="auto" w:line="240"/>
        <w:rPr/>
      </w:pPr>
      <w:r>
        <w:rPr>
          <w:b/>
        </w:rPr>
        <w:t xml:space="preserve">O que mostra: </w:t>
      </w:r>
      <w:r>
        <w:rPr/>
        <w:t>Mostra a participação dos pacientes entre os planos cadastrados. Na base atual, os 12 pacientes estão distribuídos entre 12 planos, com 1 paciente em cada plano, equivalente a 8,33% por plano.</w:t>
      </w:r>
    </w:p>
    <w:p>
      <w:pPr>
        <w:pStyle w:val="Normal"/>
        <w:spacing w:lineRule="auto" w:line="240"/>
        <w:rPr/>
      </w:pPr>
      <w:r>
        <w:rPr>
          <w:b/>
        </w:rPr>
        <w:t xml:space="preserve">Recomendação: </w:t>
      </w:r>
      <w:r>
        <w:rPr/>
        <w:t>Com o crescimento da base, utilizar essa visualização para identificar os convênios com maior concentração de pacientes e apoiar negociações e planejamento de atendimento.</w:t>
      </w:r>
    </w:p>
    <w:p>
      <w:pPr>
        <w:pStyle w:val="Heading2"/>
        <w:spacing w:lineRule="auto" w:line="240"/>
        <w:rPr/>
      </w:pPr>
      <w:r>
        <w:rPr/>
        <w:t>Taxa de No-Show ao Longo do Tempo</w:t>
      </w:r>
    </w:p>
    <w:p>
      <w:pPr>
        <w:pStyle w:val="Normal"/>
        <w:spacing w:lineRule="auto" w:line="240"/>
        <w:rPr/>
      </w:pPr>
      <w:r>
        <w:rPr>
          <w:b/>
        </w:rPr>
        <w:t xml:space="preserve">O que mostra: </w:t>
      </w:r>
      <w:r>
        <w:rPr/>
        <w:t>Mostra a evolução mensal da taxa de não comparecimento. Em março, a taxa ficou em aproximadamente 5,26%, enquanto setembro apresentou 0% na base analisada.</w:t>
      </w:r>
    </w:p>
    <w:p>
      <w:pPr>
        <w:pStyle w:val="Normal"/>
        <w:spacing w:lineRule="auto" w:line="240"/>
        <w:rPr/>
      </w:pPr>
      <w:r>
        <w:rPr>
          <w:b/>
        </w:rPr>
        <w:t xml:space="preserve">Recomendação: </w:t>
      </w:r>
      <w:r>
        <w:rPr/>
        <w:t>Monitorar períodos com aumento de no-show e aplicar ações preventivas, como lembretes e confirmação antecipada das consultas.</w:t>
      </w:r>
    </w:p>
    <w:p>
      <w:pPr>
        <w:pStyle w:val="Heading2"/>
        <w:spacing w:lineRule="auto" w:line="240"/>
        <w:rPr/>
      </w:pPr>
      <w:r>
        <w:rPr/>
        <w:t>Distribuição das Consultas por Status</w:t>
      </w:r>
    </w:p>
    <w:p>
      <w:pPr>
        <w:pStyle w:val="Normal"/>
        <w:spacing w:lineRule="auto" w:line="240"/>
        <w:rPr/>
      </w:pPr>
      <w:r>
        <w:rPr>
          <w:b/>
        </w:rPr>
        <w:t xml:space="preserve">O que mostra: </w:t>
      </w:r>
      <w:r>
        <w:rPr/>
        <w:t>Apresenta a proporção das consultas por situação. Foram registradas 17 consultas realizadas (85%), 1 agendada (5%), 1 cancelada (5%) e 1 falta (5%).</w:t>
      </w:r>
    </w:p>
    <w:p>
      <w:pPr>
        <w:pStyle w:val="Normal"/>
        <w:spacing w:lineRule="auto" w:line="240"/>
        <w:rPr/>
      </w:pPr>
      <w:r>
        <w:rPr>
          <w:b/>
        </w:rPr>
        <w:t xml:space="preserve">Recomendação: </w:t>
      </w:r>
      <w:r>
        <w:rPr/>
        <w:t>Acompanhar cancelamentos e faltas para reduzir perda de horários. A clínica pode reforçar confirmações de agenda e oferecer reagendamento rápido quando necessário.</w:t>
      </w:r>
    </w:p>
    <w:p>
      <w:pPr>
        <w:pStyle w:val="Heading1"/>
        <w:spacing w:lineRule="auto" w:line="240"/>
        <w:rPr/>
      </w:pPr>
      <w:r>
        <w:rPr/>
        <w:t>3. Filtros interativos</w:t>
      </w:r>
    </w:p>
    <w:p>
      <w:pPr>
        <w:pStyle w:val="Normal"/>
        <w:spacing w:lineRule="auto" w:line="240"/>
        <w:rPr/>
      </w:pPr>
      <w:r>
        <w:rPr>
          <w:b/>
        </w:rPr>
        <w:t xml:space="preserve">O que mostram: </w:t>
      </w:r>
      <w:r>
        <w:rPr/>
        <w:t>Os filtros de especialidade, plano de saúde e status da consulta permitem analisar os indicadores e gráficos por grupos específicos, facilitando uma leitura mais detalhada do dashboard.</w:t>
      </w:r>
    </w:p>
    <w:p>
      <w:pPr>
        <w:pStyle w:val="Normal"/>
        <w:spacing w:lineRule="auto" w:line="240"/>
        <w:rPr/>
      </w:pPr>
      <w:r>
        <w:rPr>
          <w:b/>
        </w:rPr>
        <w:t xml:space="preserve">Recomendação: </w:t>
      </w:r>
      <w:r>
        <w:rPr/>
        <w:t>Utilizar os filtros durante a análise para comparar especialidades, planos e situações de atendimento, apoiando decisões mais direcionadas.</w:t>
      </w:r>
    </w:p>
    <w:p>
      <w:pPr>
        <w:pStyle w:val="Heading1"/>
        <w:spacing w:lineRule="auto" w:line="240"/>
        <w:rPr/>
      </w:pPr>
      <w:r>
        <w:rPr/>
        <w:t xml:space="preserve"> </w:t>
      </w:r>
    </w:p>
    <w:p>
      <w:pPr>
        <w:pStyle w:val="Heading1"/>
        <w:spacing w:lineRule="auto" w:line="240"/>
        <w:rPr/>
      </w:pPr>
      <w:r>
        <w:rPr/>
        <w:t>4</w:t>
      </w:r>
      <w:r>
        <w:rPr/>
        <w:t>. Conclusão</w:t>
      </w:r>
    </w:p>
    <w:p>
      <w:pPr>
        <w:pStyle w:val="Normal"/>
        <w:spacing w:lineRule="auto" w:line="240" w:before="0" w:after="40"/>
        <w:rPr/>
      </w:pPr>
      <w:r>
        <w:rPr/>
        <w:t>O dashboard reúne indicadores assistenciais e financeiros em uma única visualização, permitindo acompanhar o desempenho da ClínicaCare de forma simples e interativa. Os KPIs de pacientes, receita, ocupação, faturamento mensal e quantidade de consultas apoiam uma visão rápida do cenário geral. As visualizações complementam a análise ao detalhar especialidades, planos, status das consultas e no-shows. Como a base utilizada possui poucos registros, os resultados têm caráter demonstrativo; com maior volume histórico, as análises poderão se tornar mais representativas para a gestão da clínica.</w:t>
      </w:r>
    </w:p>
    <w:sectPr>
      <w:footerReference w:type="even" r:id="rId2"/>
      <w:footerReference w:type="first" r:id="rId3"/>
      <w:type w:val="nextPage"/>
      <w:pgSz w:w="12240" w:h="15840"/>
      <w:pgMar w:left="1134" w:right="1134" w:gutter="0" w:header="0" w:top="850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Arial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/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40"/>
      <w:jc w:val="left"/>
    </w:pPr>
    <w:rPr>
      <w:rFonts w:ascii="Arial" w:hAnsi="Arial" w:eastAsia="ＭＳ 明朝" w:cs="" w:cstheme="minorBidi" w:eastAsiaTheme="minorEastAsia"/>
      <w:color w:val="auto"/>
      <w:kern w:val="0"/>
      <w:sz w:val="20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120" w:after="4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F4E79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60" w:after="2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F4E79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4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b/>
      <w:color w:val="1F4E79"/>
      <w:spacing w:val="5"/>
      <w:kern w:val="2"/>
      <w:sz w:val="34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4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4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4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4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4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4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4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4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4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Semlista" w:default="1">
    <w:name w:val="Sem lista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LibreOffice/25.2.7.2$Windows_X86_64 LibreOffice_project/5cbfd1ab6520636bb5f7b99185aa69bd7456825d</Application>
  <AppVersion>15.0000</AppVersion>
  <Pages>2</Pages>
  <Words>704</Words>
  <Characters>4199</Characters>
  <CharactersWithSpaces>4863</CharactersWithSpaces>
  <Paragraphs>42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pt-BR</dc:language>
  <cp:lastModifiedBy/>
  <dcterms:modified xsi:type="dcterms:W3CDTF">2026-08-30T11:56:13Z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