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tabs>
          <w:tab w:val="left" w:leader="none" w:pos="2213"/>
        </w:tabs>
        <w:spacing w:after="120" w:before="120" w:line="276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3edv4ue395hk" w:id="0"/>
      <w:bookmarkEnd w:id="0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Standard Operating Process for Grant Finding 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tabs>
          <w:tab w:val="left" w:leader="none" w:pos="2213"/>
        </w:tabs>
        <w:spacing w:after="120" w:before="12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Purpose: </w:t>
      </w:r>
    </w:p>
    <w:p w:rsidR="00000000" w:rsidDel="00000000" w:rsidP="00000000" w:rsidRDefault="00000000" w:rsidRPr="00000000" w14:paraId="00000003">
      <w:pPr>
        <w:tabs>
          <w:tab w:val="left" w:leader="none" w:pos="2213"/>
        </w:tabs>
        <w:spacing w:after="120" w:before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SOP explains how IIAL finds, screens, and qualifies external funding opportunities. Grant finding is a continuous activity. The end product of this process is a short opportunity brief and a go/no-go decision from leadership. Approved opportunities move to another process for writing.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tabs>
          <w:tab w:val="left" w:leader="none" w:pos="2213"/>
        </w:tabs>
        <w:spacing w:after="120" w:before="12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Pipeline Log: </w:t>
      </w:r>
    </w:p>
    <w:p w:rsidR="00000000" w:rsidDel="00000000" w:rsidP="00000000" w:rsidRDefault="00000000" w:rsidRPr="00000000" w14:paraId="00000005">
      <w:pPr>
        <w:tabs>
          <w:tab w:val="left" w:leader="none" w:pos="2213"/>
        </w:tabs>
        <w:spacing w:after="120" w:before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Follow the excel sheet that has been used in the past (file name: Funding-Opportunities-Programs in Google Drive)</w:t>
      </w:r>
    </w:p>
    <w:p w:rsidR="00000000" w:rsidDel="00000000" w:rsidP="00000000" w:rsidRDefault="00000000" w:rsidRPr="00000000" w14:paraId="00000006">
      <w:pPr>
        <w:tabs>
          <w:tab w:val="left" w:leader="none" w:pos="2213"/>
        </w:tabs>
        <w:spacing w:after="120" w:before="120" w:line="276" w:lineRule="auto"/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(add in where to look)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tabs>
          <w:tab w:val="left" w:leader="none" w:pos="2213"/>
        </w:tabs>
        <w:spacing w:after="120" w:before="12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Stage 1: Fast screening</w:t>
      </w:r>
    </w:p>
    <w:p w:rsidR="00000000" w:rsidDel="00000000" w:rsidP="00000000" w:rsidRDefault="00000000" w:rsidRPr="00000000" w14:paraId="00000008">
      <w:pPr>
        <w:tabs>
          <w:tab w:val="left" w:leader="none" w:pos="2213"/>
        </w:tabs>
        <w:spacing w:after="120" w:before="120" w:line="276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Filter 1: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Legal eligibility. Can a federally incorporated Canadian nonprofit (not a charity, not a municipality, not a university) participate in any role at all? If no: no-go.</w:t>
      </w:r>
    </w:p>
    <w:p w:rsidR="00000000" w:rsidDel="00000000" w:rsidP="00000000" w:rsidRDefault="00000000" w:rsidRPr="00000000" w14:paraId="00000009">
      <w:pPr>
        <w:tabs>
          <w:tab w:val="left" w:leader="none" w:pos="2213"/>
        </w:tabs>
        <w:spacing w:after="120" w:before="120" w:line="276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Filter 2: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What role can IIAL play? Classify the opportunity: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2213"/>
        </w:tabs>
        <w:spacing w:after="0" w:afterAutospacing="0" w:before="12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Lead: IIAL applies directly. (Example: CEDF.)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2213"/>
        </w:tabs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Funded partner: an eligible entity, usually a municipality, applies as lead, and IIAL is written into the budget as the research or delivery partner, paid from the grant. (Example: the GMF model with the City of Toronto or City of Barrie.) This is a proven IIAL pathway and often the best one. Do not treat it as second prize.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2213"/>
        </w:tabs>
        <w:spacing w:after="120" w:before="0" w:beforeAutospacing="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Unfunded subcontractor or no role: no-go, unless there is a strategic reason to participate anyway. That exception needs a high ROI if there is no financial gains to be made. </w:t>
      </w:r>
    </w:p>
    <w:p w:rsidR="00000000" w:rsidDel="00000000" w:rsidP="00000000" w:rsidRDefault="00000000" w:rsidRPr="00000000" w14:paraId="0000000D">
      <w:pPr>
        <w:tabs>
          <w:tab w:val="left" w:leader="none" w:pos="2213"/>
        </w:tabs>
        <w:spacing w:after="120" w:before="120" w:line="276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Filter 3: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Do the money math.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tabs>
          <w:tab w:val="left" w:leader="none" w:pos="2213"/>
        </w:tabs>
        <w:spacing w:after="0" w:afterAutospacing="0" w:before="12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What is the maximum grant?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tabs>
          <w:tab w:val="left" w:leader="none" w:pos="2213"/>
        </w:tabs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What is the cost-share, and who carries it? Example: GMF Study to Adaptation Action covers 80% up to $70,000, which means the lead municipality pays 20%.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tabs>
          <w:tab w:val="left" w:leader="none" w:pos="2213"/>
        </w:tabs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If IIAL leads, what matching is required, and what are the in-kind limits? Example: CEDF required matching of at least 50% of the grant request, and in-kind contributions could cover at most half of that match.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tabs>
          <w:tab w:val="left" w:leader="none" w:pos="2213"/>
        </w:tabs>
        <w:spacing w:after="120" w:before="0" w:beforeAutospacing="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VERIFY with management whether IIAL can actually cover any required cash match. Never assume cash is available.</w:t>
      </w:r>
    </w:p>
    <w:p w:rsidR="00000000" w:rsidDel="00000000" w:rsidP="00000000" w:rsidRDefault="00000000" w:rsidRPr="00000000" w14:paraId="00000012">
      <w:pPr>
        <w:tabs>
          <w:tab w:val="left" w:leader="none" w:pos="2213"/>
        </w:tabs>
        <w:spacing w:after="120" w:before="120" w:line="276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Filter 4: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Strategic fit. Does the opportunity map onto at least one existing IIAL capability: WCIS and supply chain integrity, certifications and micro-credentials, applied research and feasibility studies, smart cities and AIoT, climate and sustainability, or international development in countries where relationships already exist? If winning would require inventing a new capability that does not fit into the future of IIAL: no-go.</w:t>
      </w:r>
    </w:p>
    <w:p w:rsidR="00000000" w:rsidDel="00000000" w:rsidP="00000000" w:rsidRDefault="00000000" w:rsidRPr="00000000" w14:paraId="00000013">
      <w:pPr>
        <w:tabs>
          <w:tab w:val="left" w:leader="none" w:pos="2213"/>
        </w:tabs>
        <w:spacing w:after="120" w:before="120" w:line="276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Filter 5: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Is there enough runway? Minimum working time before a fixed deadline: 4 weeks if IIAL is the lead, 8 or more weeks if a partner has to apply, because municipal sign-off cycles are slow and outside IIAL's control. Rolling intakes pass this filter automatically.</w:t>
      </w:r>
    </w:p>
    <w:p w:rsidR="00000000" w:rsidDel="00000000" w:rsidP="00000000" w:rsidRDefault="00000000" w:rsidRPr="00000000" w14:paraId="00000014">
      <w:pPr>
        <w:tabs>
          <w:tab w:val="left" w:leader="none" w:pos="2213"/>
        </w:tabs>
        <w:spacing w:after="120" w:before="120" w:line="276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Filter 6: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Is it worth the effort? Estimate the writing effort against the grant size and the realistic chance of winning. </w:t>
      </w:r>
    </w:p>
    <w:p w:rsidR="00000000" w:rsidDel="00000000" w:rsidP="00000000" w:rsidRDefault="00000000" w:rsidRPr="00000000" w14:paraId="00000015">
      <w:pPr>
        <w:tabs>
          <w:tab w:val="left" w:leader="none" w:pos="2213"/>
        </w:tabs>
        <w:spacing w:after="120" w:before="120" w:line="276" w:lineRule="auto"/>
        <w:ind w:left="36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3.2 Stage 2: Deep qualification</w:t>
      </w:r>
    </w:p>
    <w:p w:rsidR="00000000" w:rsidDel="00000000" w:rsidP="00000000" w:rsidRDefault="00000000" w:rsidRPr="00000000" w14:paraId="00000016">
      <w:pPr>
        <w:tabs>
          <w:tab w:val="left" w:leader="none" w:pos="2213"/>
        </w:tabs>
        <w:spacing w:after="120" w:before="120" w:line="276" w:lineRule="auto"/>
        <w:ind w:left="36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3.2.1 Read program documents </w:t>
      </w:r>
    </w:p>
    <w:p w:rsidR="00000000" w:rsidDel="00000000" w:rsidP="00000000" w:rsidRDefault="00000000" w:rsidRPr="00000000" w14:paraId="00000017">
      <w:pPr>
        <w:tabs>
          <w:tab w:val="left" w:leader="none" w:pos="2213"/>
        </w:tabs>
        <w:spacing w:after="120" w:before="120" w:line="276" w:lineRule="auto"/>
        <w:ind w:left="360" w:firstLine="54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3.2.1.1 Read the full authoritative funder page. </w:t>
      </w:r>
    </w:p>
    <w:p w:rsidR="00000000" w:rsidDel="00000000" w:rsidP="00000000" w:rsidRDefault="00000000" w:rsidRPr="00000000" w14:paraId="00000018">
      <w:pPr>
        <w:tabs>
          <w:tab w:val="left" w:leader="none" w:pos="2213"/>
        </w:tabs>
        <w:spacing w:after="120" w:before="120" w:line="276" w:lineRule="auto"/>
        <w:ind w:left="360" w:firstLine="54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3.2.1.2 Download the official application guide PDF if applicable. </w:t>
      </w:r>
    </w:p>
    <w:p w:rsidR="00000000" w:rsidDel="00000000" w:rsidP="00000000" w:rsidRDefault="00000000" w:rsidRPr="00000000" w14:paraId="00000019">
      <w:pPr>
        <w:tabs>
          <w:tab w:val="left" w:leader="none" w:pos="2213"/>
        </w:tabs>
        <w:spacing w:after="120" w:before="120" w:line="276" w:lineRule="auto"/>
        <w:ind w:left="90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3.2.1.3 Write down the exact words: eligibility clauses, mandatory components of the project, evaluation criteria and weights, reporting and recognition obligations, any limitations with stacking other funding.</w:t>
      </w:r>
    </w:p>
    <w:p w:rsidR="00000000" w:rsidDel="00000000" w:rsidP="00000000" w:rsidRDefault="00000000" w:rsidRPr="00000000" w14:paraId="0000001A">
      <w:pPr>
        <w:tabs>
          <w:tab w:val="left" w:leader="none" w:pos="2213"/>
        </w:tabs>
        <w:spacing w:after="120" w:before="120" w:line="276" w:lineRule="auto"/>
        <w:ind w:left="90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3.2.1.4 Note the application structure</w:t>
      </w:r>
    </w:p>
    <w:p w:rsidR="00000000" w:rsidDel="00000000" w:rsidP="00000000" w:rsidRDefault="00000000" w:rsidRPr="00000000" w14:paraId="0000001B">
      <w:pPr>
        <w:tabs>
          <w:tab w:val="left" w:leader="none" w:pos="2213"/>
        </w:tabs>
        <w:spacing w:after="120" w:before="120" w:line="276" w:lineRule="auto"/>
        <w:ind w:left="36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3.2.2 Partner pathway analysis (IIAL funded partner) </w:t>
      </w:r>
    </w:p>
    <w:p w:rsidR="00000000" w:rsidDel="00000000" w:rsidP="00000000" w:rsidRDefault="00000000" w:rsidRPr="00000000" w14:paraId="0000001C">
      <w:pPr>
        <w:tabs>
          <w:tab w:val="left" w:leader="none" w:pos="2213"/>
        </w:tabs>
        <w:spacing w:after="120" w:before="120" w:line="276" w:lineRule="auto"/>
        <w:ind w:left="90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3.2.2.1 Identify relevant partners where applicable: Does this grant require partners? If so, what contacts can we utilize? If we don’t need a partner, skip this step.</w:t>
      </w:r>
    </w:p>
    <w:p w:rsidR="00000000" w:rsidDel="00000000" w:rsidP="00000000" w:rsidRDefault="00000000" w:rsidRPr="00000000" w14:paraId="0000001D">
      <w:pPr>
        <w:tabs>
          <w:tab w:val="left" w:leader="none" w:pos="2213"/>
        </w:tabs>
        <w:spacing w:after="120" w:before="120" w:line="276" w:lineRule="auto"/>
        <w:ind w:left="90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3.2.2.2 Find the right point of contact for the relevant partner. Tailor a pitch to their organization goals (search their website or socials for context)</w:t>
      </w:r>
    </w:p>
    <w:p w:rsidR="00000000" w:rsidDel="00000000" w:rsidP="00000000" w:rsidRDefault="00000000" w:rsidRPr="00000000" w14:paraId="0000001E">
      <w:pPr>
        <w:tabs>
          <w:tab w:val="left" w:leader="none" w:pos="2213"/>
        </w:tabs>
        <w:spacing w:after="120" w:before="120" w:line="276" w:lineRule="auto"/>
        <w:ind w:left="90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3.2.2.3 Ensure the pitch is approved before reaching out to the partner. Clarify costs and the ask of the partner so it is a strong pitch. </w:t>
      </w:r>
    </w:p>
    <w:p w:rsidR="00000000" w:rsidDel="00000000" w:rsidP="00000000" w:rsidRDefault="00000000" w:rsidRPr="00000000" w14:paraId="0000001F">
      <w:pPr>
        <w:tabs>
          <w:tab w:val="left" w:leader="none" w:pos="2213"/>
        </w:tabs>
        <w:spacing w:after="120" w:before="120" w:line="276" w:lineRule="auto"/>
        <w:ind w:left="36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3.2.3 Budget IIAL’s costs accordingly</w:t>
      </w:r>
    </w:p>
    <w:p w:rsidR="00000000" w:rsidDel="00000000" w:rsidP="00000000" w:rsidRDefault="00000000" w:rsidRPr="00000000" w14:paraId="00000020">
      <w:pPr>
        <w:tabs>
          <w:tab w:val="left" w:leader="none" w:pos="2213"/>
        </w:tabs>
        <w:spacing w:after="120" w:before="120" w:line="276" w:lineRule="auto"/>
        <w:ind w:left="90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3.2.2.1 Ensure that the following is laid out plainly: 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tabs>
          <w:tab w:val="left" w:leader="none" w:pos="2213"/>
        </w:tabs>
        <w:spacing w:after="0" w:afterAutospacing="0" w:before="12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Grant request amount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tabs>
          <w:tab w:val="left" w:leader="none" w:pos="2213"/>
        </w:tabs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IIAL’s revenue from the project 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tabs>
          <w:tab w:val="left" w:leader="none" w:pos="2213"/>
        </w:tabs>
        <w:spacing w:after="120" w:before="0" w:beforeAutospacing="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IIAL’s costs: staff time, platform, travel</w:t>
      </w:r>
    </w:p>
    <w:p w:rsidR="00000000" w:rsidDel="00000000" w:rsidP="00000000" w:rsidRDefault="00000000" w:rsidRPr="00000000" w14:paraId="00000024">
      <w:pPr>
        <w:tabs>
          <w:tab w:val="left" w:leader="none" w:pos="2213"/>
        </w:tabs>
        <w:spacing w:after="120" w:before="120" w:line="276" w:lineRule="auto"/>
        <w:ind w:left="90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3.2.2.2 Ensure the costs required for any matching and in-kind structures are well within IIAL’s capacity. For example, IIAL’s in-kind inventory generally includes: leadership staff time, the IIAL and learn.iial.ca platform, organizational networks and partnerships, and applied research capacity. </w:t>
      </w:r>
    </w:p>
    <w:p w:rsidR="00000000" w:rsidDel="00000000" w:rsidP="00000000" w:rsidRDefault="00000000" w:rsidRPr="00000000" w14:paraId="00000025">
      <w:pPr>
        <w:tabs>
          <w:tab w:val="left" w:leader="none" w:pos="2213"/>
        </w:tabs>
        <w:spacing w:after="120" w:before="120" w:line="276" w:lineRule="auto"/>
        <w:ind w:left="90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3.2.2.3 Verify the team capacity for the delivery window against current commitments (active campaigns, events, international deals). </w:t>
      </w:r>
    </w:p>
    <w:p w:rsidR="00000000" w:rsidDel="00000000" w:rsidP="00000000" w:rsidRDefault="00000000" w:rsidRPr="00000000" w14:paraId="00000026">
      <w:pPr>
        <w:tabs>
          <w:tab w:val="left" w:leader="none" w:pos="2213"/>
        </w:tabs>
        <w:spacing w:after="120" w:before="120" w:line="276" w:lineRule="auto"/>
        <w:ind w:left="36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3.2.4 Current state verification:</w:t>
      </w:r>
    </w:p>
    <w:tbl>
      <w:tblPr>
        <w:tblStyle w:val="Table1"/>
        <w:tblW w:w="900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What to confirm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Who confirms it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Partnerships or MOUs cited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Direct check with MOU or with relationship 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Named point of contacts from partner organizations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Direct check or with the relationship 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IIAL’s strategic priorities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Leadership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Team capacity in the delivery window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Clarissa Getigan, Principal of Sustainability and Partnerships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Cash availability for any required match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Dr. Juan Marcelo Gomez, Principal Executive &amp; Founder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 other IIAL application is in flight with the same funder or an organization the current grant states cannot be funded in conjunction with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Use the grant log or reach out to leadership team </w:t>
            </w:r>
          </w:p>
        </w:tc>
      </w:tr>
    </w:tbl>
    <w:p w:rsidR="00000000" w:rsidDel="00000000" w:rsidP="00000000" w:rsidRDefault="00000000" w:rsidRPr="00000000" w14:paraId="00000035">
      <w:pPr>
        <w:tabs>
          <w:tab w:val="left" w:leader="none" w:pos="2213"/>
        </w:tabs>
        <w:spacing w:after="120" w:before="120" w:line="276" w:lineRule="auto"/>
        <w:ind w:left="36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3.3 Stage 3: A short opportunity brief</w:t>
      </w:r>
    </w:p>
    <w:p w:rsidR="00000000" w:rsidDel="00000000" w:rsidP="00000000" w:rsidRDefault="00000000" w:rsidRPr="00000000" w14:paraId="00000036">
      <w:pPr>
        <w:tabs>
          <w:tab w:val="left" w:leader="none" w:pos="2213"/>
        </w:tabs>
        <w:spacing w:after="120" w:before="120" w:line="276" w:lineRule="auto"/>
        <w:ind w:left="36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 the headers below to outline the grant requirements required for leadership's sign-off to move forward.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tabs>
          <w:tab w:val="left" w:leader="none" w:pos="2213"/>
        </w:tabs>
        <w:spacing w:after="0" w:afterAutospacing="0" w:before="12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Program Snapshot: 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tabs>
          <w:tab w:val="left" w:leader="none" w:pos="2213"/>
        </w:tabs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Funder | Program name | Authoritative URL | Max amount | Cost-share / match | Intake | Deadline | Application structure: one-stage / two-stage (EOI first)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tabs>
          <w:tab w:val="left" w:leader="none" w:pos="2213"/>
        </w:tabs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IIAL Role: 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tabs>
          <w:tab w:val="left" w:leader="none" w:pos="2213"/>
        </w:tabs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Lead applicant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tabs>
          <w:tab w:val="left" w:leader="none" w:pos="2213"/>
        </w:tabs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Funded partner 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tabs>
          <w:tab w:val="left" w:leader="none" w:pos="2213"/>
        </w:tabs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Other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tabs>
          <w:tab w:val="left" w:leader="none" w:pos="2213"/>
        </w:tabs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Strategic Angle: 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tabs>
          <w:tab w:val="left" w:leader="none" w:pos="2213"/>
        </w:tabs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IIAL capability this program leverages and what we gain. Example: WCIS framed as a supply chain traceability framework enabling wider audience in Canada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tabs>
          <w:tab w:val="left" w:leader="none" w:pos="2213"/>
        </w:tabs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Mandatory components: 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tabs>
          <w:tab w:val="left" w:leader="none" w:pos="2213"/>
        </w:tabs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Required studies, assessments, deliverables named in the guide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tabs>
          <w:tab w:val="left" w:leader="none" w:pos="2213"/>
        </w:tabs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Money: 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tabs>
          <w:tab w:val="left" w:leader="none" w:pos="2213"/>
        </w:tabs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Request amount | IIAL net revenue | Match required | In-kind cap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tabs>
          <w:tab w:val="left" w:leader="none" w:pos="2213"/>
        </w:tabs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Risks and unknowns: 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tabs>
          <w:tab w:val="left" w:leader="none" w:pos="2213"/>
        </w:tabs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Eligibility ambiguities, capacity constraints, questions arising from program guide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tabs>
          <w:tab w:val="left" w:leader="none" w:pos="2213"/>
        </w:tabs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Recommendation: 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tabs>
          <w:tab w:val="left" w:leader="none" w:pos="2213"/>
        </w:tabs>
        <w:spacing w:after="120" w:before="0" w:beforeAutospacing="0" w:line="276" w:lineRule="auto"/>
        <w:ind w:left="144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Go / No-go/ Go- conditional with reason </w:t>
      </w:r>
    </w:p>
    <w:p w:rsidR="00000000" w:rsidDel="00000000" w:rsidP="00000000" w:rsidRDefault="00000000" w:rsidRPr="00000000" w14:paraId="00000047">
      <w:pPr>
        <w:tabs>
          <w:tab w:val="left" w:leader="none" w:pos="2213"/>
        </w:tabs>
        <w:spacing w:after="120" w:before="120" w:line="276" w:lineRule="auto"/>
        <w:ind w:left="36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3.4 Stage 4: Go/No-go</w:t>
      </w:r>
    </w:p>
    <w:tbl>
      <w:tblPr>
        <w:tblStyle w:val="Table2"/>
        <w:tblW w:w="900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APPROVAL REQUIRED: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Present findings to leadership to ensure there is no wasted effort. Nothing moves forward without approval.</w:t>
            </w:r>
          </w:p>
        </w:tc>
      </w:tr>
    </w:tbl>
    <w:p w:rsidR="00000000" w:rsidDel="00000000" w:rsidP="00000000" w:rsidRDefault="00000000" w:rsidRPr="00000000" w14:paraId="0000004A">
      <w:pPr>
        <w:tabs>
          <w:tab w:val="left" w:leader="none" w:pos="2213"/>
        </w:tabs>
        <w:spacing w:after="120" w:before="120" w:line="276" w:lineRule="auto"/>
        <w:ind w:left="36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3.4.1 Three outcomes: 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tabs>
          <w:tab w:val="left" w:leader="none" w:pos="2213"/>
        </w:tabs>
        <w:spacing w:after="0" w:afterAutospacing="0" w:before="12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Go: Move to SOP: Grant Writing and Submission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tabs>
          <w:tab w:val="left" w:leader="none" w:pos="2213"/>
        </w:tabs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No-go: Log reason. Programs reopen and IIAL’s capabilities grow, so no today might become a yes next year.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tabs>
          <w:tab w:val="left" w:leader="none" w:pos="2213"/>
        </w:tabs>
        <w:spacing w:after="120" w:before="0" w:beforeAutospacing="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Go-conditional: Proceed if condition is met, track condition and confirm with leadership. </w:t>
      </w:r>
    </w:p>
    <w:p w:rsidR="00000000" w:rsidDel="00000000" w:rsidP="00000000" w:rsidRDefault="00000000" w:rsidRPr="00000000" w14:paraId="0000004E">
      <w:pPr>
        <w:tabs>
          <w:tab w:val="left" w:leader="none" w:pos="2213"/>
        </w:tabs>
        <w:spacing w:after="120" w:before="120" w:line="276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2213"/>
        </w:tabs>
        <w:spacing w:after="120" w:before="120" w:line="276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2213"/>
        </w:tabs>
        <w:spacing w:after="120" w:before="120" w:line="276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213"/>
        </w:tabs>
        <w:spacing w:after="120" w:before="120" w:line="276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2213"/>
        </w:tabs>
        <w:spacing w:after="120" w:line="276" w:lineRule="auto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End of SOP. Approved briefs proceed to SOP: Grant Writing and Submission.</w:t>
      </w:r>
    </w:p>
    <w:p w:rsidR="00000000" w:rsidDel="00000000" w:rsidP="00000000" w:rsidRDefault="00000000" w:rsidRPr="00000000" w14:paraId="00000053">
      <w:pPr>
        <w:tabs>
          <w:tab w:val="left" w:leader="none" w:pos="2213"/>
        </w:tabs>
        <w:spacing w:after="120" w:before="120" w:line="276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440" w:top="851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cccccc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cccccc"/>
        <w:sz w:val="18"/>
        <w:szCs w:val="18"/>
        <w:u w:val="none"/>
        <w:shd w:fill="auto" w:val="clear"/>
        <w:vertAlign w:val="baseline"/>
        <w:rtl w:val="0"/>
      </w:rPr>
      <w:t xml:space="preserve">6 - 14845 Yonge St., Suite #156, Aurora ON L4G 6H8 CA | </w:t>
    </w:r>
    <w:r w:rsidDel="00000000" w:rsidR="00000000" w:rsidRPr="00000000">
      <w:rPr>
        <w:rFonts w:ascii="Calibri" w:cs="Calibri" w:eastAsia="Calibri" w:hAnsi="Calibri"/>
        <w:color w:val="cccccc"/>
        <w:sz w:val="18"/>
        <w:szCs w:val="18"/>
        <w:u w:val="none"/>
        <w:rtl w:val="0"/>
      </w:rPr>
      <w:t xml:space="preserve">info</w:t>
    </w:r>
    <w:hyperlink r:id="rId1"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ccccc"/>
          <w:sz w:val="18"/>
          <w:szCs w:val="18"/>
          <w:u w:val="none"/>
          <w:shd w:fill="auto" w:val="clear"/>
          <w:vertAlign w:val="baseline"/>
          <w:rtl w:val="0"/>
        </w:rPr>
        <w:t xml:space="preserve">@iial.ca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  <w:t xml:space="preserve">IIAL Internal </w:t>
      <w:tab/>
      <w:t xml:space="preserve">  </w:t>
      <w:tab/>
      <w:t xml:space="preserve">                    SOP: Grant Identification and Qualification</w:t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color w:val="cfe2f3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360.0" w:type="dxa"/>
      <w:jc w:val="left"/>
      <w:tblLayout w:type="fixed"/>
      <w:tblLook w:val="0400"/>
    </w:tblPr>
    <w:tblGrid>
      <w:gridCol w:w="4601"/>
      <w:gridCol w:w="4759"/>
      <w:tblGridChange w:id="0">
        <w:tblGrid>
          <w:gridCol w:w="4601"/>
          <w:gridCol w:w="4759"/>
        </w:tblGrid>
      </w:tblGridChange>
    </w:tblGrid>
    <w:tr>
      <w:trPr>
        <w:cantSplit w:val="0"/>
        <w:trHeight w:val="445.8593750000001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bookmarkStart w:colFirst="0" w:colLast="0" w:name="_7u2ghmaj3js0" w:id="1"/>
          <w:bookmarkEnd w:id="1"/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522559" cy="914400"/>
                <wp:effectExtent b="0" l="0" r="0" t="0"/>
                <wp:docPr descr="A black and grey logo&#10;&#10;AI-generated content may be incorrect." id="1" name="image1.png"/>
                <a:graphic>
                  <a:graphicData uri="http://schemas.openxmlformats.org/drawingml/2006/picture">
                    <pic:pic>
                      <pic:nvPicPr>
                        <pic:cNvPr descr="A black and grey logo&#10;&#10;AI-generated content may be incorrect.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2559" cy="914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Institute of Innovation and Advanced Learning</w:t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www.iial.ca</w:t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gridSpan w:val="2"/>
          <w:shd w:fill="002060" w:val="clea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16"/>
      <w:szCs w:val="16"/>
    </w:rPr>
  </w:style>
  <w:style w:type="paragraph" w:styleId="Heading2">
    <w:name w:val="heading 2"/>
    <w:basedOn w:val="Normal"/>
    <w:next w:val="Normal"/>
    <w:pPr>
      <w:keepNext w:val="1"/>
      <w:spacing w:after="40" w:line="240" w:lineRule="auto"/>
      <w:ind w:left="720" w:hanging="72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jc w:val="righ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after="60" w:before="200" w:lineRule="auto"/>
    </w:pPr>
    <w:rPr>
      <w:b w:val="1"/>
      <w:bCs w:val="1"/>
      <w:smallCap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hyperlink" Target="mailto:hello@iial.ca" TargetMode="Externa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0x010100065D306289AD304B9A93EAC178E53624</vt:lpwstr>
  </property>
  <property fmtid="{D5CDD505-2E9C-101B-9397-08002B2CF9AE}" pid="3" name="GrammarlyDocumentId">
    <vt:lpwstr>22970cee-1149-427d-a081-db0d778c9aa0</vt:lpwstr>
  </property>
</Properties>
</file>