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g51uylkwe1f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oxai70nlg9cn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HostHub.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pplzcahpv3tf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realizada uma varredura com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quais portas estavam abertas na aplicação.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52700"/>
            <wp:effectExtent b="25400" l="25400" r="25400" t="2540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identificada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5000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aberta, com a aplicação sendo executada pelo servidor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Werkzeug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5000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visualizar a aplicação web em execução.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92400"/>
            <wp:effectExtent b="25400" l="25400" r="25400" t="2540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a aplicação, foi identificada uma funcionalidade de contato na qual o campo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first_name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refletido diretamente na página.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25800"/>
            <wp:effectExtent b="25400" l="25400" r="25400" t="2540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a aplicação estiver utilizando um mecanismo de template para renderizar esse conteúdo, e se houver controle do usuário sobre o template ou seus dados, pode haver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SSTI (Server-Side Template Injection)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injeção da expressão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{{7*7}}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retornou o valor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49,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confirmando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O motor de templates processa a entrada do usuário sem sanitização, permitindo a execução remota de código.</w:t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51200"/>
            <wp:effectExtent b="25400" l="25400" r="25400" t="2540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da exploração da vulnerabilidade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SSTI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importar a biblioteca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executar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sistema operacional, confirmando a capacidade de execução remota de comandos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(RCE).</w:t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 self.__init__.__globals__.__builtins__.__import__(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).popen(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).read() }}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87700"/>
            <wp:effectExtent b="25400" l="25400" r="25400" t="2540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máquina.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 self.__init__.__globals__.__builtins__.__import__(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).popen(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'ls 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).read() }}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rFonts w:ascii="IBM Plex Sans" w:cs="IBM Plex Sans" w:eastAsia="IBM Plex Sans" w:hAnsi="IBM Plex Sans"/>
      </w:rPr>
    </w:pPr>
    <w:bookmarkStart w:colFirst="0" w:colLast="0" w:name="_heading=h.bv3wzks4zruf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HostHub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81COl6UAjv9nYV7G51dfZ5yOIw==">CgMxLjAyDmguZzUxdXlsa3dlMWZkMg5oLm94YWk3MG5sZzljbjIOaC5wcGx6Y2FocHYzdGYyDmguYnYzd3prczR6cnVmOAByITFRVTZGdGRMSzBhNnZ1WFB1TkEtdENkNkh6c0NsVktPbw==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