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q9tvsvizpa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ypv655kind0p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Challenge Instance Metrics.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474hbcew7cze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desafio, foi disponibilizado 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attachments.zip,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contendo todos os arquivos da aplicação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unzip attachments.zip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25400" l="25400" r="25400" t="2540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aplicação web, existem duas pastas principais: a pasta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gateway,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responsável por definir quais comandos são permitidos,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ps, df, whoami e uname,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a pasta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metrics,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onde esses comandos são efetivamente executados pelo sistema.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57500"/>
            <wp:effectExtent b="25400" l="25400" r="25400" t="2540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main.go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também foi possível identificar as rotas disponíveis na aplicação web.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52700"/>
            <wp:effectExtent b="25400" l="25400" r="25400" t="2540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Além disso, no arquivo há uma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struct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chamada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InstanceMetricsRPC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responsável por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armazenar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dados em formato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JSON.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linha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esse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lido e os valores são atribuídos a essa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struct.</w:t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54400"/>
            <wp:effectExtent b="25400" l="25400" r="25400" t="2540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Go,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é linguagem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case-sensitive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 e Command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são coisas diferentes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código Go.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Mas a biblioteca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encoding/json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faz a leitura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tem um comportamento específico: procura as chaves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forma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case-insensitive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Isso não é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si, é a biblioteca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JSON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que foi feita assim de propósito.</w:t>
      </w:r>
    </w:p>
    <w:p w:rsidR="00000000" w:rsidDel="00000000" w:rsidP="00000000" w:rsidRDefault="00000000" w:rsidRPr="00000000" w14:paraId="0000001C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Ou seja, quando a biblioteca encontra a tag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json:"command"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ela aceita variações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maiúsculas e minúsculas,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command, Command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Todas essas formas são mapeadas para o mesmo campo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rpc.Command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dentro da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struct.</w:t>
      </w:r>
    </w:p>
    <w:p w:rsidR="00000000" w:rsidDel="00000000" w:rsidP="00000000" w:rsidRDefault="00000000" w:rsidRPr="00000000" w14:paraId="0000001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enviar uma requisição para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/api/instance-metrics/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correspondente, é possível observar que o comando é executado no servidor por meio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execSync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JavaScript,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porém apenas os comandos permitidos e definidos no código da aplicação são aceitos.</w:t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98600"/>
            <wp:effectExtent b="25400" l="25400" r="25400" t="2540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12900"/>
            <wp:effectExtent b="25400" l="25400" r="25400" t="2540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43300"/>
            <wp:effectExtent b="25400" l="25400" r="25400" t="2540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Porém, há uma forma de burlar essa validação.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biblioteca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gateway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lê o corpo da requisição de cima para baixo. Primeiro, encontra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"command": "ls"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armazena esse valor 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struct.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seguida, encontra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"Command": "whoami"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e, por aceitar variações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maiúsculas e minúsculas,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sobrescreve o valor anterior. No final, o campo fica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"whoami".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gateway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verifica esse valor e,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"whoami"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está na lista de comandos permitidos, a requisição é considerada válida.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entanto, o backend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Express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faz o parse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 mesmo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forma diferente.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JavaScript,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"command"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"Command"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são propriedades distintas do objeto, pois a linguagem diferencia maiúsculas de minúsculas.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Assim, o código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backend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 especificamente a propriedade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 (em minúsculo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contém o valor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"ls",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executa esse comando diretamente no sistema operacional.</w:t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"whoami"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"timeout"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00400"/>
            <wp:effectExtent b="25400" l="25400" r="25400" t="25400"/>
            <wp:docPr id="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Código do backend recebido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Express.</w:t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54100"/>
            <wp:effectExtent b="25400" l="25400" r="25400" t="25400"/>
            <wp:docPr id="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maneira, foi possível executar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sistema.</w:t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60500"/>
            <wp:effectExtent b="25400" l="25400" r="25400" t="25400"/>
            <wp:docPr id="3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31900"/>
            <wp:effectExtent b="25400" l="25400" r="25400" t="2540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headerReference r:id="rId21" w:type="even"/>
      <w:footerReference r:id="rId22" w:type="default"/>
      <w:footerReference r:id="rId23" w:type="first"/>
      <w:footerReference r:id="rId2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>
        <w:rFonts w:ascii="IBM Plex Sans" w:cs="IBM Plex Sans" w:eastAsia="IBM Plex Sans" w:hAnsi="IBM Plex Sans"/>
      </w:rPr>
    </w:pPr>
    <w:bookmarkStart w:colFirst="0" w:colLast="0" w:name="_heading=h.656862nvwerx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2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3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Instance Metrics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2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12.png"/><Relationship Id="rId22" Type="http://schemas.openxmlformats.org/officeDocument/2006/relationships/footer" Target="footer1.xml"/><Relationship Id="rId10" Type="http://schemas.openxmlformats.org/officeDocument/2006/relationships/image" Target="media/image13.png"/><Relationship Id="rId21" Type="http://schemas.openxmlformats.org/officeDocument/2006/relationships/header" Target="header3.xml"/><Relationship Id="rId13" Type="http://schemas.openxmlformats.org/officeDocument/2006/relationships/image" Target="media/image11.png"/><Relationship Id="rId24" Type="http://schemas.openxmlformats.org/officeDocument/2006/relationships/footer" Target="footer3.xml"/><Relationship Id="rId12" Type="http://schemas.openxmlformats.org/officeDocument/2006/relationships/image" Target="media/image2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4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7Zbr2TUyC8jNERjpbmU9KMkZuA==">CgMxLjAyDWgucTl0dnN2aXpwYXMyDmgueXB2NjU1a2luZDBwMg5oLjQ3NGhiY2V3N2N6ZTIOaC42NTY4NjJudndlcng4AHIhMVZBZlF2YXZoUEFYSExtZ1pmN0JyWVNvQXFMb3ZMSXg0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