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BMPlexSans-bold.ttf" ContentType="application/x-font-ttf"/>
  <Override PartName="/word/fonts/IBMPlexSans-boldItalic.ttf" ContentType="application/x-font-ttf"/>
  <Override PartName="/word/fonts/IBMPlexSans-italic.ttf" ContentType="application/x-font-ttf"/>
  <Override PartName="/word/fonts/IBMPlexSans-regular.ttf" ContentType="application/x-font-ttf"/>
  <Override PartName="/word/fonts/IBMPlexSansSemiBold-bold.ttf" ContentType="application/x-font-ttf"/>
  <Override PartName="/word/fonts/IBMPlexSansSemiBold-boldItalic.ttf" ContentType="application/x-font-ttf"/>
  <Override PartName="/word/fonts/IBMPlexSansSemiBold-italic.ttf" ContentType="application/x-font-ttf"/>
  <Override PartName="/word/fonts/IBMPlexSansSemiBold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/>
      </w:pPr>
      <w:bookmarkStart w:colFirst="0" w:colLast="0" w:name="_id06xjcrabty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3t8m4axx4m2o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Introdução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Este write-up é referente a máquina </w:t>
      </w:r>
      <w:hyperlink r:id="rId6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&lt;NOME_DA_MÁQUINA&gt;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highlight w:val="yellow"/>
          <w:rtl w:val="0"/>
        </w:rPr>
        <w:t xml:space="preserve">Se a máquina foi baseada em um pentest real, isso deve estar explícito nessa seção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Caso precise de suporte, favor abrir um ticket no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canal de suporte no servidor do Discord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cahrt67n5qzp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Reconhecimento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do documento tem como objetivo descrever a etapa de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recon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enumeração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de portas abertas,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fuzzing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mapeamento de acessos com usuário convidado ou sem autenticação. </w:t>
      </w:r>
    </w:p>
    <w:p w:rsidR="00000000" w:rsidDel="00000000" w:rsidP="00000000" w:rsidRDefault="00000000" w:rsidRPr="00000000" w14:paraId="0000000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 Caso precise redimensionar a figura, é importante fazer pela sua diagonal, evitando que ela perca a formatação. É importante se atentar a fonte e ao tamanho utilizados: </w:t>
      </w:r>
    </w:p>
    <w:p w:rsidR="00000000" w:rsidDel="00000000" w:rsidP="00000000" w:rsidRDefault="00000000" w:rsidRPr="00000000" w14:paraId="0000000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títulos, usar a formatação de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Título 1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ao lado esquerdo da seleção de fonte. O título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Seminegrito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 tamanho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18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IBM Plex Sans" w:cs="IBM Plex Sans" w:eastAsia="IBM Plex Sans" w:hAnsi="IBM Plex Sans"/>
          <w:sz w:val="24"/>
          <w:szCs w:val="24"/>
          <w:u w:val="no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Para textos e descrições, usar a formatação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Texto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ao lado esquerdo da seleção de fonte. O texto deve ter sua fonte alterada para </w:t>
      </w:r>
      <w:r w:rsidDel="00000000" w:rsidR="00000000" w:rsidRPr="00000000">
        <w:rPr>
          <w:rFonts w:ascii="IBM Plex Sans" w:cs="IBM Plex Sans" w:eastAsia="IBM Plex Sans" w:hAnsi="IBM Plex Sans"/>
          <w:b w:val="1"/>
          <w:sz w:val="24"/>
          <w:szCs w:val="24"/>
          <w:rtl w:val="0"/>
        </w:rPr>
        <w:t xml:space="preserve">IBM Plex Sans Normal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IBM Plex Sans" w:cs="IBM Plex Sans" w:eastAsia="IBM Plex Sans" w:hAnsi="IBM Plex Sans"/>
          <w:i w:val="1"/>
          <w:sz w:val="20"/>
          <w:szCs w:val="20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1 - Inserindo elemento de bloco de código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24"/>
          <w:szCs w:val="24"/>
        </w:rPr>
      </w:pPr>
      <w:bookmarkStart w:colFirst="0" w:colLast="0" w:name="_7lo9yejx6rri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Exploração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identificadas na etapa anterior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usuário.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2 -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9olji020bts5" w:id="4"/>
      <w:bookmarkEnd w:id="4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Movimentação lateral (opcional)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é opcional e deve conter os passos de movimentação lateral para um usuário com mais permissões ou quando o CTF envolve uma etapa intermediária, como escapar de um container.</w:t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3 -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sz w:val="36"/>
          <w:szCs w:val="36"/>
        </w:rPr>
      </w:pPr>
      <w:bookmarkStart w:colFirst="0" w:colLast="0" w:name="_ual3k3aqzn69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Escalação de privilégio - obtendo a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Esta seção deve conter os passos de exploração das vulnerabilidades de escalação de privilégio e deve finalizar com a obtenção da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 root. Entretanto a 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flag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deve estar ofuscada, não permitindo que o usuário leia ou copie diretamente, forçando ele a reproduzir o ataque. </w:t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Todo comando realizado deve utilizar o elemento de Bloco de código, contendo o comando para que fique fácil para o usuário copiar. Não há necessidade de colocar bloco de código com o resultado do comando, apenas com o comando realizado.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echo "exemplo de comando"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Toda etapa relevante realizada deve ser acompanhada de uma figura (</w:t>
      </w:r>
      <w:r w:rsidDel="00000000" w:rsidR="00000000" w:rsidRPr="00000000">
        <w:rPr>
          <w:rFonts w:ascii="IBM Plex Sans" w:cs="IBM Plex Sans" w:eastAsia="IBM Plex Sans" w:hAnsi="IBM Plex Sans"/>
          <w:i w:val="1"/>
          <w:sz w:val="24"/>
          <w:szCs w:val="24"/>
          <w:rtl w:val="0"/>
        </w:rPr>
        <w:t xml:space="preserve">screenshot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), que deve possuir moldura (borda preta de 2 pt) e legenda.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496277" cy="4070588"/>
            <wp:effectExtent b="25400" l="25400" r="25400" t="254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277" cy="40705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1"/>
          <w:sz w:val="20"/>
          <w:szCs w:val="20"/>
          <w:rtl w:val="0"/>
        </w:rPr>
        <w:t xml:space="preserve">Figura 4 - Inserindo elemento de bloco de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>
      <w:pPr>
        <w:pStyle w:val="Heading1"/>
      </w:pPr>
      <w:r>
        <w:t>Write-Up Slash</w:t>
      </w:r>
    </w:p>
    <w:p/>
    <w:p/>
    <w:p/>
    <w:p>
      <w:r>
        <w:t>Write-up slash</w:t>
      </w:r>
    </w:p>
    <w:p/>
    <w:p>
      <w:r>
        <w:t>#</w:t>
      </w:r>
    </w:p>
    <w:p/>
    <w:p>
      <w:r>
        <w:t>#</w:t>
      </w:r>
    </w:p>
    <w:p/>
    <w:p>
      <w:r>
        <w:t>Hacking Club é uma plataforma para aprender segurança cibernética, um recurso incrível se você não sabe por onde começar. Além das máquinas vulneráveis, você tem acesso a aulas e desafios para praticar suas habilidades e acesso a uma comunidade exclusiva para jogar e se desafiar.</w:t>
      </w:r>
    </w:p>
    <w:p/>
    <w:p>
      <w:r>
        <w:t>A melhor parte do Hacking Club é que ele é muito prático. Se você é novo em hacking, experimente.</w:t>
      </w:r>
    </w:p>
    <w:p/>
    <w:p>
      <w:r>
        <w:t>##</w:t>
      </w:r>
    </w:p>
    <w:p/>
    <w:p>
      <w:r>
        <w:t>##</w:t>
      </w:r>
    </w:p>
    <w:p/>
    <w:p>
      <w:r>
        <w:t>Precisamos saber quais serviços estão sendo executados nos bastidores e quais portas estão abertas. Então, vamos usar uma ferramenta chamada nmap.</w:t>
      </w:r>
    </w:p>
    <w:p/>
    <w:p>
      <w:r>
        <w:drawing>
          <wp:inline>
            <wp:extent cx="4572000" cy="26444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map%25201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444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t>*   *   *   *   *   *   *   *</w:t>
      </w:r>
    </w:p>
    <w:p/>
    <w:p>
      <w:r>
        <w:t>Podemos começar olhando o website que está sendo executado na porta 80:</w:t>
      </w:r>
    </w:p>
    <w:p/>
    <w:p>
      <w:r>
        <w:drawing>
          <wp:inline>
            <wp:extent cx="4572000" cy="22945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%252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945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Ao acessar o website somos redirecionados a tela de login, podemos logar usando as credenciais admin:admin</w:t>
      </w:r>
    </w:p>
    <w:p/>
    <w:p>
      <w:r>
        <w:drawing>
          <wp:inline>
            <wp:extent cx="4572000" cy="23384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%2520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384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Após estar logado temos acesso a home do usuário admin, mas a aplicação parece ser totalmente estática, podemos fazer um fuzzing nessa aplicação para podermos encontrar possíveis arquivos ou diretórios relevantes, para isso estarei utilizando a ferramenta fuff com a wordlist quickhits.txt que pode ser encontrada no link abaixo:</w:t>
      </w:r>
    </w:p>
    <w:p/>
    <w:p>
      <w:r>
        <w:t>[https://github.com/danielmiessler/SecLists](https://github.com/danielmiessler/SecLists)</w:t>
      </w:r>
    </w:p>
    <w:p/>
    <w:p>
      <w:r>
        <w:t>*   *   *   *   *   *</w:t>
      </w:r>
    </w:p>
    <w:p/>
    <w:p>
      <w:r>
        <w:drawing>
          <wp:inline>
            <wp:extent cx="4572000" cy="184339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fuf%25203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433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isso temos dois arquivos interessantes → composer.json &amp; Dockerfile.</w:t>
      </w:r>
    </w:p>
    <w:p/>
    <w:p>
      <w:r>
        <w:t>Ao analisar o arquivo Dockerfile, podemos notar que a aplicação está utilizando o redis para armazenar a sessão:</w:t>
      </w:r>
    </w:p>
    <w:p/>
    <w:p>
      <w:r>
        <w:drawing>
          <wp:inline>
            <wp:extent cx="4572000" cy="9804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fi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804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E analisando o arquivo composer.json, podemos notar que o mesmo está utilizando o monolog na versão 2.7 que é vulnerável a desserialização insegura.</w:t>
      </w:r>
    </w:p>
    <w:p/>
    <w:p>
      <w:r>
        <w:drawing>
          <wp:inline>
            <wp:extent cx="4572000" cy="13358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er%252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358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 essas informações em mãos podemos executar comandos remotamente no servidor (RCE), podemos utilizar a ferramenta phpgcc para nos gerar uma carga útil (payload) que nos retornará uma reverse shell.</w:t>
      </w:r>
    </w:p>
    <w:p/>
    <w:p>
      <w:r>
        <w:t>Primeiro iremos nos conectar no redis, para isso podemos utilizar a interface de linha de comando do Redis → redis-cli:</w:t>
      </w:r>
    </w:p>
    <w:p/>
    <w:p>
      <w:r>
        <w:drawing>
          <wp:inline>
            <wp:extent cx="4572000" cy="89488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is%2520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48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Como o redis está sem autenticação, conseguimos nos conectar tranquilamente sem precisar fornecer as credenciais, após estar conectado no mesmo podemos notar que a nossa sessão se encontra armazenada.</w:t>
      </w:r>
    </w:p>
    <w:p/>
    <w:p>
      <w:r>
        <w:t>Podemos então gerar a nossa payload utilizando a ferramenta abaixo:</w:t>
      </w:r>
    </w:p>
    <w:p/>
    <w:p>
      <w:r>
        <w:t>PHPGGC é uma biblioteca de cargas úteis unserialize() junto com uma ferramenta para gerá-las, a partir da linha de comando ou programaticamente .</w:t>
      </w:r>
    </w:p>
    <w:p/>
    <w:p>
      <w:r>
        <w:t>[https://github.com/ambionics/phpggc](https://github.com/ambionics/phpggc)</w:t>
      </w:r>
    </w:p>
    <w:p/>
    <w:p>
      <w:r>
        <w:t>Podemos listar os gadgets:</w:t>
      </w:r>
    </w:p>
    <w:p/>
    <w:p>
      <w:r>
        <w:t>Por causa das propiedades privada, ao gerar a payload ela irá conter alguns null bytes (bytes não ASCII) então teremos que redirecionar a saída da nossa payload para um arquivo, logo quando fizermos um set no redis, ele irá escapar esses null bytes automaticamente.</w:t>
      </w:r>
    </w:p>
    <w:p/>
    <w:p>
      <w:r>
        <w:t>Com a payload gerada, precisamos concatenar a nossa payload com “username|payload”.</w:t>
      </w:r>
    </w:p>
    <w:p/>
    <w:p>
      <w:r>
        <w:drawing>
          <wp:inline>
            <wp:extent cx="4572000" cy="85236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523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é só gravar a nossa payload no redis:</w:t>
      </w:r>
    </w:p>
    <w:p/>
    <w:p>
      <w:r>
        <w:drawing>
          <wp:inline>
            <wp:extent cx="4572000" cy="11130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%252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130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Ouvinte do netcat para receber a conexão:</w:t>
      </w:r>
    </w:p>
    <w:p/>
    <w:p>
      <w:r>
        <w:drawing>
          <wp:inline>
            <wp:extent cx="4572000" cy="114049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cat%2520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04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basta recarregar a página (F5) que a aplicação irá desserializar a nossa sessão, assim trigando um RCE e nos retornando uma shell:</w:t>
      </w:r>
    </w:p>
    <w:p/>
    <w:p>
      <w:r>
        <w:drawing>
          <wp:inline>
            <wp:extent cx="4572000" cy="964764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%25201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6476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###</w:t>
      </w:r>
    </w:p>
    <w:p/>
    <w:p>
      <w:r>
        <w:t>###</w:t>
      </w:r>
    </w:p>
    <w:p/>
    <w:p>
      <w:r>
        <w:t>Atualizando shell simples para TTYs totalmente interativos.</w:t>
      </w:r>
    </w:p>
    <w:p/>
    <w:p>
      <w:r>
        <w:drawing>
          <wp:inline>
            <wp:extent cx="4572000" cy="8801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ty%2520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801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Podemos pegar a nossa primeira flag que está no diretório /infra:</w:t>
      </w:r>
    </w:p>
    <w:p/>
    <w:p>
      <w:r>
        <w:drawing>
          <wp:inline>
            <wp:extent cx="4572000" cy="81786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flag%25201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1786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Analisando o arquivo docker-compose.yaml podemos notar que temos duas aplicações, a external e a internal.</w:t>
      </w:r>
    </w:p>
    <w:p/>
    <w:p>
      <w:r>
        <w:t>Notamos também que a flag de root está no volume montado em /mnt da aplicação internal.</w:t>
      </w:r>
    </w:p>
    <w:p/>
    <w:p>
      <w:r>
        <w:drawing>
          <wp:inline>
            <wp:extent cx="4572000" cy="207319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731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Lendo o arquivo nginx.conf que se encontra no diretório /infra/proxy temos o nome do domínio da aplicação internal:</w:t>
      </w:r>
    </w:p>
    <w:p/>
    <w:p>
      <w:r>
        <w:drawing>
          <wp:inline>
            <wp:extent cx="4572000" cy="2480872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Logo um pouco abaixo temos uma vulnerabilidade de Path traversal (off-by-slash) devido a má configuração do mesmo:</w:t>
      </w:r>
    </w:p>
    <w:p/>
    <w:p>
      <w:r>
        <w:drawing>
          <wp:inline>
            <wp:extent cx="4572000" cy="248087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m%252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Devido a má configuração, podemos notar que o `location` não termina com o separador de diretório (ou seja `/`).</w:t>
      </w:r>
    </w:p>
    <w:p/>
    <w:p>
      <w:r>
        <w:t>Com a configuração incorreta do alias podemos ler qualquer arquivo armazenado fora da pasta de destino, outra coisa a se notar é que o autoindex está ativado, o que facilita explorar essa vulnerabilidade facilmente.</w:t>
      </w:r>
    </w:p>
    <w:p/>
    <w:p>
      <w:r>
        <w:t>Primeiro teremos que mapear o endereço IP com o nome de domínio, adicionando uma linha no arquivo host, conforme ilustrado na imagem a seguir, assim conseguiremos chegar no host internal:</w:t>
      </w:r>
    </w:p>
    <w:p/>
    <w:p>
      <w:r>
        <w:drawing>
          <wp:inline>
            <wp:extent cx="4572000" cy="93199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sts%252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31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Feito isso podemos acessar esse domínio pelo o nosso navegador:</w:t>
      </w:r>
    </w:p>
    <w:p/>
    <w:p>
      <w:r>
        <w:drawing>
          <wp:inline>
            <wp:extent cx="4572000" cy="110195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%25201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0195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Agora basta pegarmos a última flag que se encontra no diretório /mnt:</w:t>
      </w:r>
    </w:p>
    <w:p/>
    <w:p>
      <w:r>
        <w:drawing>
          <wp:inline>
            <wp:extent cx="4572000" cy="156609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tsindex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5660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46108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610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>
            <wp:extent cx="4572000" cy="1161143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ltflag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61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40" w:lineRule="auto"/>
      <w:ind w:left="-1276" w:right="289" w:firstLine="1276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Todos os direitos reservados </w:t>
      <w:tab/>
      <w:tab/>
      <w:t xml:space="preserve">          </w:t>
      <w:tab/>
      <w:tab/>
      <w:tab/>
      <w:t xml:space="preserve">                          Página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>
        <w:rFonts w:ascii="IBM Plex Sans" w:cs="IBM Plex Sans" w:eastAsia="IBM Plex Sans" w:hAnsi="IBM Plex Sans"/>
      </w:rPr>
    </w:pPr>
    <w:bookmarkStart w:colFirst="0" w:colLast="0" w:name="_qnw61nncct6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-866774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7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/>
      <w:pict>
        <v:shape id="WordPictureWatermark2" style="position:absolute;width:617.76pt;height:793.486642040147pt;rotation:0;z-index:-503316481;mso-position-horizontal-relative:margin;mso-position-horizontal:absolute;margin-left:-73.98425196850394pt;mso-position-vertical-relative:margin;mso-position-vertical:absolute;margin-top:-1.246028427965058pt;" alt="" type="#_x0000_t75">
          <v:imagedata cropbottom="0f" cropleft="0f" cropright="0f" croptop="0f" r:id="rId2" o:title="image1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-942974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2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&lt;NOME_DA_MÁQUINA&gt;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-330199</wp:posOffset>
              </wp:positionH>
              <wp:positionV relativeFrom="paragraph">
                <wp:posOffset>5786120</wp:posOffset>
              </wp:positionV>
              <wp:extent cx="6657975" cy="2992348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57975" cy="299234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4204014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hyperlink" Target="https://app.hackingclub.com/training/training-machines" TargetMode="External"/><Relationship Id="rId7" Type="http://schemas.openxmlformats.org/officeDocument/2006/relationships/hyperlink" Target="https://discord.com/channels/705946302105649153/1173705871046475796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