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snai0dv2ksou" w:id="2"/>
      <w:bookmarkEnd w:id="2"/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SAORI 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IBM Plex Sans SemiBold" w:cs="IBM Plex Sans SemiBold" w:eastAsia="IBM Plex Sans SemiBold" w:hAnsi="IBM Plex Sans SemiBold"/>
          <w:sz w:val="34"/>
          <w:szCs w:val="34"/>
        </w:rPr>
      </w:pPr>
      <w:bookmarkStart w:colFirst="0" w:colLast="0" w:name="_heading=h.wygo1b35jd89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4"/>
          <w:szCs w:val="34"/>
          <w:rtl w:val="0"/>
        </w:rPr>
        <w:t xml:space="preserve">Nmap Scan: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a first step, 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observed the presence of port 80 hosting a web service and port 22 corresponding to SSH. When accessing port 80 of the web service, a redirection occurs to the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saori.hc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87600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resolve this, it is necessary to map the IP address to the domain name by adding an entry to the hosts file, as demonstrated in the image below.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application again, we identified that it is a blog. Analyzing the navigation bar (navbar), we observed a button that allows downloading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downloading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verified that it is an ELF 64-bit binary. When executing it, we observed that the binary apparently performs an HTTP request to download a resource, but the operation fails.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Knowing that the binary apparently performs an HTTP request, we can use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capture and analyze the network traffic generated during the execution of the binary.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21000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analyzing the traffic, we identified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attempts to connect to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storage.saori.hc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To allow this connection, we add the subdomain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executing the client binary again and analyzing the traffic, we observed a GET request to the endpoint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/game.sfc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the request header, we identified the presence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Basic Authentication (Basic Auth)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decoding the Base64 value present in the basic authentication header, we obtained the credentials. We can use them to access the server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5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965700"/>
            <wp:effectExtent b="0" l="0" r="0" t="0"/>
            <wp:docPr id="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home directory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abner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can obtain our first flag.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executing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verified that we have permission to execute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Ghostscript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root privileges without the need to provide a password. Another relevant detail is the use of the wildcard character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/root/*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indicates a possible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path traversal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 Additionally, when executing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gs --help,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identified that the installed version of Ghostscript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10.03.0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researching vulnerabilities in Ghostscript version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10.03.0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identified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CVE-2024-29510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describes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format string exploitation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 For more information and technical details about this CVE, see the link below: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21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https://codeanlabs.com/wp-content/uploads/2024/06/CVE-2024-29510_poc_calc.eps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provided link, we found a proof of concept (PoC) that, by default, executes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gnome-calculator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We can modify the PoC code to execute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save the output to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will allow us to validate whether it is possible to execute commands within the exploit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8700"/>
            <wp:effectExtent b="0" l="0" r="0" t="0"/>
            <wp:docPr id="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5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observe that the exploit worked correctly, as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id.txt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created and, when reading it, we found the output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is worth noting that, to execute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poc.eps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 located in our home directory, we need to exploit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path traversal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to manipulate the path.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Knowing this, we can modify the command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chmod u+s /bin/bash,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which will configure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binary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permission. Thus, by executing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 -p,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will obtain a privileged shell. With this, we can retrieve the final flag.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headerReference r:id="rId28" w:type="even"/>
      <w:footerReference r:id="rId29" w:type="default"/>
      <w:footerReference r:id="rId30" w:type="first"/>
      <w:footerReference r:id="rId31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rFonts w:ascii="IBM Plex Sans" w:cs="IBM Plex Sans" w:eastAsia="IBM Plex Sans" w:hAnsi="IBM Plex Sans"/>
      </w:rPr>
    </w:pPr>
    <w:bookmarkStart w:colFirst="0" w:colLast="0" w:name="_heading=h.175f5cs94z0o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4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5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Saori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hyperlink" Target="https://codeanlabs.com/wp-content/uploads/2024/06/CVE-2024-29510_poc_calc.eps" TargetMode="External"/><Relationship Id="rId24" Type="http://schemas.openxmlformats.org/officeDocument/2006/relationships/image" Target="media/image1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1.xml"/><Relationship Id="rId25" Type="http://schemas.openxmlformats.org/officeDocument/2006/relationships/image" Target="media/image12.png"/><Relationship Id="rId28" Type="http://schemas.openxmlformats.org/officeDocument/2006/relationships/header" Target="header3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31" Type="http://schemas.openxmlformats.org/officeDocument/2006/relationships/footer" Target="footer3.xml"/><Relationship Id="rId30" Type="http://schemas.openxmlformats.org/officeDocument/2006/relationships/footer" Target="footer2.xml"/><Relationship Id="rId11" Type="http://schemas.openxmlformats.org/officeDocument/2006/relationships/image" Target="media/image1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20.png"/><Relationship Id="rId19" Type="http://schemas.openxmlformats.org/officeDocument/2006/relationships/image" Target="media/image3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xsLawJQ52Aei58WyMirT/uozSw==">CgMxLjAyDmgubWQ1eDI5eGxxOGRpMg5oLjZnanl5Znd5aXUwMjIOaC5zbmFpMGR2Mmtzb3UyDmgud3lnbzFiMzVqZDg5Mg5oLjE3NWY1Y3M5NHowbzgAciExN1pCcjhFbHpZbU1tRUEyTjNPU21PTFNualZNVFl5U0Q=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