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Obtain an affinity matrix to be compared with D’Andrea, Gibbs &amp; O’Dwyer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First, we considered every pair of trees within the 50ha forest dynamics plot (FDP) on BCI and determined whether species A and B tended to occur in close proximity (i.e. d</w:t>
      </w:r>
      <w:proofErr w:type="gramStart"/>
      <w:r w:rsidRPr="001E7990">
        <w:rPr>
          <w:rFonts w:ascii="Tenorite" w:hAnsi="Tenorite"/>
        </w:rPr>
        <w:t>_{</w:t>
      </w:r>
      <w:proofErr w:type="gramEnd"/>
      <w:r w:rsidRPr="001E7990">
        <w:rPr>
          <w:rFonts w:ascii="Tenorite" w:hAnsi="Tenorite"/>
        </w:rPr>
        <w:t xml:space="preserve">tree1, tree2} &lt; </w:t>
      </w:r>
      <w:proofErr w:type="spellStart"/>
      <w:r w:rsidRPr="001E7990">
        <w:rPr>
          <w:rFonts w:ascii="Tenorite" w:hAnsi="Tenorite"/>
        </w:rPr>
        <w:t>d_cutoff</w:t>
      </w:r>
      <w:proofErr w:type="spellEnd"/>
      <w:r w:rsidRPr="001E7990">
        <w:rPr>
          <w:rFonts w:ascii="Tenorite" w:hAnsi="Tenorite"/>
        </w:rPr>
        <w:t xml:space="preserve">)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proofErr w:type="spellStart"/>
      <w:r w:rsidRPr="001E7990">
        <w:rPr>
          <w:rFonts w:ascii="Tenorite" w:hAnsi="Tenorite"/>
          <w:i/>
          <w:iCs/>
        </w:rPr>
        <w:t>igraph</w:t>
      </w:r>
      <w:proofErr w:type="spellEnd"/>
      <w:r w:rsidRPr="001E7990">
        <w:rPr>
          <w:rFonts w:ascii="Tenorite" w:hAnsi="Tenorite"/>
        </w:rPr>
        <w:t xml:space="preserve"> to find “communities”, </w:t>
      </w:r>
      <w:proofErr w:type="gramStart"/>
      <w:r w:rsidRPr="001E7990">
        <w:rPr>
          <w:rFonts w:ascii="Tenorite" w:hAnsi="Tenorite"/>
        </w:rPr>
        <w:t>i.e.</w:t>
      </w:r>
      <w:proofErr w:type="gramEnd"/>
      <w:r w:rsidRPr="001E7990">
        <w:rPr>
          <w:rFonts w:ascii="Tenorite" w:hAnsi="Tenorite"/>
        </w:rPr>
        <w:t xml:space="preserve"> subsets of nodes that are unusually interconnected and relatively isolated from all other nodes in the network. This “community-finding” algorithm uses random walks to find these subsets (</w:t>
      </w:r>
      <w:proofErr w:type="gramStart"/>
      <w:r w:rsidRPr="001E7990">
        <w:rPr>
          <w:rFonts w:ascii="Tenorite" w:hAnsi="Tenorite"/>
        </w:rPr>
        <w:t>i.e.</w:t>
      </w:r>
      <w:proofErr w:type="gramEnd"/>
      <w:r w:rsidRPr="001E7990">
        <w:rPr>
          <w:rFonts w:ascii="Tenorite" w:hAnsi="Tenorite"/>
        </w:rPr>
        <w:t xml:space="preserve"> the notion that if you’re moving around the network randomly, you will tend to spend most of your time within the same community).</w:t>
      </w:r>
    </w:p>
    <w:p w14:paraId="31AED00B" w14:textId="6B828B9F"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proofErr w:type="spellStart"/>
      <w:r w:rsidRPr="001E7990">
        <w:rPr>
          <w:rFonts w:ascii="Tenorite" w:hAnsi="Tenorite"/>
        </w:rPr>
        <w:t>sniches</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the three distinctive strategies regarding soil resources. Upon finishing this part of the analysis, each species has </w:t>
      </w:r>
      <w:r w:rsidR="00A32FD3" w:rsidRPr="001E7990">
        <w:rPr>
          <w:rFonts w:ascii="Tenorite" w:hAnsi="Tenorite"/>
        </w:rPr>
        <w:t xml:space="preserve">a </w:t>
      </w:r>
      <w:proofErr w:type="spellStart"/>
      <w:r w:rsidRPr="001E7990">
        <w:rPr>
          <w:rFonts w:ascii="Tenorite" w:hAnsi="Tenorite"/>
        </w:rPr>
        <w:t>sniche</w:t>
      </w:r>
      <w:proofErr w:type="spellEnd"/>
      <w:r w:rsidRPr="001E7990">
        <w:rPr>
          <w:rFonts w:ascii="Tenorite" w:hAnsi="Tenorite"/>
        </w:rPr>
        <w:t xml:space="preserve"> label.</w:t>
      </w:r>
    </w:p>
    <w:p w14:paraId="79FF9501" w14:textId="529F9C36"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proofErr w:type="spellStart"/>
      <w:r w:rsidRPr="001E7990">
        <w:rPr>
          <w:rFonts w:ascii="Tenorite" w:hAnsi="Tenorite"/>
        </w:rPr>
        <w:t>sniche</w:t>
      </w:r>
      <w:proofErr w:type="spellEnd"/>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1A6B9944" w:rsidR="005D5E79" w:rsidRPr="001E7990" w:rsidRDefault="005D5E79" w:rsidP="00051346">
      <w:pPr>
        <w:pStyle w:val="ListParagraph"/>
        <w:numPr>
          <w:ilvl w:val="0"/>
          <w:numId w:val="3"/>
        </w:numPr>
        <w:rPr>
          <w:rFonts w:ascii="Tenorite" w:hAnsi="Tenorite"/>
        </w:rPr>
      </w:pPr>
      <w:r w:rsidRPr="001E7990">
        <w:rPr>
          <w:rFonts w:ascii="Tenorite" w:hAnsi="Tenorite"/>
        </w:rPr>
        <w:t>John checked that this result is also robust to using different cutoffs for the interaction distance and minimum abundance</w:t>
      </w:r>
      <w:r w:rsidR="003213D7">
        <w:rPr>
          <w:rFonts w:ascii="Tenorite" w:hAnsi="Tenorite"/>
        </w:rPr>
        <w:t xml:space="preserve">. Using distance cutoff from 2 to 40 meters, abundance threshold from 0 to 400 we consistently find three clusters, with some exceptions of 2 and 4 clusters. Upon visual inspection, the </w:t>
      </w:r>
      <w:r w:rsidR="003213D7">
        <w:rPr>
          <w:rFonts w:ascii="Tenorite" w:hAnsi="Tenorite"/>
        </w:rPr>
        <w:lastRenderedPageBreak/>
        <w:t xml:space="preserve">predicted soil landscape looks similar over a wide range of distance (10-30 m) and minimum abundance. </w:t>
      </w:r>
      <w:r w:rsidR="00467851">
        <w:rPr>
          <w:rFonts w:ascii="Tenorite" w:hAnsi="Tenorite"/>
        </w:rPr>
        <w:t>We ultimately use the parameters: distance = 10m, abundance cutoff = 50 for the following analysis.</w:t>
      </w:r>
      <w:r w:rsidRPr="001E7990">
        <w:rPr>
          <w:rFonts w:ascii="Tenorite" w:hAnsi="Tenorite"/>
        </w:rPr>
        <w:br/>
      </w:r>
    </w:p>
    <w:p w14:paraId="16E3424D" w14:textId="77777777" w:rsidR="00051346" w:rsidRPr="001E7990" w:rsidRDefault="00051346">
      <w:pPr>
        <w:rPr>
          <w:rFonts w:ascii="Tenorite" w:hAnsi="Tenorite"/>
          <w:b/>
          <w:bCs/>
        </w:rPr>
      </w:pPr>
      <w:r w:rsidRPr="001E7990">
        <w:rPr>
          <w:rFonts w:ascii="Tenorite" w:hAnsi="Tenorite"/>
          <w:b/>
          <w:bCs/>
        </w:rPr>
        <w:br w:type="page"/>
      </w:r>
    </w:p>
    <w:p w14:paraId="3857B80B" w14:textId="0DD43286" w:rsidR="005D5E79" w:rsidRPr="001E7990" w:rsidRDefault="005D5E79" w:rsidP="00051346">
      <w:pPr>
        <w:rPr>
          <w:rFonts w:ascii="Tenorite" w:hAnsi="Tenorite"/>
          <w:b/>
          <w:bCs/>
        </w:rPr>
      </w:pPr>
      <w:r w:rsidRPr="001E7990">
        <w:rPr>
          <w:rFonts w:ascii="Tenorite" w:hAnsi="Tenorite"/>
          <w:b/>
          <w:bCs/>
        </w:rPr>
        <w:lastRenderedPageBreak/>
        <w:t>Assessing whether our niches correlate with nutrient concentrations in the FDP</w:t>
      </w:r>
    </w:p>
    <w:p w14:paraId="1D4C09AA" w14:textId="20A2EA11"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niches corresponds to a bias for preferentially recruiting in sites whose local soil conditions match the </w:t>
      </w:r>
      <w:proofErr w:type="spellStart"/>
      <w:r w:rsidRPr="001E7990">
        <w:rPr>
          <w:rFonts w:ascii="Tenorite" w:hAnsi="Tenorite"/>
        </w:rPr>
        <w:t>sniche</w:t>
      </w:r>
      <w:proofErr w:type="spellEnd"/>
      <w:r w:rsidRPr="001E7990">
        <w:rPr>
          <w:rFonts w:ascii="Tenorite" w:hAnsi="Tenorite"/>
        </w:rPr>
        <w:t>.</w:t>
      </w:r>
      <w:r w:rsidR="005643FB" w:rsidRPr="001E7990">
        <w:rPr>
          <w:rFonts w:ascii="Tenorite" w:hAnsi="Tenorite"/>
        </w:rPr>
        <w:t xml:space="preserve"> In other words, we infer from the finding of three </w:t>
      </w:r>
      <w:proofErr w:type="spellStart"/>
      <w:r w:rsidR="005643FB" w:rsidRPr="001E7990">
        <w:rPr>
          <w:rFonts w:ascii="Tenorite" w:hAnsi="Tenorite"/>
        </w:rPr>
        <w:t>sniches</w:t>
      </w:r>
      <w:proofErr w:type="spellEnd"/>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C67A40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proofErr w:type="spellStart"/>
      <w:r w:rsidRPr="001E7990">
        <w:rPr>
          <w:rFonts w:ascii="Tenorite" w:hAnsi="Tenorite"/>
        </w:rPr>
        <w:t>sniche</w:t>
      </w:r>
      <w:proofErr w:type="spellEnd"/>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Dalling,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w:t>
      </w:r>
      <w:proofErr w:type="gramStart"/>
      <w:r w:rsidR="005643FB" w:rsidRPr="001E7990">
        <w:rPr>
          <w:rFonts w:ascii="Tenorite" w:hAnsi="Tenorite"/>
        </w:rPr>
        <w:t>a</w:t>
      </w:r>
      <w:proofErr w:type="gramEnd"/>
      <w:r w:rsidR="005643FB" w:rsidRPr="001E7990">
        <w:rPr>
          <w:rFonts w:ascii="Tenorite" w:hAnsi="Tenorite"/>
        </w:rPr>
        <w:t xml:space="preserve">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 xml:space="preserve">One problem we run into with this question is that both the </w:t>
      </w:r>
      <w:proofErr w:type="spellStart"/>
      <w:r w:rsidRPr="001E7990">
        <w:rPr>
          <w:rFonts w:ascii="Tenorite" w:hAnsi="Tenorite"/>
        </w:rPr>
        <w:t>soiltype</w:t>
      </w:r>
      <w:proofErr w:type="spellEnd"/>
      <w:r w:rsidRPr="001E7990">
        <w:rPr>
          <w:rFonts w:ascii="Tenorite" w:hAnsi="Tenorite"/>
        </w:rPr>
        <w:t xml:space="preserve"> raster and the nutrient raster are autocorrelated (in part because autocorrelation is assumed in the productions of both </w:t>
      </w:r>
      <w:proofErr w:type="spellStart"/>
      <w:r w:rsidRPr="001E7990">
        <w:rPr>
          <w:rFonts w:ascii="Tenorite" w:hAnsi="Tenorite"/>
        </w:rPr>
        <w:t>rasters</w:t>
      </w:r>
      <w:proofErr w:type="spellEnd"/>
      <w:r w:rsidRPr="001E7990">
        <w:rPr>
          <w:rFonts w:ascii="Tenorite" w:hAnsi="Tenorite"/>
        </w:rPr>
        <w:t xml:space="preserve">, and then used to extrapolate from discrete datapoints). The problem is that two autocorrelated </w:t>
      </w:r>
      <w:proofErr w:type="spellStart"/>
      <w:r w:rsidRPr="001E7990">
        <w:rPr>
          <w:rFonts w:ascii="Tenorite" w:hAnsi="Tenorite"/>
        </w:rPr>
        <w:t>rasters</w:t>
      </w:r>
      <w:proofErr w:type="spellEnd"/>
      <w:r w:rsidRPr="001E7990">
        <w:rPr>
          <w:rFonts w:ascii="Tenorite" w:hAnsi="Tenorite"/>
        </w:rPr>
        <w:t xml:space="preserve"> may match better than chance (here meaning expected matches between the cells of permutated versions of said </w:t>
      </w:r>
      <w:proofErr w:type="spellStart"/>
      <w:r w:rsidRPr="001E7990">
        <w:rPr>
          <w:rFonts w:ascii="Tenorite" w:hAnsi="Tenorite"/>
        </w:rPr>
        <w:t>rasters</w:t>
      </w:r>
      <w:proofErr w:type="spellEnd"/>
      <w:r w:rsidRPr="001E7990">
        <w:rPr>
          <w:rFonts w:ascii="Tenorite" w:hAnsi="Tenorite"/>
        </w:rPr>
        <w:t>)</w:t>
      </w:r>
      <w:r w:rsidR="00A126BE" w:rsidRPr="001E7990">
        <w:rPr>
          <w:rFonts w:ascii="Tenorite" w:hAnsi="Tenorite"/>
        </w:rPr>
        <w:t xml:space="preserve"> simply because both </w:t>
      </w:r>
      <w:proofErr w:type="spellStart"/>
      <w:r w:rsidR="00A126BE" w:rsidRPr="001E7990">
        <w:rPr>
          <w:rFonts w:ascii="Tenorite" w:hAnsi="Tenorite"/>
        </w:rPr>
        <w:t>rasters</w:t>
      </w:r>
      <w:proofErr w:type="spellEnd"/>
      <w:r w:rsidR="00A126BE" w:rsidRPr="001E7990">
        <w:rPr>
          <w:rFonts w:ascii="Tenorite" w:hAnsi="Tenorite"/>
        </w:rPr>
        <w:t xml:space="preserve"> tend to be blobby: it is easier to match blobs than to match small cells. One solution to this problem is to compare the match not against fully randomized </w:t>
      </w:r>
      <w:proofErr w:type="spellStart"/>
      <w:r w:rsidR="00A126BE" w:rsidRPr="001E7990">
        <w:rPr>
          <w:rFonts w:ascii="Tenorite" w:hAnsi="Tenorite"/>
        </w:rPr>
        <w:t>rasters</w:t>
      </w:r>
      <w:proofErr w:type="spellEnd"/>
      <w:r w:rsidR="00A126BE" w:rsidRPr="001E7990">
        <w:rPr>
          <w:rFonts w:ascii="Tenorite" w:hAnsi="Tenorite"/>
        </w:rPr>
        <w:t xml:space="preserve">, but against </w:t>
      </w:r>
      <w:r w:rsidR="00A126BE" w:rsidRPr="001E7990">
        <w:rPr>
          <w:rFonts w:ascii="Tenorite" w:hAnsi="Tenorite"/>
          <w:i/>
          <w:iCs/>
        </w:rPr>
        <w:t>partially randomized</w:t>
      </w:r>
      <w:r w:rsidR="00A126BE" w:rsidRPr="001E7990">
        <w:rPr>
          <w:rFonts w:ascii="Tenorite" w:hAnsi="Tenorite"/>
        </w:rPr>
        <w:t xml:space="preserve"> </w:t>
      </w:r>
      <w:proofErr w:type="spellStart"/>
      <w:r w:rsidR="00A126BE" w:rsidRPr="001E7990">
        <w:rPr>
          <w:rFonts w:ascii="Tenorite" w:hAnsi="Tenorite"/>
        </w:rPr>
        <w:t>rasters</w:t>
      </w:r>
      <w:proofErr w:type="spellEnd"/>
      <w:r w:rsidR="00A126BE" w:rsidRPr="001E7990">
        <w:rPr>
          <w:rFonts w:ascii="Tenorite" w:hAnsi="Tenorite"/>
        </w:rPr>
        <w:t xml:space="preserve">,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it is clear that soil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w:t>
      </w:r>
      <w:proofErr w:type="gramStart"/>
      <w:r w:rsidRPr="001E7990">
        <w:rPr>
          <w:rFonts w:ascii="Tenorite" w:hAnsi="Tenorite"/>
        </w:rPr>
        <w:t>i.e.</w:t>
      </w:r>
      <w:proofErr w:type="gramEnd"/>
      <w:r w:rsidRPr="001E7990">
        <w:rPr>
          <w:rFonts w:ascii="Tenorite" w:hAnsi="Tenorite"/>
        </w:rPr>
        <w:t xml:space="preserv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7268AB9E" w14:textId="0DCD3753" w:rsidR="008503F7" w:rsidRPr="001E7990" w:rsidRDefault="008503F7" w:rsidP="00051346">
      <w:pPr>
        <w:pStyle w:val="ListParagraph"/>
        <w:numPr>
          <w:ilvl w:val="0"/>
          <w:numId w:val="3"/>
        </w:numPr>
        <w:rPr>
          <w:rFonts w:ascii="Tenorite" w:hAnsi="Tenorite"/>
        </w:rPr>
      </w:pPr>
      <w:r w:rsidRPr="001E7990">
        <w:rPr>
          <w:rFonts w:ascii="Tenorite" w:hAnsi="Tenorite"/>
        </w:rPr>
        <w:lastRenderedPageBreak/>
        <w:t xml:space="preserve">By comparison, when we train the AI on partially randomized nutrient data at different scales, we see increasingly poor predictions (Fig. </w:t>
      </w:r>
      <w:r w:rsidR="002B6536" w:rsidRPr="001E7990">
        <w:rPr>
          <w:rFonts w:ascii="Tenorite" w:hAnsi="Tenorite"/>
        </w:rPr>
        <w:t>7</w:t>
      </w:r>
      <w:r w:rsidRPr="001E7990">
        <w:rPr>
          <w:rFonts w:ascii="Tenorite" w:hAnsi="Tenorite"/>
        </w:rPr>
        <w:t xml:space="preserve">) I think the fact that the better-than-chance agreement doesn’t just collapse to zero indicates that spatial autocorrelation in both the nutrient and </w:t>
      </w:r>
      <w:proofErr w:type="spellStart"/>
      <w:r w:rsidRPr="001E7990">
        <w:rPr>
          <w:rFonts w:ascii="Tenorite" w:hAnsi="Tenorite"/>
        </w:rPr>
        <w:t>soiltype</w:t>
      </w:r>
      <w:proofErr w:type="spellEnd"/>
      <w:r w:rsidRPr="001E7990">
        <w:rPr>
          <w:rFonts w:ascii="Tenorite" w:hAnsi="Tenorite"/>
        </w:rPr>
        <w:t xml:space="preserve"> data plays a role. However, the fact that we see a large drop in predictive power when randomizing at scales smaller than the blob sizes indicates that our results are not solely due to this autocorrelation.</w:t>
      </w:r>
    </w:p>
    <w:p w14:paraId="60D0D376" w14:textId="069A0E8C" w:rsidR="008503F7" w:rsidRPr="001E7990" w:rsidRDefault="008503F7" w:rsidP="00051346">
      <w:pPr>
        <w:pStyle w:val="ListParagraph"/>
        <w:numPr>
          <w:ilvl w:val="0"/>
          <w:numId w:val="3"/>
        </w:numPr>
        <w:rPr>
          <w:rFonts w:ascii="Tenorite" w:hAnsi="Tenorite"/>
        </w:rPr>
      </w:pPr>
      <w:r w:rsidRPr="001E7990">
        <w:rPr>
          <w:rFonts w:ascii="Tenorite" w:hAnsi="Tenorite"/>
        </w:rPr>
        <w:t>John also trained a neuro net on the same data, and found that … (John, please fill in here).</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Overall, these results are at once reassuring and exciting. They’re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it’s good that we are confirming that assumption post-facto.</w:t>
      </w:r>
    </w:p>
    <w:p w14:paraId="1C5BAF4C" w14:textId="0960D2BC" w:rsidR="008503F7" w:rsidRPr="001E7990" w:rsidRDefault="008503F7" w:rsidP="008503F7">
      <w:pPr>
        <w:rPr>
          <w:rFonts w:ascii="Tenorite" w:hAnsi="Tenorite"/>
        </w:rPr>
      </w:pPr>
    </w:p>
    <w:p w14:paraId="628129C5" w14:textId="48C369A4" w:rsidR="008503F7" w:rsidRPr="001E7990" w:rsidRDefault="008503F7" w:rsidP="008503F7">
      <w:pPr>
        <w:rPr>
          <w:rFonts w:ascii="Tenorite" w:hAnsi="Tenorite"/>
        </w:rPr>
      </w:pPr>
      <w:r w:rsidRPr="001E7990">
        <w:rPr>
          <w:rFonts w:ascii="Tenorite" w:hAnsi="Tenorite"/>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w:t>
      </w:r>
      <w:proofErr w:type="gramStart"/>
      <w:r w:rsidRPr="001E7990">
        <w:rPr>
          <w:rFonts w:ascii="Tenorite" w:hAnsi="Tenorite"/>
        </w:rPr>
        <w:t>fact</w:t>
      </w:r>
      <w:proofErr w:type="gramEnd"/>
      <w:r w:rsidRPr="001E7990">
        <w:rPr>
          <w:rFonts w:ascii="Tenorite" w:hAnsi="Tenorite"/>
        </w:rPr>
        <w:t xml:space="preserve"> if we didn’t find a correspondence, we should be concerned. </w:t>
      </w:r>
      <w:r w:rsidR="00847ADD" w:rsidRPr="001E7990">
        <w:rPr>
          <w:rFonts w:ascii="Tenorite" w:hAnsi="Tenorite"/>
        </w:rPr>
        <w:t>However, it would be very exciting to find that our soil types predict species traits or vice versa, because then we’d be connecting traits to niches – which I’m all about!</w:t>
      </w:r>
    </w:p>
    <w:p w14:paraId="79CB52EF" w14:textId="7777777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growth, mortality), </w:t>
      </w:r>
      <w:r w:rsidRPr="001E7990">
        <w:rPr>
          <w:rFonts w:ascii="Tenorite" w:hAnsi="Tenorite"/>
          <w:i/>
          <w:iCs/>
        </w:rPr>
        <w:t>size traits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proofErr w:type="spellStart"/>
      <w:r w:rsidRPr="001E7990">
        <w:rPr>
          <w:rFonts w:ascii="Tenorite" w:hAnsi="Tenorite"/>
        </w:rPr>
        <w:t>sniche</w:t>
      </w:r>
      <w:proofErr w:type="spellEnd"/>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We’re forced to use value imputation methods to deal with those NAs, otherwise we’d lose a lot of the 77 species in our analysis)</w:t>
      </w:r>
      <w:r w:rsidR="00936CE8" w:rsidRPr="001E7990">
        <w:rPr>
          <w:rFonts w:ascii="Tenorite" w:hAnsi="Tenorite"/>
        </w:rPr>
        <w:t xml:space="preserve">. I perform this </w:t>
      </w:r>
      <w:proofErr w:type="gramStart"/>
      <w:r w:rsidR="00936CE8" w:rsidRPr="001E7990">
        <w:rPr>
          <w:rFonts w:ascii="Tenorite" w:hAnsi="Tenorite"/>
        </w:rPr>
        <w:t>category-specific</w:t>
      </w:r>
      <w:proofErr w:type="gramEnd"/>
      <w:r w:rsidR="00936CE8" w:rsidRPr="001E7990">
        <w:rPr>
          <w:rFonts w:ascii="Tenorite" w:hAnsi="Tenorite"/>
        </w:rPr>
        <w:t xml:space="preserve"> PCA analysis for several reasons: </w:t>
      </w:r>
    </w:p>
    <w:p w14:paraId="452C8FD4" w14:textId="77777777"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proofErr w:type="spellStart"/>
      <w:r w:rsidR="00F87C50" w:rsidRPr="001E7990">
        <w:rPr>
          <w:rFonts w:ascii="Tenorite" w:hAnsi="Tenorite"/>
        </w:rPr>
        <w:t>sniche</w:t>
      </w:r>
      <w:proofErr w:type="spellEnd"/>
      <w:r w:rsidR="00F87C50" w:rsidRPr="001E7990">
        <w:rPr>
          <w:rFonts w:ascii="Tenorite" w:hAnsi="Tenorite"/>
        </w:rPr>
        <w:t xml:space="preserve">, we collapse all these measures into a single axis of leaf longevity/sturdiness. </w:t>
      </w:r>
    </w:p>
    <w:p w14:paraId="72417F08" w14:textId="523CA867" w:rsidR="00F87C50" w:rsidRPr="001E7990" w:rsidRDefault="00F87C50" w:rsidP="00936CE8">
      <w:pPr>
        <w:pStyle w:val="ListParagraph"/>
        <w:numPr>
          <w:ilvl w:val="1"/>
          <w:numId w:val="4"/>
        </w:numPr>
        <w:rPr>
          <w:rFonts w:ascii="Tenorite" w:hAnsi="Tenorite"/>
        </w:rPr>
      </w:pPr>
      <w:r w:rsidRPr="001E7990">
        <w:rPr>
          <w:rFonts w:ascii="Tenorite" w:hAnsi="Tenorite"/>
        </w:rPr>
        <w:t>Most of the traits are strongly correlated (Fig. 8)</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08723727"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(Fig. </w:t>
      </w:r>
      <w:r w:rsidR="00F87C50" w:rsidRPr="001E7990">
        <w:rPr>
          <w:rFonts w:ascii="Tenorite" w:hAnsi="Tenorite"/>
        </w:rPr>
        <w:t>9</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proofErr w:type="spellStart"/>
      <w:r w:rsidRPr="001E7990">
        <w:rPr>
          <w:rFonts w:ascii="Tenorite" w:hAnsi="Tenorite"/>
          <w:i/>
          <w:iCs/>
        </w:rPr>
        <w:t>sniche</w:t>
      </w:r>
      <w:proofErr w:type="spellEnd"/>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I’m getting suggest that </w:t>
      </w:r>
      <w:proofErr w:type="spellStart"/>
      <w:r w:rsidR="003B0E58" w:rsidRPr="001E7990">
        <w:rPr>
          <w:rFonts w:ascii="Tenorite" w:hAnsi="Tenorite"/>
        </w:rPr>
        <w:t>sniches</w:t>
      </w:r>
      <w:proofErr w:type="spellEnd"/>
      <w:r w:rsidR="003B0E58" w:rsidRPr="001E7990">
        <w:rPr>
          <w:rFonts w:ascii="Tenorite" w:hAnsi="Tenorite"/>
        </w:rPr>
        <w:t xml:space="preserve"> 1 and 2 differ mostly by vital rates, in that </w:t>
      </w:r>
      <w:proofErr w:type="spellStart"/>
      <w:r w:rsidR="003B0E58" w:rsidRPr="001E7990">
        <w:rPr>
          <w:rFonts w:ascii="Tenorite" w:hAnsi="Tenorite"/>
        </w:rPr>
        <w:t>sniche</w:t>
      </w:r>
      <w:proofErr w:type="spellEnd"/>
      <w:r w:rsidR="003B0E58" w:rsidRPr="001E7990">
        <w:rPr>
          <w:rFonts w:ascii="Tenorite" w:hAnsi="Tenorite"/>
        </w:rPr>
        <w:t xml:space="preserve"> 1 is the slow-and-steady strategy while </w:t>
      </w:r>
      <w:proofErr w:type="spellStart"/>
      <w:r w:rsidR="003B0E58" w:rsidRPr="001E7990">
        <w:rPr>
          <w:rFonts w:ascii="Tenorite" w:hAnsi="Tenorite"/>
        </w:rPr>
        <w:t>sniche</w:t>
      </w:r>
      <w:proofErr w:type="spellEnd"/>
      <w:r w:rsidR="003B0E58" w:rsidRPr="001E7990">
        <w:rPr>
          <w:rFonts w:ascii="Tenorite" w:hAnsi="Tenorite"/>
        </w:rPr>
        <w:t xml:space="preserve"> 2 is the live-fast-die-young strategy. </w:t>
      </w:r>
      <w:proofErr w:type="spellStart"/>
      <w:r w:rsidR="003B0E58" w:rsidRPr="001E7990">
        <w:rPr>
          <w:rFonts w:ascii="Tenorite" w:hAnsi="Tenorite"/>
        </w:rPr>
        <w:t>Sniche</w:t>
      </w:r>
      <w:proofErr w:type="spellEnd"/>
      <w:r w:rsidR="003B0E58" w:rsidRPr="001E7990">
        <w:rPr>
          <w:rFonts w:ascii="Tenorite" w:hAnsi="Tenorite"/>
        </w:rPr>
        <w:t xml:space="preserve"> 3 is a bit more subtle, with similar vital rates as </w:t>
      </w:r>
      <w:proofErr w:type="spellStart"/>
      <w:r w:rsidR="003B0E58" w:rsidRPr="001E7990">
        <w:rPr>
          <w:rFonts w:ascii="Tenorite" w:hAnsi="Tenorite"/>
        </w:rPr>
        <w:t>sniche</w:t>
      </w:r>
      <w:proofErr w:type="spellEnd"/>
      <w:r w:rsidR="003B0E58" w:rsidRPr="001E7990">
        <w:rPr>
          <w:rFonts w:ascii="Tenorite" w:hAnsi="Tenorite"/>
        </w:rPr>
        <w:t xml:space="preserve"> 1 but lower leaf density and higher seed size. (Fig. </w:t>
      </w:r>
      <w:r w:rsidR="00F50FA4" w:rsidRPr="001E7990">
        <w:rPr>
          <w:rFonts w:ascii="Tenorite" w:hAnsi="Tenorite"/>
        </w:rPr>
        <w:t>10</w:t>
      </w:r>
      <w:r w:rsidR="003B0E58" w:rsidRPr="001E7990">
        <w:rPr>
          <w:rFonts w:ascii="Tenorite" w:hAnsi="Tenorite"/>
        </w:rPr>
        <w:t>)</w:t>
      </w:r>
    </w:p>
    <w:p w14:paraId="1F80B898" w14:textId="0F7F689E" w:rsidR="003B0E58" w:rsidRPr="001E7990" w:rsidRDefault="00F50FA4" w:rsidP="008503F7">
      <w:pPr>
        <w:pStyle w:val="ListParagraph"/>
        <w:numPr>
          <w:ilvl w:val="0"/>
          <w:numId w:val="4"/>
        </w:numPr>
        <w:rPr>
          <w:rFonts w:ascii="Tenorite" w:hAnsi="Tenorite"/>
        </w:rPr>
      </w:pPr>
      <w:r w:rsidRPr="001E7990">
        <w:rPr>
          <w:rFonts w:ascii="Tenorite" w:hAnsi="Tenorite"/>
        </w:rPr>
        <w:t>One big</w:t>
      </w:r>
      <w:r w:rsidR="003B0E58" w:rsidRPr="001E7990">
        <w:rPr>
          <w:rFonts w:ascii="Tenorite" w:hAnsi="Tenorite"/>
        </w:rPr>
        <w:t xml:space="preserve"> achievement of this analysis would be to connect it to the nutrient analysis in a way that makes sense. </w:t>
      </w:r>
      <w:proofErr w:type="gramStart"/>
      <w:r w:rsidR="003B0E58" w:rsidRPr="001E7990">
        <w:rPr>
          <w:rFonts w:ascii="Tenorite" w:hAnsi="Tenorite"/>
        </w:rPr>
        <w:t>So</w:t>
      </w:r>
      <w:proofErr w:type="gramEnd"/>
      <w:r w:rsidR="003B0E58" w:rsidRPr="001E7990">
        <w:rPr>
          <w:rFonts w:ascii="Tenorite" w:hAnsi="Tenorite"/>
        </w:rPr>
        <w:t xml:space="preserve">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can’t say I understand this. Would be interesting to hear Jim </w:t>
      </w:r>
      <w:proofErr w:type="spellStart"/>
      <w:r w:rsidR="003B0E58" w:rsidRPr="001E7990">
        <w:rPr>
          <w:rFonts w:ascii="Tenorite" w:hAnsi="Tenorite"/>
        </w:rPr>
        <w:t>Dalling’s</w:t>
      </w:r>
      <w:proofErr w:type="spellEnd"/>
      <w:r w:rsidR="003B0E58" w:rsidRPr="001E7990">
        <w:rPr>
          <w:rFonts w:ascii="Tenorite" w:hAnsi="Tenorite"/>
        </w:rPr>
        <w:t xml:space="preserve"> or Joe Wright’s opinion.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The affinity matrix – putting our results in the context of D’Andrea et al PCB 2020</w:t>
      </w:r>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Assuming the above results indicate that we are finding meaningful niches on BCI, and treating each putative soil type as a resource, we can then put together a 77 x 3 affinity matrix </w:t>
      </w:r>
      <w:proofErr w:type="spellStart"/>
      <w:r w:rsidRPr="001E7990">
        <w:rPr>
          <w:rFonts w:ascii="Tenorite" w:hAnsi="Tenorite"/>
        </w:rPr>
        <w:t>Cij</w:t>
      </w:r>
      <w:proofErr w:type="spellEnd"/>
      <w:r w:rsidRPr="001E7990">
        <w:rPr>
          <w:rFonts w:ascii="Tenorite" w:hAnsi="Tenorite"/>
        </w:rPr>
        <w:t xml:space="preserve"> quantifying the degree of preference of each species for each soil type. </w:t>
      </w:r>
    </w:p>
    <w:p w14:paraId="3D16826B" w14:textId="42EB0BC6"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w:t>
      </w:r>
      <w:proofErr w:type="spellStart"/>
      <w:r w:rsidRPr="001E7990">
        <w:rPr>
          <w:rFonts w:ascii="Tenorite" w:hAnsi="Tenorite"/>
        </w:rPr>
        <w:t>Cij</w:t>
      </w:r>
      <w:proofErr w:type="spellEnd"/>
      <w:r w:rsidRPr="001E7990">
        <w:rPr>
          <w:rFonts w:ascii="Tenorite" w:hAnsi="Tenorite"/>
        </w:rPr>
        <w:t xml:space="preserve"> as the proportion of trees of species </w:t>
      </w:r>
      <w:proofErr w:type="spellStart"/>
      <w:r w:rsidRPr="001E7990">
        <w:rPr>
          <w:rFonts w:ascii="Tenorite" w:hAnsi="Tenorite"/>
        </w:rPr>
        <w:t>i</w:t>
      </w:r>
      <w:proofErr w:type="spellEnd"/>
      <w:r w:rsidRPr="001E7990">
        <w:rPr>
          <w:rFonts w:ascii="Tenorite" w:hAnsi="Tenorite"/>
        </w:rPr>
        <w:t xml:space="preserve">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w:t>
      </w:r>
      <w:proofErr w:type="spellStart"/>
      <w:r w:rsidR="008D6A60" w:rsidRPr="001E7990">
        <w:rPr>
          <w:rFonts w:ascii="Tenorite" w:hAnsi="Tenorite"/>
        </w:rPr>
        <w:t>i</w:t>
      </w:r>
      <w:proofErr w:type="spellEnd"/>
      <w:r w:rsidR="008D6A60" w:rsidRPr="001E7990">
        <w:rPr>
          <w:rFonts w:ascii="Tenorite" w:hAnsi="Tenorite"/>
        </w:rPr>
        <w:t xml:space="preserve">. This gives the matrix plotted in Fig. </w:t>
      </w:r>
      <w:r w:rsidR="00F50FA4" w:rsidRPr="001E7990">
        <w:rPr>
          <w:rFonts w:ascii="Tenorite" w:hAnsi="Tenorite"/>
        </w:rPr>
        <w:t>11</w:t>
      </w:r>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D’Andrea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xml:space="preserve">, where the </w:t>
      </w:r>
      <w:proofErr w:type="spellStart"/>
      <w:r w:rsidRPr="001E7990">
        <w:rPr>
          <w:rFonts w:ascii="Tenorite" w:hAnsi="Tenorite"/>
        </w:rPr>
        <w:t>Cij</w:t>
      </w:r>
      <w:proofErr w:type="spellEnd"/>
      <w:r w:rsidRPr="001E7990">
        <w:rPr>
          <w:rFonts w:ascii="Tenorite" w:hAnsi="Tenorite"/>
        </w:rPr>
        <w:t xml:space="preserve">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w:t>
      </w:r>
      <w:proofErr w:type="spellStart"/>
      <w:r w:rsidRPr="001E7990">
        <w:rPr>
          <w:rFonts w:ascii="Tenorite" w:hAnsi="Tenorite"/>
        </w:rPr>
        <w:t>Cij</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we’d conclude that the PCB paper would predict neutral-like behavior on BCI based on our estimated Cd and Co, which is indeed the case.    </w:t>
      </w:r>
    </w:p>
    <w:p w14:paraId="4A3824D0" w14:textId="28EF6F02" w:rsidR="008D6A60" w:rsidRPr="001E7990" w:rsidRDefault="008D6A60" w:rsidP="008D6A60">
      <w:pPr>
        <w:rPr>
          <w:rFonts w:ascii="Tenorite" w:hAnsi="Tenorite"/>
        </w:rPr>
      </w:pP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t xml:space="preserve">I think the results reported above make for a publishable paper. I would be very interested to hear James’s feedback, and eventually once we’re more confident about the </w:t>
      </w:r>
      <w:r w:rsidR="008B6F5F" w:rsidRPr="001E7990">
        <w:rPr>
          <w:rFonts w:ascii="Tenorite" w:hAnsi="Tenorite"/>
        </w:rPr>
        <w:t>actuality of these results, run them by Joe Wright and Jim Dalling.</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Dalling has looked at whether edaphic measures are correlated with spatial distribution of trees on BCI, but as far as I can tell not to this degree of detail of associating specific species to specific soil conditions. Methodologically, I don’t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08B1D799" w14:textId="77777777" w:rsidR="00BB48EA" w:rsidRPr="001E7990" w:rsidRDefault="00BB48EA">
      <w:pPr>
        <w:rPr>
          <w:rFonts w:ascii="Tenorite Display" w:eastAsiaTheme="majorEastAsia" w:hAnsi="Tenorite Display" w:cstheme="majorBidi"/>
          <w:sz w:val="32"/>
          <w:szCs w:val="32"/>
        </w:rPr>
      </w:pPr>
      <w:r w:rsidRPr="001E7990">
        <w:rPr>
          <w:rFonts w:ascii="Tenorite Display" w:hAnsi="Tenorite Display"/>
        </w:rPr>
        <w:br w:type="page"/>
      </w:r>
    </w:p>
    <w:p w14:paraId="76A2EB45" w14:textId="6C310FD9"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rPr>
          <w:noProof/>
        </w:rPr>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32835"/>
                    </a:xfrm>
                    <a:prstGeom prst="rect">
                      <a:avLst/>
                    </a:prstGeom>
                  </pic:spPr>
                </pic:pic>
              </a:graphicData>
            </a:graphic>
          </wp:inline>
        </w:drawing>
      </w:r>
    </w:p>
    <w:p w14:paraId="0D46830F" w14:textId="1F83AE91" w:rsidR="00644867" w:rsidRPr="00F51E31" w:rsidRDefault="00BB48EA" w:rsidP="00BB48EA">
      <w:pPr>
        <w:pStyle w:val="Caption"/>
        <w:rPr>
          <w:rFonts w:ascii="Tenorite" w:hAnsi="Tenorite"/>
          <w:i w:val="0"/>
          <w:iCs w:val="0"/>
          <w:color w:val="auto"/>
          <w:sz w:val="22"/>
          <w:szCs w:val="22"/>
        </w:rPr>
      </w:pPr>
      <w:r w:rsidRPr="00F51E31">
        <w:rPr>
          <w:rFonts w:ascii="Tenorite" w:hAnsi="Tenorite"/>
          <w:i w:val="0"/>
          <w:iCs w:val="0"/>
          <w:color w:val="auto"/>
          <w:sz w:val="22"/>
          <w:szCs w:val="22"/>
        </w:rPr>
        <w:t xml:space="preserve">Figure </w:t>
      </w:r>
      <w:r w:rsidRPr="00F51E31">
        <w:rPr>
          <w:rFonts w:ascii="Tenorite" w:hAnsi="Tenorite"/>
          <w:i w:val="0"/>
          <w:iCs w:val="0"/>
          <w:color w:val="auto"/>
          <w:sz w:val="22"/>
          <w:szCs w:val="22"/>
        </w:rPr>
        <w:fldChar w:fldCharType="begin"/>
      </w:r>
      <w:r w:rsidRPr="00F51E31">
        <w:rPr>
          <w:rFonts w:ascii="Tenorite" w:hAnsi="Tenorite"/>
          <w:i w:val="0"/>
          <w:iCs w:val="0"/>
          <w:color w:val="auto"/>
          <w:sz w:val="22"/>
          <w:szCs w:val="22"/>
        </w:rPr>
        <w:instrText xml:space="preserve"> SEQ Figure \* ARABIC </w:instrText>
      </w:r>
      <w:r w:rsidRPr="00F51E31">
        <w:rPr>
          <w:rFonts w:ascii="Tenorite" w:hAnsi="Tenorite"/>
          <w:i w:val="0"/>
          <w:iCs w:val="0"/>
          <w:color w:val="auto"/>
          <w:sz w:val="22"/>
          <w:szCs w:val="22"/>
        </w:rPr>
        <w:fldChar w:fldCharType="separate"/>
      </w:r>
      <w:r w:rsidR="001E7990" w:rsidRPr="00F51E31">
        <w:rPr>
          <w:rFonts w:ascii="Tenorite" w:hAnsi="Tenorite"/>
          <w:i w:val="0"/>
          <w:iCs w:val="0"/>
          <w:noProof/>
          <w:color w:val="auto"/>
          <w:sz w:val="22"/>
          <w:szCs w:val="22"/>
        </w:rPr>
        <w:t>1</w:t>
      </w:r>
      <w:r w:rsidRPr="00F51E31">
        <w:rPr>
          <w:rFonts w:ascii="Tenorite" w:hAnsi="Tenorite"/>
          <w:i w:val="0"/>
          <w:iCs w:val="0"/>
          <w:color w:val="auto"/>
          <w:sz w:val="22"/>
          <w:szCs w:val="22"/>
        </w:rPr>
        <w:fldChar w:fldCharType="end"/>
      </w:r>
      <w:r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Top left: BCI </w:t>
      </w:r>
      <w:r w:rsidR="0018540F" w:rsidRPr="00F51E31">
        <w:rPr>
          <w:rFonts w:ascii="Tenorite" w:hAnsi="Tenorite"/>
          <w:i w:val="0"/>
          <w:iCs w:val="0"/>
          <w:color w:val="auto"/>
          <w:sz w:val="22"/>
          <w:szCs w:val="22"/>
        </w:rPr>
        <w:t xml:space="preserve">FDP </w:t>
      </w:r>
      <w:r w:rsidR="001E7990" w:rsidRPr="00F51E31">
        <w:rPr>
          <w:rFonts w:ascii="Tenorite" w:hAnsi="Tenorite"/>
          <w:i w:val="0"/>
          <w:iCs w:val="0"/>
          <w:color w:val="auto"/>
          <w:sz w:val="22"/>
          <w:szCs w:val="22"/>
        </w:rPr>
        <w:t xml:space="preserve">species organized by </w:t>
      </w:r>
      <w:proofErr w:type="spellStart"/>
      <w:r w:rsidR="001E7990" w:rsidRPr="00F51E31">
        <w:rPr>
          <w:rFonts w:ascii="Tenorite" w:hAnsi="Tenorite"/>
          <w:i w:val="0"/>
          <w:iCs w:val="0"/>
          <w:color w:val="auto"/>
          <w:sz w:val="22"/>
          <w:szCs w:val="22"/>
        </w:rPr>
        <w:t>snich</w:t>
      </w:r>
      <w:r w:rsidR="0018540F" w:rsidRPr="00F51E31">
        <w:rPr>
          <w:rFonts w:ascii="Tenorite" w:hAnsi="Tenorite"/>
          <w:i w:val="0"/>
          <w:iCs w:val="0"/>
          <w:color w:val="auto"/>
          <w:sz w:val="22"/>
          <w:szCs w:val="22"/>
        </w:rPr>
        <w:t>e</w:t>
      </w:r>
      <w:proofErr w:type="spellEnd"/>
      <w:r w:rsidR="0018540F" w:rsidRPr="00F51E31">
        <w:rPr>
          <w:rFonts w:ascii="Tenorite" w:hAnsi="Tenorite"/>
          <w:i w:val="0"/>
          <w:iCs w:val="0"/>
          <w:color w:val="auto"/>
          <w:sz w:val="22"/>
          <w:szCs w:val="22"/>
        </w:rPr>
        <w:t>. Dark pixels indicate the species pair appears in close proximity more often than chance</w:t>
      </w:r>
      <w:r w:rsidR="001E7990" w:rsidRPr="00F51E31">
        <w:rPr>
          <w:rFonts w:ascii="Tenorite" w:hAnsi="Tenorite"/>
          <w:i w:val="0"/>
          <w:iCs w:val="0"/>
          <w:color w:val="auto"/>
          <w:sz w:val="22"/>
          <w:szCs w:val="22"/>
        </w:rPr>
        <w:t xml:space="preserve">. Top right: </w:t>
      </w:r>
      <w:r w:rsidR="0018540F" w:rsidRPr="00F51E31">
        <w:rPr>
          <w:rFonts w:ascii="Tenorite" w:hAnsi="Tenorite"/>
          <w:i w:val="0"/>
          <w:iCs w:val="0"/>
          <w:color w:val="auto"/>
          <w:sz w:val="22"/>
          <w:szCs w:val="22"/>
        </w:rPr>
        <w:t xml:space="preserve">same information </w:t>
      </w:r>
      <w:r w:rsidR="001E7990" w:rsidRPr="00F51E31">
        <w:rPr>
          <w:rFonts w:ascii="Tenorite" w:hAnsi="Tenorite"/>
          <w:i w:val="0"/>
          <w:iCs w:val="0"/>
          <w:color w:val="auto"/>
          <w:sz w:val="22"/>
          <w:szCs w:val="22"/>
        </w:rPr>
        <w:t>represented as a graph</w:t>
      </w:r>
      <w:r w:rsidR="0018540F" w:rsidRPr="00F51E31">
        <w:rPr>
          <w:rFonts w:ascii="Tenorite" w:hAnsi="Tenorite"/>
          <w:i w:val="0"/>
          <w:iCs w:val="0"/>
          <w:color w:val="auto"/>
          <w:sz w:val="22"/>
          <w:szCs w:val="22"/>
        </w:rPr>
        <w:t xml:space="preserve">, with the </w:t>
      </w:r>
      <w:proofErr w:type="spellStart"/>
      <w:r w:rsidR="0018540F" w:rsidRPr="00F51E31">
        <w:rPr>
          <w:rFonts w:ascii="Tenorite" w:hAnsi="Tenorite"/>
          <w:i w:val="0"/>
          <w:iCs w:val="0"/>
          <w:color w:val="auto"/>
          <w:sz w:val="22"/>
          <w:szCs w:val="22"/>
        </w:rPr>
        <w:t>sniches</w:t>
      </w:r>
      <w:proofErr w:type="spellEnd"/>
      <w:r w:rsidR="0018540F" w:rsidRPr="00F51E31">
        <w:rPr>
          <w:rFonts w:ascii="Tenorite" w:hAnsi="Tenorite"/>
          <w:i w:val="0"/>
          <w:iCs w:val="0"/>
          <w:color w:val="auto"/>
          <w:sz w:val="22"/>
          <w:szCs w:val="22"/>
        </w:rPr>
        <w:t xml:space="preserve"> represented as colored blobs. Bottom: geographic distribution of the FDP species, colored by </w:t>
      </w:r>
      <w:proofErr w:type="spellStart"/>
      <w:r w:rsidR="0018540F" w:rsidRPr="00F51E31">
        <w:rPr>
          <w:rFonts w:ascii="Tenorite" w:hAnsi="Tenorite"/>
          <w:i w:val="0"/>
          <w:iCs w:val="0"/>
          <w:color w:val="auto"/>
          <w:sz w:val="22"/>
          <w:szCs w:val="22"/>
        </w:rPr>
        <w:t>sniche</w:t>
      </w:r>
      <w:proofErr w:type="spellEnd"/>
      <w:r w:rsidR="0018540F"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w:t>
      </w:r>
    </w:p>
    <w:p w14:paraId="7E7B354A" w14:textId="0FAE423E" w:rsidR="00BB48EA" w:rsidRPr="00F51E31" w:rsidRDefault="002B6536" w:rsidP="00BB48EA">
      <w:pPr>
        <w:keepNext/>
        <w:rPr>
          <w:sz w:val="28"/>
          <w:szCs w:val="28"/>
        </w:rPr>
      </w:pPr>
      <w:r w:rsidRPr="00F51E31">
        <w:rPr>
          <w:noProof/>
          <w:sz w:val="28"/>
          <w:szCs w:val="28"/>
        </w:rPr>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C21FCAD" w14:textId="47E04987" w:rsidR="00BB48EA" w:rsidRPr="00F51E31" w:rsidRDefault="00BB48EA" w:rsidP="00BB48EA">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fldChar w:fldCharType="begin"/>
      </w:r>
      <w:r w:rsidRPr="00F51E31">
        <w:rPr>
          <w:i w:val="0"/>
          <w:iCs w:val="0"/>
          <w:color w:val="auto"/>
          <w:sz w:val="22"/>
          <w:szCs w:val="22"/>
        </w:rPr>
        <w:instrText xml:space="preserve"> SEQ Figure \* ARABIC </w:instrText>
      </w:r>
      <w:r w:rsidRPr="00F51E31">
        <w:rPr>
          <w:i w:val="0"/>
          <w:iCs w:val="0"/>
          <w:color w:val="auto"/>
          <w:sz w:val="22"/>
          <w:szCs w:val="22"/>
        </w:rPr>
        <w:fldChar w:fldCharType="separate"/>
      </w:r>
      <w:r w:rsidR="001E7990" w:rsidRPr="00F51E31">
        <w:rPr>
          <w:i w:val="0"/>
          <w:iCs w:val="0"/>
          <w:noProof/>
          <w:color w:val="auto"/>
          <w:sz w:val="22"/>
          <w:szCs w:val="22"/>
        </w:rPr>
        <w:t>2</w:t>
      </w:r>
      <w:r w:rsidRPr="00F51E31">
        <w:rPr>
          <w:i w:val="0"/>
          <w:iCs w:val="0"/>
          <w:color w:val="auto"/>
          <w:sz w:val="22"/>
          <w:szCs w:val="22"/>
        </w:rPr>
        <w:fldChar w:fldCharType="end"/>
      </w:r>
      <w:r w:rsidR="0018540F" w:rsidRPr="00F51E31">
        <w:rPr>
          <w:i w:val="0"/>
          <w:iCs w:val="0"/>
          <w:color w:val="auto"/>
          <w:sz w:val="22"/>
          <w:szCs w:val="22"/>
        </w:rPr>
        <w:t xml:space="preserve">. Top: Raster showing areas with each of the three soil types. Bottom: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estimated local probability of each soil type across the FDP.</w:t>
      </w:r>
    </w:p>
    <w:p w14:paraId="39076817" w14:textId="77777777" w:rsidR="0018540F" w:rsidRPr="00F51E31" w:rsidRDefault="0018540F">
      <w:pPr>
        <w:rPr>
          <w:sz w:val="28"/>
          <w:szCs w:val="28"/>
        </w:rPr>
      </w:pPr>
      <w:r w:rsidRPr="00F51E31">
        <w:rPr>
          <w:sz w:val="28"/>
          <w:szCs w:val="28"/>
        </w:rPr>
        <w:br w:type="page"/>
      </w:r>
    </w:p>
    <w:p w14:paraId="3820293B" w14:textId="453262DC" w:rsidR="00BB48EA" w:rsidRPr="00F51E31" w:rsidRDefault="000F5640" w:rsidP="00BB48EA">
      <w:pPr>
        <w:keepNext/>
        <w:rPr>
          <w:sz w:val="28"/>
          <w:szCs w:val="28"/>
        </w:rPr>
      </w:pPr>
      <w:r w:rsidRPr="00F51E31">
        <w:rPr>
          <w:noProof/>
          <w:sz w:val="28"/>
          <w:szCs w:val="28"/>
        </w:rPr>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4EB81342" w14:textId="0880E0A7" w:rsidR="000F5640" w:rsidRPr="00F51E31" w:rsidRDefault="00BB48EA"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3</w:t>
      </w:r>
      <w:r w:rsidR="0018540F" w:rsidRPr="00F51E31">
        <w:rPr>
          <w:i w:val="0"/>
          <w:iCs w:val="0"/>
          <w:color w:val="auto"/>
          <w:sz w:val="22"/>
          <w:szCs w:val="22"/>
        </w:rPr>
        <w:t>. Illustration of the partial randomization process used to create null data to train the C5.0 classifier. Panels show different scales of randomization, such that the spatial autocorrelation is maintained at greater distances than that scale.</w:t>
      </w:r>
    </w:p>
    <w:p w14:paraId="08D584D2" w14:textId="77777777" w:rsidR="0018540F" w:rsidRPr="00F51E31" w:rsidRDefault="0018540F">
      <w:pPr>
        <w:rPr>
          <w:sz w:val="28"/>
          <w:szCs w:val="28"/>
        </w:rPr>
      </w:pPr>
      <w:r w:rsidRPr="00F51E31">
        <w:rPr>
          <w:sz w:val="28"/>
          <w:szCs w:val="28"/>
        </w:rPr>
        <w:br w:type="page"/>
      </w:r>
    </w:p>
    <w:p w14:paraId="73D5D37E" w14:textId="13A0547A" w:rsidR="000F5640" w:rsidRPr="00F51E31" w:rsidRDefault="0068398E" w:rsidP="000F5640">
      <w:pPr>
        <w:keepNext/>
        <w:rPr>
          <w:sz w:val="28"/>
          <w:szCs w:val="28"/>
        </w:rPr>
      </w:pPr>
      <w:r w:rsidRPr="00F51E31">
        <w:rPr>
          <w:noProof/>
          <w:sz w:val="28"/>
          <w:szCs w:val="28"/>
        </w:rPr>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22420"/>
                    </a:xfrm>
                    <a:prstGeom prst="rect">
                      <a:avLst/>
                    </a:prstGeom>
                  </pic:spPr>
                </pic:pic>
              </a:graphicData>
            </a:graphic>
          </wp:inline>
        </w:drawing>
      </w:r>
    </w:p>
    <w:p w14:paraId="60D2ACDF" w14:textId="1FA39042" w:rsidR="00BB48EA" w:rsidRPr="00F51E31" w:rsidRDefault="000F5640" w:rsidP="000F5640">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4</w:t>
      </w:r>
      <w:r w:rsidR="0018540F" w:rsidRPr="00F51E31">
        <w:rPr>
          <w:i w:val="0"/>
          <w:iCs w:val="0"/>
          <w:color w:val="auto"/>
          <w:sz w:val="22"/>
          <w:szCs w:val="22"/>
        </w:rPr>
        <w:t xml:space="preserve">.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spatial distribution of each nutrient on the FDP.</w:t>
      </w:r>
    </w:p>
    <w:p w14:paraId="04E72420" w14:textId="77777777" w:rsidR="0018540F" w:rsidRPr="00F51E31" w:rsidRDefault="0018540F">
      <w:pPr>
        <w:rPr>
          <w:sz w:val="28"/>
          <w:szCs w:val="28"/>
        </w:rPr>
      </w:pPr>
      <w:r w:rsidRPr="00F51E31">
        <w:rPr>
          <w:sz w:val="28"/>
          <w:szCs w:val="28"/>
        </w:rPr>
        <w:br w:type="page"/>
      </w:r>
    </w:p>
    <w:p w14:paraId="7C486650" w14:textId="53372083" w:rsidR="0068398E" w:rsidRPr="00F51E31" w:rsidRDefault="0068398E" w:rsidP="0068398E">
      <w:pPr>
        <w:keepNext/>
        <w:rPr>
          <w:sz w:val="28"/>
          <w:szCs w:val="28"/>
        </w:rPr>
      </w:pPr>
      <w:r w:rsidRPr="00F51E31">
        <w:rPr>
          <w:noProof/>
          <w:sz w:val="28"/>
          <w:szCs w:val="28"/>
        </w:rPr>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22420"/>
                    </a:xfrm>
                    <a:prstGeom prst="rect">
                      <a:avLst/>
                    </a:prstGeom>
                  </pic:spPr>
                </pic:pic>
              </a:graphicData>
            </a:graphic>
          </wp:inline>
        </w:drawing>
      </w:r>
    </w:p>
    <w:p w14:paraId="12D8DBE9" w14:textId="66FC5F42" w:rsidR="00BB48EA" w:rsidRPr="00F51E31" w:rsidRDefault="0068398E"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5</w:t>
      </w:r>
      <w:r w:rsidR="0018540F" w:rsidRPr="00F51E31">
        <w:rPr>
          <w:i w:val="0"/>
          <w:iCs w:val="0"/>
          <w:color w:val="auto"/>
          <w:sz w:val="22"/>
          <w:szCs w:val="22"/>
        </w:rPr>
        <w:t xml:space="preserve">. Representation of the nutrient concentration by the first two principal components. Each point represents a 20mx20m quadrat, colored by the local nutrient concentration. We see a clear separation between areas of the plot, and also substantial correlation between concentrations of different nutrients.  </w:t>
      </w:r>
    </w:p>
    <w:p w14:paraId="6D881C58" w14:textId="77777777" w:rsidR="0018540F" w:rsidRPr="00F51E31" w:rsidRDefault="0018540F">
      <w:pPr>
        <w:rPr>
          <w:sz w:val="28"/>
          <w:szCs w:val="28"/>
        </w:rPr>
      </w:pPr>
      <w:r w:rsidRPr="00F51E31">
        <w:rPr>
          <w:sz w:val="28"/>
          <w:szCs w:val="28"/>
        </w:rPr>
        <w:br w:type="page"/>
      </w:r>
    </w:p>
    <w:p w14:paraId="34F94FE9" w14:textId="5B7B6F9D" w:rsidR="0018540F" w:rsidRPr="00F51E31" w:rsidRDefault="0018540F">
      <w:pPr>
        <w:rPr>
          <w:sz w:val="28"/>
          <w:szCs w:val="28"/>
        </w:rPr>
      </w:pPr>
    </w:p>
    <w:p w14:paraId="1C9C601E" w14:textId="19B44CF7" w:rsidR="0068398E" w:rsidRPr="00F51E31" w:rsidRDefault="0068398E" w:rsidP="00F51E31">
      <w:pPr>
        <w:keepNext/>
        <w:jc w:val="center"/>
        <w:rPr>
          <w:sz w:val="28"/>
          <w:szCs w:val="28"/>
        </w:rPr>
      </w:pPr>
      <w:r w:rsidRPr="00F51E31">
        <w:rPr>
          <w:noProof/>
          <w:sz w:val="28"/>
          <w:szCs w:val="28"/>
        </w:rPr>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03" cy="2746358"/>
                    </a:xfrm>
                    <a:prstGeom prst="rect">
                      <a:avLst/>
                    </a:prstGeom>
                  </pic:spPr>
                </pic:pic>
              </a:graphicData>
            </a:graphic>
          </wp:inline>
        </w:drawing>
      </w:r>
    </w:p>
    <w:p w14:paraId="259AB681" w14:textId="4AC1D605" w:rsidR="0018540F" w:rsidRPr="00F51E31" w:rsidRDefault="0068398E" w:rsidP="0018540F">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6</w:t>
      </w:r>
      <w:r w:rsidR="0018540F" w:rsidRPr="00F51E31">
        <w:rPr>
          <w:i w:val="0"/>
          <w:iCs w:val="0"/>
          <w:color w:val="auto"/>
          <w:sz w:val="22"/>
          <w:szCs w:val="22"/>
        </w:rPr>
        <w:t xml:space="preserve">. Same as Fig. 5, but with colors representing the quadrats’ respective soil type as per Fig. 2 (top). We see a clear link to nutrient concentration.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1 is associated with high organic N and P,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2 with low nutrient areas, and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3 with high nutrient areas.</w:t>
      </w:r>
    </w:p>
    <w:p w14:paraId="3F0AB57A" w14:textId="3B5828F6" w:rsidR="0068398E" w:rsidRPr="00F51E31" w:rsidRDefault="0068398E" w:rsidP="0068398E">
      <w:pPr>
        <w:pStyle w:val="Caption"/>
        <w:rPr>
          <w:color w:val="auto"/>
          <w:sz w:val="22"/>
          <w:szCs w:val="22"/>
        </w:rPr>
      </w:pPr>
    </w:p>
    <w:p w14:paraId="279E7AB7" w14:textId="77777777" w:rsidR="0018540F" w:rsidRPr="00F51E31" w:rsidRDefault="0018540F">
      <w:pPr>
        <w:rPr>
          <w:sz w:val="28"/>
          <w:szCs w:val="28"/>
        </w:rPr>
      </w:pPr>
      <w:r w:rsidRPr="00F51E31">
        <w:rPr>
          <w:sz w:val="28"/>
          <w:szCs w:val="28"/>
        </w:rPr>
        <w:br w:type="page"/>
      </w:r>
    </w:p>
    <w:p w14:paraId="69CFFDA8" w14:textId="3BA6BD73" w:rsidR="002B6536" w:rsidRPr="00F51E31" w:rsidRDefault="00F51E31" w:rsidP="00F51E31">
      <w:pPr>
        <w:keepNext/>
        <w:jc w:val="center"/>
        <w:rPr>
          <w:sz w:val="28"/>
          <w:szCs w:val="28"/>
        </w:rPr>
      </w:pPr>
      <w:r w:rsidRPr="00F51E31">
        <w:rPr>
          <w:noProof/>
        </w:rPr>
        <w:lastRenderedPageBreak/>
        <w:drawing>
          <wp:inline distT="0" distB="0" distL="0" distR="0" wp14:anchorId="06BEA91E" wp14:editId="5B6A8A2F">
            <wp:extent cx="5303980" cy="468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686706"/>
                    </a:xfrm>
                    <a:prstGeom prst="rect">
                      <a:avLst/>
                    </a:prstGeom>
                  </pic:spPr>
                </pic:pic>
              </a:graphicData>
            </a:graphic>
          </wp:inline>
        </w:drawing>
      </w:r>
    </w:p>
    <w:p w14:paraId="6E1E2B46" w14:textId="6D13B481" w:rsidR="00644867" w:rsidRPr="00F51E31" w:rsidRDefault="002B6536" w:rsidP="002B6536">
      <w:pPr>
        <w:pStyle w:val="Caption"/>
        <w:rPr>
          <w:i w:val="0"/>
          <w:iCs w:val="0"/>
          <w:color w:val="auto"/>
          <w:sz w:val="22"/>
          <w:szCs w:val="22"/>
        </w:rPr>
      </w:pPr>
      <w:r w:rsidRPr="00F51E31">
        <w:rPr>
          <w:i w:val="0"/>
          <w:iCs w:val="0"/>
          <w:color w:val="auto"/>
          <w:sz w:val="22"/>
          <w:szCs w:val="22"/>
        </w:rPr>
        <w:t>Figure 7</w:t>
      </w:r>
      <w:r w:rsidR="0018540F" w:rsidRPr="00F51E31">
        <w:rPr>
          <w:i w:val="0"/>
          <w:iCs w:val="0"/>
          <w:color w:val="auto"/>
          <w:sz w:val="22"/>
          <w:szCs w:val="22"/>
        </w:rPr>
        <w:t xml:space="preserve">. Cohen’s Kappa, which indicates the degree to which the classifier correctly predicts the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w:t>
      </w:r>
      <w:r w:rsidR="00C1217C" w:rsidRPr="00F51E31">
        <w:rPr>
          <w:i w:val="0"/>
          <w:iCs w:val="0"/>
          <w:color w:val="auto"/>
          <w:sz w:val="22"/>
          <w:szCs w:val="22"/>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F51E31" w:rsidRDefault="00936CE8" w:rsidP="00936CE8">
      <w:pPr>
        <w:rPr>
          <w:sz w:val="28"/>
          <w:szCs w:val="28"/>
        </w:rPr>
      </w:pPr>
    </w:p>
    <w:p w14:paraId="224486DD" w14:textId="39F68F59" w:rsidR="00F87C50" w:rsidRPr="00F51E31" w:rsidRDefault="00F87C50" w:rsidP="00F87C50">
      <w:pPr>
        <w:rPr>
          <w:sz w:val="28"/>
          <w:szCs w:val="28"/>
        </w:rPr>
      </w:pPr>
    </w:p>
    <w:p w14:paraId="3C6FCE07" w14:textId="77777777" w:rsidR="00C1217C" w:rsidRPr="00F51E31" w:rsidRDefault="00C1217C">
      <w:pPr>
        <w:rPr>
          <w:sz w:val="28"/>
          <w:szCs w:val="28"/>
        </w:rPr>
      </w:pPr>
      <w:r w:rsidRPr="00F51E31">
        <w:rPr>
          <w:sz w:val="28"/>
          <w:szCs w:val="28"/>
        </w:rPr>
        <w:br w:type="page"/>
      </w:r>
    </w:p>
    <w:p w14:paraId="6B523A15" w14:textId="2800A968" w:rsidR="00F87C50" w:rsidRPr="00F51E31" w:rsidRDefault="00F87C50" w:rsidP="00F87C50">
      <w:pPr>
        <w:keepNext/>
        <w:rPr>
          <w:sz w:val="28"/>
          <w:szCs w:val="28"/>
        </w:rPr>
      </w:pPr>
      <w:r w:rsidRPr="00F51E31">
        <w:rPr>
          <w:noProof/>
          <w:sz w:val="28"/>
          <w:szCs w:val="28"/>
        </w:rPr>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75050"/>
                    </a:xfrm>
                    <a:prstGeom prst="rect">
                      <a:avLst/>
                    </a:prstGeom>
                  </pic:spPr>
                </pic:pic>
              </a:graphicData>
            </a:graphic>
          </wp:inline>
        </w:drawing>
      </w:r>
    </w:p>
    <w:p w14:paraId="42E6129D" w14:textId="02139357" w:rsidR="00F87C50" w:rsidRPr="00F51E31" w:rsidRDefault="00F87C50" w:rsidP="00F87C50">
      <w:pPr>
        <w:pStyle w:val="Caption"/>
        <w:rPr>
          <w:i w:val="0"/>
          <w:iCs w:val="0"/>
          <w:color w:val="auto"/>
          <w:sz w:val="22"/>
          <w:szCs w:val="22"/>
        </w:rPr>
      </w:pPr>
      <w:r w:rsidRPr="00F51E31">
        <w:rPr>
          <w:i w:val="0"/>
          <w:iCs w:val="0"/>
          <w:color w:val="auto"/>
          <w:sz w:val="22"/>
          <w:szCs w:val="22"/>
        </w:rPr>
        <w:t>Figure 8</w:t>
      </w:r>
      <w:r w:rsidR="00C1217C" w:rsidRPr="00F51E31">
        <w:rPr>
          <w:i w:val="0"/>
          <w:iCs w:val="0"/>
          <w:color w:val="auto"/>
          <w:sz w:val="22"/>
          <w:szCs w:val="22"/>
        </w:rPr>
        <w:t>. Correlation between the trait values and the first principal component of each trait category (vital rate, size trait, leaf trait, seed trait, wood trait). All traits correlate very strongly to its 1</w:t>
      </w:r>
      <w:r w:rsidR="00C1217C" w:rsidRPr="00F51E31">
        <w:rPr>
          <w:i w:val="0"/>
          <w:iCs w:val="0"/>
          <w:color w:val="auto"/>
          <w:sz w:val="22"/>
          <w:szCs w:val="22"/>
          <w:vertAlign w:val="superscript"/>
        </w:rPr>
        <w:t>st</w:t>
      </w:r>
      <w:r w:rsidR="00C1217C" w:rsidRPr="00F51E31">
        <w:rPr>
          <w:i w:val="0"/>
          <w:iCs w:val="0"/>
          <w:color w:val="auto"/>
          <w:sz w:val="22"/>
          <w:szCs w:val="22"/>
        </w:rPr>
        <w:t xml:space="preserve"> component, indicating both that these traits are redundant and that PC1 is a good summary of the information contained in these trait measurements. </w:t>
      </w:r>
    </w:p>
    <w:p w14:paraId="08AA7C4E" w14:textId="77777777" w:rsidR="00C1217C" w:rsidRPr="00F51E31" w:rsidRDefault="00C1217C">
      <w:pPr>
        <w:rPr>
          <w:sz w:val="28"/>
          <w:szCs w:val="28"/>
        </w:rPr>
      </w:pPr>
      <w:r w:rsidRPr="00F51E31">
        <w:rPr>
          <w:sz w:val="28"/>
          <w:szCs w:val="28"/>
        </w:rPr>
        <w:br w:type="page"/>
      </w:r>
    </w:p>
    <w:p w14:paraId="02C3CD37" w14:textId="44082CC6" w:rsidR="00F87C50" w:rsidRPr="00F51E31" w:rsidRDefault="00F87C50" w:rsidP="00F51E31">
      <w:pPr>
        <w:keepNext/>
        <w:jc w:val="center"/>
        <w:rPr>
          <w:sz w:val="28"/>
          <w:szCs w:val="28"/>
        </w:rPr>
      </w:pPr>
      <w:r w:rsidRPr="00F51E31">
        <w:rPr>
          <w:noProof/>
          <w:sz w:val="28"/>
          <w:szCs w:val="28"/>
        </w:rPr>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394" cy="2762033"/>
                    </a:xfrm>
                    <a:prstGeom prst="rect">
                      <a:avLst/>
                    </a:prstGeom>
                  </pic:spPr>
                </pic:pic>
              </a:graphicData>
            </a:graphic>
          </wp:inline>
        </w:drawing>
      </w:r>
    </w:p>
    <w:p w14:paraId="2CA4777F" w14:textId="67DBCA38" w:rsidR="00F87C50" w:rsidRPr="00F51E31" w:rsidRDefault="00F87C50" w:rsidP="00F87C50">
      <w:pPr>
        <w:pStyle w:val="Caption"/>
        <w:rPr>
          <w:i w:val="0"/>
          <w:iCs w:val="0"/>
          <w:color w:val="auto"/>
          <w:sz w:val="22"/>
          <w:szCs w:val="22"/>
        </w:rPr>
      </w:pPr>
      <w:r w:rsidRPr="00F51E31">
        <w:rPr>
          <w:i w:val="0"/>
          <w:iCs w:val="0"/>
          <w:color w:val="auto"/>
          <w:sz w:val="22"/>
          <w:szCs w:val="22"/>
        </w:rPr>
        <w:t>Figure 9</w:t>
      </w:r>
      <w:r w:rsidR="00C1217C" w:rsidRPr="00F51E31">
        <w:rPr>
          <w:i w:val="0"/>
          <w:iCs w:val="0"/>
          <w:color w:val="auto"/>
          <w:sz w:val="22"/>
          <w:szCs w:val="22"/>
        </w:rPr>
        <w:t xml:space="preserve">. Cohen’s Kappa of the classifier predictions for observed trait data (blue </w:t>
      </w:r>
      <w:proofErr w:type="spellStart"/>
      <w:r w:rsidR="00C1217C" w:rsidRPr="00F51E31">
        <w:rPr>
          <w:i w:val="0"/>
          <w:iCs w:val="0"/>
          <w:color w:val="auto"/>
          <w:sz w:val="22"/>
          <w:szCs w:val="22"/>
        </w:rPr>
        <w:t>boc</w:t>
      </w:r>
      <w:proofErr w:type="spellEnd"/>
      <w:r w:rsidR="00C1217C" w:rsidRPr="00F51E31">
        <w:rPr>
          <w:i w:val="0"/>
          <w:iCs w:val="0"/>
          <w:color w:val="auto"/>
          <w:sz w:val="22"/>
          <w:szCs w:val="22"/>
        </w:rPr>
        <w:t>) versus randomized trait data (red box). Distributions show 100 iterations of the classifier.</w:t>
      </w:r>
    </w:p>
    <w:p w14:paraId="75E9B17D" w14:textId="77777777" w:rsidR="00C1217C" w:rsidRPr="00F51E31" w:rsidRDefault="00C1217C" w:rsidP="00C1217C">
      <w:pPr>
        <w:rPr>
          <w:sz w:val="28"/>
          <w:szCs w:val="28"/>
        </w:rPr>
      </w:pPr>
    </w:p>
    <w:p w14:paraId="55209198" w14:textId="77777777" w:rsidR="00C1217C" w:rsidRPr="00F51E31" w:rsidRDefault="00C1217C">
      <w:pPr>
        <w:rPr>
          <w:sz w:val="28"/>
          <w:szCs w:val="28"/>
        </w:rPr>
      </w:pPr>
      <w:r w:rsidRPr="00F51E31">
        <w:rPr>
          <w:sz w:val="28"/>
          <w:szCs w:val="28"/>
        </w:rPr>
        <w:br w:type="page"/>
      </w:r>
    </w:p>
    <w:p w14:paraId="5EAA5792" w14:textId="214AFEE0" w:rsidR="00F50FA4" w:rsidRPr="00F51E31" w:rsidRDefault="00F50FA4" w:rsidP="00F50FA4">
      <w:pPr>
        <w:keepNext/>
        <w:rPr>
          <w:sz w:val="28"/>
          <w:szCs w:val="28"/>
        </w:rPr>
      </w:pPr>
      <w:r w:rsidRPr="00F51E31">
        <w:rPr>
          <w:noProof/>
          <w:sz w:val="28"/>
          <w:szCs w:val="28"/>
        </w:rPr>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09720"/>
                    </a:xfrm>
                    <a:prstGeom prst="rect">
                      <a:avLst/>
                    </a:prstGeom>
                  </pic:spPr>
                </pic:pic>
              </a:graphicData>
            </a:graphic>
          </wp:inline>
        </w:drawing>
      </w:r>
    </w:p>
    <w:p w14:paraId="5AA1ADAA" w14:textId="7B394B89" w:rsidR="00F50FA4" w:rsidRPr="00F51E31" w:rsidRDefault="00F50FA4" w:rsidP="00F50FA4">
      <w:pPr>
        <w:pStyle w:val="Caption"/>
        <w:rPr>
          <w:i w:val="0"/>
          <w:iCs w:val="0"/>
          <w:color w:val="auto"/>
          <w:sz w:val="22"/>
          <w:szCs w:val="22"/>
        </w:rPr>
      </w:pPr>
      <w:r w:rsidRPr="00F51E31">
        <w:rPr>
          <w:i w:val="0"/>
          <w:iCs w:val="0"/>
          <w:color w:val="auto"/>
          <w:sz w:val="22"/>
          <w:szCs w:val="22"/>
        </w:rPr>
        <w:t>Figure 10</w:t>
      </w:r>
      <w:r w:rsidR="00C1217C" w:rsidRPr="00F51E31">
        <w:rPr>
          <w:i w:val="0"/>
          <w:iCs w:val="0"/>
          <w:color w:val="auto"/>
          <w:sz w:val="22"/>
          <w:szCs w:val="22"/>
        </w:rPr>
        <w:t xml:space="preserve">. Trait distribution of each </w:t>
      </w:r>
      <w:proofErr w:type="spellStart"/>
      <w:r w:rsidR="00C1217C" w:rsidRPr="00F51E31">
        <w:rPr>
          <w:i w:val="0"/>
          <w:iCs w:val="0"/>
          <w:color w:val="auto"/>
          <w:sz w:val="22"/>
          <w:szCs w:val="22"/>
        </w:rPr>
        <w:t>sniche</w:t>
      </w:r>
      <w:proofErr w:type="spellEnd"/>
      <w:r w:rsidR="00C1217C" w:rsidRPr="00F51E31">
        <w:rPr>
          <w:i w:val="0"/>
          <w:iCs w:val="0"/>
          <w:color w:val="auto"/>
          <w:sz w:val="22"/>
          <w:szCs w:val="22"/>
        </w:rPr>
        <w:t xml:space="preserve"> according to each trait type.</w:t>
      </w:r>
    </w:p>
    <w:p w14:paraId="3AA700E8" w14:textId="77777777" w:rsidR="001E7990" w:rsidRPr="00F51E31" w:rsidRDefault="001E7990" w:rsidP="001E7990">
      <w:pPr>
        <w:keepNext/>
        <w:rPr>
          <w:sz w:val="28"/>
          <w:szCs w:val="28"/>
        </w:rPr>
      </w:pPr>
      <w:r w:rsidRPr="00F51E31">
        <w:rPr>
          <w:noProof/>
          <w:sz w:val="28"/>
          <w:szCs w:val="28"/>
        </w:rPr>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584315"/>
                    </a:xfrm>
                    <a:prstGeom prst="rect">
                      <a:avLst/>
                    </a:prstGeom>
                  </pic:spPr>
                </pic:pic>
              </a:graphicData>
            </a:graphic>
          </wp:inline>
        </w:drawing>
      </w:r>
    </w:p>
    <w:p w14:paraId="035CDED1" w14:textId="781EB17B" w:rsidR="001E7990" w:rsidRPr="00F51E31" w:rsidRDefault="001E7990" w:rsidP="001E7990">
      <w:pPr>
        <w:pStyle w:val="Caption"/>
        <w:rPr>
          <w:i w:val="0"/>
          <w:iCs w:val="0"/>
          <w:color w:val="auto"/>
          <w:sz w:val="22"/>
          <w:szCs w:val="22"/>
        </w:rPr>
      </w:pPr>
      <w:r w:rsidRPr="00F51E31">
        <w:rPr>
          <w:i w:val="0"/>
          <w:iCs w:val="0"/>
          <w:color w:val="auto"/>
          <w:sz w:val="22"/>
          <w:szCs w:val="22"/>
        </w:rPr>
        <w:t>Figure 11</w:t>
      </w:r>
      <w:r w:rsidR="00C1217C" w:rsidRPr="00F51E31">
        <w:rPr>
          <w:i w:val="0"/>
          <w:iCs w:val="0"/>
          <w:color w:val="auto"/>
          <w:sz w:val="22"/>
          <w:szCs w:val="22"/>
        </w:rPr>
        <w:t xml:space="preserve">. Affinity matrix reflecting how often each species occurs on each inferred soil type. Species codes are colored by </w:t>
      </w:r>
      <w:proofErr w:type="spellStart"/>
      <w:r w:rsidR="00C1217C" w:rsidRPr="00F51E31">
        <w:rPr>
          <w:i w:val="0"/>
          <w:iCs w:val="0"/>
          <w:color w:val="auto"/>
          <w:sz w:val="22"/>
          <w:szCs w:val="22"/>
        </w:rPr>
        <w:t>sniche</w:t>
      </w:r>
      <w:proofErr w:type="spellEnd"/>
      <w:r w:rsidR="00C1217C" w:rsidRPr="00F51E31">
        <w:rPr>
          <w:i w:val="0"/>
          <w:iCs w:val="0"/>
          <w:color w:val="auto"/>
          <w:sz w:val="22"/>
          <w:szCs w:val="22"/>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A126BE">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proofErr w:type="gramStart"/>
      <w:r w:rsidRPr="00C1217C">
        <w:rPr>
          <w:rFonts w:ascii="Verdana" w:hAnsi="Verdana"/>
        </w:rPr>
        <w:tab/>
        <w:t xml:space="preserve">  ----------------</w:t>
      </w:r>
      <w:proofErr w:type="gramEnd"/>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w:t>
      </w:r>
      <w:proofErr w:type="gramStart"/>
      <w:r w:rsidRPr="00C1217C">
        <w:rPr>
          <w:rFonts w:ascii="Verdana" w:hAnsi="Verdana"/>
        </w:rPr>
        <w:t xml:space="preserve">   (</w:t>
      </w:r>
      <w:proofErr w:type="gramEnd"/>
      <w:r w:rsidRPr="00C1217C">
        <w:rPr>
          <w:rFonts w:ascii="Verdana" w:hAnsi="Verdana"/>
        </w:rPr>
        <w:t>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w:t>
      </w:r>
      <w:proofErr w:type="gramStart"/>
      <w:r w:rsidRPr="00C1217C">
        <w:rPr>
          <w:rFonts w:ascii="Verdana" w:hAnsi="Verdana"/>
        </w:rPr>
        <w:t xml:space="preserve">   (</w:t>
      </w:r>
      <w:proofErr w:type="gramEnd"/>
      <w:r w:rsidRPr="00C1217C">
        <w:rPr>
          <w:rFonts w:ascii="Verdana" w:hAnsi="Verdana"/>
        </w:rPr>
        <w:t>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w:t>
      </w:r>
      <w:proofErr w:type="gramStart"/>
      <w:r w:rsidRPr="00C1217C">
        <w:rPr>
          <w:rFonts w:ascii="Verdana" w:hAnsi="Verdana"/>
        </w:rPr>
        <w:t xml:space="preserve">   (</w:t>
      </w:r>
      <w:proofErr w:type="gramEnd"/>
      <w:r w:rsidRPr="00C1217C">
        <w:rPr>
          <w:rFonts w:ascii="Verdana" w:hAnsi="Verdana"/>
        </w:rPr>
        <w:t>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w:t>
      </w:r>
      <w:proofErr w:type="gramStart"/>
      <w:r w:rsidRPr="00C1217C">
        <w:rPr>
          <w:rFonts w:ascii="Verdana" w:hAnsi="Verdana"/>
        </w:rPr>
        <w:t xml:space="preserve">   (</w:t>
      </w:r>
      <w:proofErr w:type="gramEnd"/>
      <w:r w:rsidRPr="00C1217C">
        <w:rPr>
          <w:rFonts w:ascii="Verdana" w:hAnsi="Verdana"/>
        </w:rPr>
        <w:t>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4D74A" w14:textId="77777777" w:rsidR="007D7DCF" w:rsidRDefault="007D7DCF" w:rsidP="003213D7">
      <w:pPr>
        <w:spacing w:after="0" w:line="240" w:lineRule="auto"/>
      </w:pPr>
      <w:r>
        <w:separator/>
      </w:r>
    </w:p>
  </w:endnote>
  <w:endnote w:type="continuationSeparator" w:id="0">
    <w:p w14:paraId="5F69637C" w14:textId="77777777" w:rsidR="007D7DCF" w:rsidRDefault="007D7DCF" w:rsidP="0032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enorite Display">
    <w:panose1 w:val="00000500000000000000"/>
    <w:charset w:val="00"/>
    <w:family w:val="auto"/>
    <w:pitch w:val="variable"/>
    <w:sig w:usb0="80000003" w:usb1="00000001" w:usb2="00000000" w:usb3="00000000" w:csb0="00000001" w:csb1="00000000"/>
  </w:font>
  <w:font w:name="Tenorite">
    <w:altName w:val="Tenorite"/>
    <w:panose1 w:val="00000500000000000000"/>
    <w:charset w:val="00"/>
    <w:family w:val="auto"/>
    <w:pitch w:val="variable"/>
    <w:sig w:usb0="80000003" w:usb1="00000001"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38EB9" w14:textId="77777777" w:rsidR="003213D7" w:rsidRDefault="00321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B016C" w14:textId="77777777" w:rsidR="003213D7" w:rsidRDefault="00321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D3A0C" w14:textId="77777777" w:rsidR="003213D7" w:rsidRDefault="0032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93B6A" w14:textId="77777777" w:rsidR="007D7DCF" w:rsidRDefault="007D7DCF" w:rsidP="003213D7">
      <w:pPr>
        <w:spacing w:after="0" w:line="240" w:lineRule="auto"/>
      </w:pPr>
      <w:r>
        <w:separator/>
      </w:r>
    </w:p>
  </w:footnote>
  <w:footnote w:type="continuationSeparator" w:id="0">
    <w:p w14:paraId="2118213E" w14:textId="77777777" w:rsidR="007D7DCF" w:rsidRDefault="007D7DCF" w:rsidP="0032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D439" w14:textId="77777777" w:rsidR="003213D7" w:rsidRDefault="00321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9B69F" w14:textId="77777777" w:rsidR="003213D7" w:rsidRDefault="00321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C92E" w14:textId="77777777" w:rsidR="003213D7" w:rsidRDefault="0032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F5640"/>
    <w:rsid w:val="0018540F"/>
    <w:rsid w:val="001E7990"/>
    <w:rsid w:val="002B6536"/>
    <w:rsid w:val="003213D7"/>
    <w:rsid w:val="003B0E58"/>
    <w:rsid w:val="00427465"/>
    <w:rsid w:val="00467851"/>
    <w:rsid w:val="005643FB"/>
    <w:rsid w:val="005D5E79"/>
    <w:rsid w:val="00644867"/>
    <w:rsid w:val="0068398E"/>
    <w:rsid w:val="007D7DCF"/>
    <w:rsid w:val="00847ADD"/>
    <w:rsid w:val="008503F7"/>
    <w:rsid w:val="008B6F5F"/>
    <w:rsid w:val="008D6A60"/>
    <w:rsid w:val="00936CE8"/>
    <w:rsid w:val="00A126BE"/>
    <w:rsid w:val="00A32FD3"/>
    <w:rsid w:val="00A36382"/>
    <w:rsid w:val="00B03FF8"/>
    <w:rsid w:val="00B36FE2"/>
    <w:rsid w:val="00BB48EA"/>
    <w:rsid w:val="00C1217C"/>
    <w:rsid w:val="00CA7FC8"/>
    <w:rsid w:val="00CF5A60"/>
    <w:rsid w:val="00F50FA4"/>
    <w:rsid w:val="00F51E31"/>
    <w:rsid w:val="00F8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D7"/>
  </w:style>
  <w:style w:type="paragraph" w:styleId="Footer">
    <w:name w:val="footer"/>
    <w:basedOn w:val="Normal"/>
    <w:link w:val="FooterChar"/>
    <w:uiPriority w:val="99"/>
    <w:unhideWhenUsed/>
    <w:rsid w:val="0032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17</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Wang Dianzhuo</cp:lastModifiedBy>
  <cp:revision>5</cp:revision>
  <dcterms:created xsi:type="dcterms:W3CDTF">2021-05-21T22:50:00Z</dcterms:created>
  <dcterms:modified xsi:type="dcterms:W3CDTF">2021-05-28T20:52:00Z</dcterms:modified>
</cp:coreProperties>
</file>