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First, we considered every pair of trees within the 50ha forest dynamics plot (FDP) on BCI and determined whether species A and B tended to occur in close proximity (i.e. d_{tree1, tree2} &lt; d_cutoff)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r w:rsidRPr="001E7990">
        <w:rPr>
          <w:rFonts w:ascii="Tenorite" w:hAnsi="Tenorite"/>
          <w:i/>
          <w:iCs/>
        </w:rPr>
        <w:t>igraph</w:t>
      </w:r>
      <w:r w:rsidRPr="001E7990">
        <w:rPr>
          <w:rFonts w:ascii="Tenorite" w:hAnsi="Tenorite"/>
        </w:rPr>
        <w:t xml:space="preserve"> to find “communities”, i.e. subsets of nodes that are unusually interconnected and relatively isolated from all other nodes in the network. This “community-finding” algorithm uses random walks to find these subsets (i.e. the notion that if you’re moving around the network randomly, you will tend to spend most of your time within the same community).</w:t>
      </w:r>
    </w:p>
    <w:p w14:paraId="31AED00B" w14:textId="7575D52D"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r w:rsidR="00CA5F4F">
        <w:rPr>
          <w:rFonts w:ascii="Tenorite" w:hAnsi="Tenorite"/>
        </w:rPr>
        <w:t>niches</w:t>
      </w:r>
      <w:r w:rsidRPr="001E7990">
        <w:rPr>
          <w:rFonts w:ascii="Tenorite" w:hAnsi="Tenorite"/>
        </w:rPr>
        <w:t xml:space="preserve">”), i.e. the three distinctive strategies </w:t>
      </w:r>
      <w:r w:rsidRPr="001E7990">
        <w:rPr>
          <w:rFonts w:ascii="Tenorite" w:hAnsi="Tenorite"/>
        </w:rPr>
        <w:lastRenderedPageBreak/>
        <w:t xml:space="preserve">regarding soil resources. Upon finishing this part of the analysis, each species has </w:t>
      </w:r>
      <w:r w:rsidR="00A32FD3" w:rsidRPr="001E7990">
        <w:rPr>
          <w:rFonts w:ascii="Tenorite" w:hAnsi="Tenorite"/>
        </w:rPr>
        <w:t xml:space="preserve">a </w:t>
      </w:r>
      <w:r w:rsidR="00CA5F4F">
        <w:rPr>
          <w:rFonts w:ascii="Tenorite" w:hAnsi="Tenorite"/>
        </w:rPr>
        <w:t>niches</w:t>
      </w:r>
      <w:r w:rsidRPr="001E7990">
        <w:rPr>
          <w:rFonts w:ascii="Tenorite" w:hAnsi="Tenorite"/>
        </w:rPr>
        <w:t xml:space="preserve"> label.</w:t>
      </w:r>
    </w:p>
    <w:p w14:paraId="79FF9501" w14:textId="7EC37E85"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r w:rsidR="00CA5F4F">
        <w:rPr>
          <w:rFonts w:ascii="Tenorite" w:hAnsi="Tenorite"/>
        </w:rPr>
        <w:t>niches</w:t>
      </w:r>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6D8FA9DA" w:rsidR="005D5E79" w:rsidRPr="001E7990" w:rsidRDefault="005D5E79" w:rsidP="00051346">
      <w:pPr>
        <w:pStyle w:val="ListParagraph"/>
        <w:numPr>
          <w:ilvl w:val="0"/>
          <w:numId w:val="3"/>
        </w:numPr>
        <w:rPr>
          <w:rFonts w:ascii="Tenorite" w:hAnsi="Tenorite"/>
        </w:rPr>
      </w:pPr>
      <w:r w:rsidRPr="001E7990">
        <w:rPr>
          <w:rFonts w:ascii="Tenorite" w:hAnsi="Tenorite"/>
        </w:rPr>
        <w:t>John checked that this result is also robust to using different cutoffs for the interaction distance and minimum abundance</w:t>
      </w:r>
      <w:r w:rsidR="003213D7">
        <w:rPr>
          <w:rFonts w:ascii="Tenorite" w:hAnsi="Tenorite"/>
        </w:rPr>
        <w:t>. Using distance cutoff from 2 to 40 meters, abundance threshold from 0 to 400</w:t>
      </w:r>
      <w:r w:rsidR="00CA5F4F">
        <w:rPr>
          <w:rFonts w:ascii="Tenorite" w:hAnsi="Tenorite"/>
        </w:rPr>
        <w:t>,</w:t>
      </w:r>
      <w:r w:rsidR="003213D7">
        <w:rPr>
          <w:rFonts w:ascii="Tenorite" w:hAnsi="Tenorite"/>
        </w:rPr>
        <w:t xml:space="preserve"> we consistently find three clusters, with some exceptions of 2 and 4 clusters. Upon visual inspection, the predicted soil landscape looks similar over a wide range of distance (10-30 m) and minimum abundance. </w:t>
      </w:r>
      <w:r w:rsidR="00467851">
        <w:rPr>
          <w:rFonts w:ascii="Tenorite" w:hAnsi="Tenorite"/>
        </w:rPr>
        <w:t>We ultimately use the parameters: distance = 10m, abundance cutoff = 50 for the following analysis.</w:t>
      </w:r>
      <w:r w:rsidRPr="001E7990">
        <w:rPr>
          <w:rFonts w:ascii="Tenorite" w:hAnsi="Tenorite"/>
        </w:rPr>
        <w:br/>
      </w:r>
    </w:p>
    <w:p w14:paraId="16E3424D" w14:textId="55357737" w:rsidR="00051346" w:rsidRPr="001E7990" w:rsidRDefault="00051346">
      <w:pPr>
        <w:rPr>
          <w:rFonts w:ascii="Tenorite" w:hAnsi="Tenorite"/>
          <w:b/>
          <w:bCs/>
        </w:rPr>
      </w:pPr>
    </w:p>
    <w:p w14:paraId="3857B80B" w14:textId="0DD43286" w:rsidR="005D5E79" w:rsidRPr="001E7990" w:rsidRDefault="005D5E79" w:rsidP="00051346">
      <w:pPr>
        <w:rPr>
          <w:rFonts w:ascii="Tenorite" w:hAnsi="Tenorite"/>
          <w:b/>
          <w:bCs/>
        </w:rPr>
      </w:pPr>
      <w:r w:rsidRPr="001E7990">
        <w:rPr>
          <w:rFonts w:ascii="Tenorite" w:hAnsi="Tenorite"/>
          <w:b/>
          <w:bCs/>
        </w:rPr>
        <w:t>Assessing whether our niches correlate with nutrient concentrations in the FDP</w:t>
      </w:r>
    </w:p>
    <w:p w14:paraId="1D4C09AA" w14:textId="36C9C5D2"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niches corresponds to a bias for preferentially recruiting in sites whose local soil conditions match the </w:t>
      </w:r>
      <w:r w:rsidR="00CA5F4F">
        <w:rPr>
          <w:rFonts w:ascii="Tenorite" w:hAnsi="Tenorite"/>
        </w:rPr>
        <w:t>niches</w:t>
      </w:r>
      <w:r w:rsidRPr="001E7990">
        <w:rPr>
          <w:rFonts w:ascii="Tenorite" w:hAnsi="Tenorite"/>
        </w:rPr>
        <w:t>.</w:t>
      </w:r>
      <w:r w:rsidR="005643FB" w:rsidRPr="001E7990">
        <w:rPr>
          <w:rFonts w:ascii="Tenorite" w:hAnsi="Tenorite"/>
        </w:rPr>
        <w:t xml:space="preserve"> In other words, we infer from the finding of three </w:t>
      </w:r>
      <w:r w:rsidR="00CA5F4F">
        <w:rPr>
          <w:rFonts w:ascii="Tenorite" w:hAnsi="Tenorite"/>
        </w:rPr>
        <w:t>niches</w:t>
      </w:r>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2A3085D"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r w:rsidR="00CA5F4F">
        <w:rPr>
          <w:rFonts w:ascii="Tenorite" w:hAnsi="Tenorite"/>
        </w:rPr>
        <w:t>niches</w:t>
      </w:r>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w:t>
      </w:r>
      <w:r w:rsidR="00624F8D">
        <w:rPr>
          <w:rFonts w:ascii="Tenorite" w:hAnsi="Tenorite"/>
        </w:rPr>
        <w:t xml:space="preserve">We let P be a Gaussian with width d. The bandwidth here acting as a smoothing parameter. </w:t>
      </w:r>
      <w:r w:rsidR="005643FB" w:rsidRPr="001E7990">
        <w:rPr>
          <w:rFonts w:ascii="Tenorite" w:hAnsi="Tenorite"/>
        </w:rPr>
        <w:t>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a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One problem we run into with this question is that both the soiltype raster and the nutrient raster are autocorrelated (in part because autocorrelation is assumed in the productions of both rasters, and then used to extrapolate from discrete datapoints). The problem is that two autocorrelated rasters may match better than chance (here meaning expected matches between the cells of permutated versions of said rasters)</w:t>
      </w:r>
      <w:r w:rsidR="00A126BE" w:rsidRPr="001E7990">
        <w:rPr>
          <w:rFonts w:ascii="Tenorite" w:hAnsi="Tenorite"/>
        </w:rPr>
        <w:t xml:space="preserve"> simply </w:t>
      </w:r>
      <w:r w:rsidR="00A126BE" w:rsidRPr="001E7990">
        <w:rPr>
          <w:rFonts w:ascii="Tenorite" w:hAnsi="Tenorite"/>
        </w:rPr>
        <w:lastRenderedPageBreak/>
        <w:t xml:space="preserve">because both rasters tend to be blobby: it is easier to match blobs than to match small cells. One solution to this problem is to compare the match not against fully randomized rasters, but against </w:t>
      </w:r>
      <w:r w:rsidR="00A126BE" w:rsidRPr="001E7990">
        <w:rPr>
          <w:rFonts w:ascii="Tenorite" w:hAnsi="Tenorite"/>
          <w:i/>
          <w:iCs/>
        </w:rPr>
        <w:t>partially randomized</w:t>
      </w:r>
      <w:r w:rsidR="00A126BE" w:rsidRPr="001E7990">
        <w:rPr>
          <w:rFonts w:ascii="Tenorite" w:hAnsi="Tenorite"/>
        </w:rPr>
        <w:t xml:space="preserve"> rasters,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it is clear that soil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(i.e.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6D3101FD" w14:textId="54A41387" w:rsidR="00596B4F" w:rsidRDefault="00596B4F" w:rsidP="00596B4F">
      <w:pPr>
        <w:pStyle w:val="ListParagraph"/>
        <w:numPr>
          <w:ilvl w:val="0"/>
          <w:numId w:val="3"/>
        </w:numPr>
        <w:rPr>
          <w:rFonts w:ascii="Tenorite" w:hAnsi="Tenorite"/>
        </w:rPr>
      </w:pPr>
      <w:r>
        <w:rPr>
          <w:rFonts w:ascii="Tenorite" w:hAnsi="Tenorite"/>
        </w:rPr>
        <w:t xml:space="preserve">One could argue that our good agreement between nutrient concentrations and inferred soiltypes comes just from the fact that both the nutrient and soiltype rasters are spatially autocorrelated (i.e. blobby). The idea is that, since both rasters are blobby, substantial regions of similar nutrient concentrations will coincidentally overlap with a single soiltype, thus allowing a classifier to successfully but artifactually predict the latter from the former. To deal with this possibility, I performed two tests: A) Partially randomize the nutrient data in a way that maintains the autocorrelation at a certain scale but randomized the data within those scales. B) Train the classifier to predict randomly generated but similarly autocorrelated soiltypes. </w:t>
      </w:r>
    </w:p>
    <w:p w14:paraId="0C2647B7" w14:textId="77777777" w:rsidR="00596B4F" w:rsidRDefault="00596B4F" w:rsidP="00596B4F">
      <w:pPr>
        <w:pStyle w:val="ListParagraph"/>
        <w:numPr>
          <w:ilvl w:val="0"/>
          <w:numId w:val="3"/>
        </w:numPr>
        <w:rPr>
          <w:rFonts w:ascii="Tenorite" w:hAnsi="Tenorite"/>
        </w:rPr>
      </w:pPr>
      <w:r>
        <w:rPr>
          <w:rFonts w:ascii="Tenorite" w:hAnsi="Tenorite"/>
        </w:rPr>
        <w:t>W</w:t>
      </w:r>
      <w:r w:rsidRPr="001E7990">
        <w:rPr>
          <w:rFonts w:ascii="Tenorite" w:hAnsi="Tenorite"/>
        </w:rPr>
        <w:t xml:space="preserve">hen we train the </w:t>
      </w:r>
      <w:r>
        <w:rPr>
          <w:rFonts w:ascii="Tenorite" w:hAnsi="Tenorite"/>
        </w:rPr>
        <w:t>classifier</w:t>
      </w:r>
      <w:r w:rsidRPr="001E7990">
        <w:rPr>
          <w:rFonts w:ascii="Tenorite" w:hAnsi="Tenorite"/>
        </w:rPr>
        <w:t xml:space="preserve"> </w:t>
      </w:r>
      <w:r>
        <w:rPr>
          <w:rFonts w:ascii="Tenorite" w:hAnsi="Tenorite"/>
        </w:rPr>
        <w:t>using</w:t>
      </w:r>
      <w:r w:rsidRPr="001E7990">
        <w:rPr>
          <w:rFonts w:ascii="Tenorite" w:hAnsi="Tenorite"/>
        </w:rPr>
        <w:t xml:space="preserve"> partially randomized nutrient data at different scales, we see increasingly poor predictions (Fig. 7) I think the fact that the better-than-chance agreement doesn’t just collapse to zero indicates that spatial autocorrelation in both the nutrient and soiltype data plays a role. However, the fact that we see a large drop in predictive power when randomizing at scales smaller than the blob sizes indicates that our results are not solely due to this autocorrelation.</w:t>
      </w:r>
    </w:p>
    <w:p w14:paraId="3399F440" w14:textId="77777777" w:rsidR="00596B4F" w:rsidRPr="001E7990" w:rsidRDefault="00596B4F" w:rsidP="00596B4F">
      <w:pPr>
        <w:pStyle w:val="ListParagraph"/>
        <w:numPr>
          <w:ilvl w:val="0"/>
          <w:numId w:val="3"/>
        </w:numPr>
        <w:rPr>
          <w:rFonts w:ascii="Tenorite" w:hAnsi="Tenorite"/>
        </w:rPr>
      </w:pPr>
      <w:r>
        <w:rPr>
          <w:rFonts w:ascii="Tenorite" w:hAnsi="Tenorite"/>
        </w:rPr>
        <w:t xml:space="preserve">In addition, when I ran the C5.0 algorithm on null data where the soiltype is a discretized Gaussian random field with autocorrelation scale and other variogram parameters similar to the actual inferred soiltype raster (Fig. 8), results clearly show that a) The autocorrelated random data results in a positive Kappa (blue box), confirming that </w:t>
      </w:r>
      <w:r>
        <w:rPr>
          <w:rFonts w:ascii="Tenorite" w:hAnsi="Tenorite"/>
        </w:rPr>
        <w:lastRenderedPageBreak/>
        <w:t>autocorrelated data will indeed result in artifactual correspondence/predictability between nutrients and soiltypes. b) However, the Kappa is substantially lower than what we get from our actual inferred soiltype raster, showing that our good results transcend this artifactual correspondence due to autocorrelation.</w:t>
      </w:r>
    </w:p>
    <w:p w14:paraId="60D0D376" w14:textId="65A45CF9" w:rsidR="008503F7" w:rsidRPr="001E7990" w:rsidRDefault="00CA5F4F" w:rsidP="00051346">
      <w:pPr>
        <w:pStyle w:val="ListParagraph"/>
        <w:numPr>
          <w:ilvl w:val="0"/>
          <w:numId w:val="3"/>
        </w:numPr>
        <w:rPr>
          <w:rFonts w:ascii="Tenorite" w:hAnsi="Tenorite"/>
        </w:rPr>
      </w:pPr>
      <w:r>
        <w:rPr>
          <w:rFonts w:ascii="Tenorite" w:hAnsi="Tenorite" w:hint="eastAsia"/>
          <w:lang w:eastAsia="zh-CN"/>
        </w:rPr>
        <w:t>We</w:t>
      </w:r>
      <w:r>
        <w:rPr>
          <w:rFonts w:ascii="Tenorite" w:hAnsi="Tenorite"/>
          <w:lang w:eastAsia="zh-CN"/>
        </w:rPr>
        <w:t xml:space="preserve"> trained </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Overall, these results are at once reassuring and exciting. They’re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it’s good that we are confirming that assumption post-facto.</w:t>
      </w:r>
    </w:p>
    <w:p w14:paraId="1C5BAF4C" w14:textId="0960D2BC" w:rsidR="008503F7" w:rsidRPr="001E7990" w:rsidRDefault="008503F7" w:rsidP="008503F7">
      <w:pPr>
        <w:rPr>
          <w:rFonts w:ascii="Tenorite" w:hAnsi="Tenorite"/>
        </w:rPr>
      </w:pPr>
    </w:p>
    <w:p w14:paraId="628129C5" w14:textId="7F2B5729" w:rsidR="008503F7" w:rsidRPr="001E7990" w:rsidRDefault="008503F7" w:rsidP="008503F7">
      <w:pPr>
        <w:rPr>
          <w:rFonts w:ascii="Tenorite" w:hAnsi="Tenorite"/>
        </w:rPr>
      </w:pPr>
      <w:r w:rsidRPr="00596B4F">
        <w:rPr>
          <w:rFonts w:ascii="Tenorite" w:hAnsi="Tenorite"/>
          <w:b/>
          <w:bCs/>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fact if we didn’t find a correspondence, we should be concerned. </w:t>
      </w:r>
      <w:r w:rsidR="00847ADD" w:rsidRPr="001E7990">
        <w:rPr>
          <w:rFonts w:ascii="Tenorite" w:hAnsi="Tenorite"/>
        </w:rPr>
        <w:t>However, it would be very exciting to find that our soil types predict species traits or vice versa, because then we’d be connecting traits to niches – which I’m all about!</w:t>
      </w:r>
    </w:p>
    <w:p w14:paraId="79CB52EF" w14:textId="1AF2E8F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(dbh growth, mortality), </w:t>
      </w:r>
      <w:r w:rsidRPr="001E7990">
        <w:rPr>
          <w:rFonts w:ascii="Tenorite" w:hAnsi="Tenorite"/>
          <w:i/>
          <w:iCs/>
        </w:rPr>
        <w:t>size traits</w:t>
      </w:r>
      <w:r w:rsidRPr="001E7990">
        <w:rPr>
          <w:rFonts w:ascii="Tenorite" w:hAnsi="Tenorite"/>
        </w:rPr>
        <w:t xml:space="preserve"> (dbh,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r w:rsidR="00CA5F4F">
        <w:rPr>
          <w:rFonts w:ascii="Tenorite" w:hAnsi="Tenorite"/>
        </w:rPr>
        <w:t>niches</w:t>
      </w:r>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We’re forced to use value imputation methods to deal with those NAs, otherwise we’d lose a lot of the 77 species in our analysis)</w:t>
      </w:r>
      <w:r w:rsidR="00936CE8" w:rsidRPr="001E7990">
        <w:rPr>
          <w:rFonts w:ascii="Tenorite" w:hAnsi="Tenorite"/>
        </w:rPr>
        <w:t xml:space="preserve">. I perform this category-specific PCA analysis for several reasons: </w:t>
      </w:r>
    </w:p>
    <w:p w14:paraId="452C8FD4" w14:textId="731D881F"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r w:rsidR="00CA5F4F">
        <w:rPr>
          <w:rFonts w:ascii="Tenorite" w:hAnsi="Tenorite"/>
        </w:rPr>
        <w:t>niches</w:t>
      </w:r>
      <w:r w:rsidR="00F87C50" w:rsidRPr="001E7990">
        <w:rPr>
          <w:rFonts w:ascii="Tenorite" w:hAnsi="Tenorite"/>
        </w:rPr>
        <w:t xml:space="preserve">, we collapse all these measures into a single axis of leaf longevity/sturdiness. </w:t>
      </w:r>
    </w:p>
    <w:p w14:paraId="72417F08" w14:textId="02AAD224" w:rsidR="00F87C50" w:rsidRPr="001E7990" w:rsidRDefault="00F87C50" w:rsidP="00936CE8">
      <w:pPr>
        <w:pStyle w:val="ListParagraph"/>
        <w:numPr>
          <w:ilvl w:val="1"/>
          <w:numId w:val="4"/>
        </w:numPr>
        <w:rPr>
          <w:rFonts w:ascii="Tenorite" w:hAnsi="Tenorite"/>
        </w:rPr>
      </w:pPr>
      <w:r w:rsidRPr="001E7990">
        <w:rPr>
          <w:rFonts w:ascii="Tenorite" w:hAnsi="Tenorite"/>
        </w:rPr>
        <w:t xml:space="preserve">Most of the traits are strongly correlated (Fig. </w:t>
      </w:r>
      <w:r w:rsidR="00596B4F">
        <w:rPr>
          <w:rFonts w:ascii="Tenorite" w:hAnsi="Tenorite"/>
        </w:rPr>
        <w:t>9</w:t>
      </w:r>
      <w:r w:rsidRPr="001E7990">
        <w:rPr>
          <w:rFonts w:ascii="Tenorite" w:hAnsi="Tenorite"/>
        </w:rPr>
        <w:t>)</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231809A3"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w:t>
      </w:r>
      <w:r w:rsidR="00596B4F">
        <w:rPr>
          <w:rFonts w:ascii="Tenorite" w:hAnsi="Tenorite"/>
        </w:rPr>
        <w:t>Fig. 10</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r w:rsidR="00CA5F4F">
        <w:rPr>
          <w:rFonts w:ascii="Tenorite" w:hAnsi="Tenorite"/>
          <w:i/>
          <w:iCs/>
        </w:rPr>
        <w:t>niches</w:t>
      </w:r>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I’m getting suggest that </w:t>
      </w:r>
      <w:r w:rsidR="00CA5F4F">
        <w:rPr>
          <w:rFonts w:ascii="Tenorite" w:hAnsi="Tenorite"/>
        </w:rPr>
        <w:t>niches</w:t>
      </w:r>
      <w:r w:rsidR="003B0E58" w:rsidRPr="001E7990">
        <w:rPr>
          <w:rFonts w:ascii="Tenorite" w:hAnsi="Tenorite"/>
        </w:rPr>
        <w:t xml:space="preserve"> 1 and 2 differ mostly by vital rates, in that </w:t>
      </w:r>
      <w:r w:rsidR="00CA5F4F">
        <w:rPr>
          <w:rFonts w:ascii="Tenorite" w:hAnsi="Tenorite"/>
        </w:rPr>
        <w:t>niches</w:t>
      </w:r>
      <w:r w:rsidR="003B0E58" w:rsidRPr="001E7990">
        <w:rPr>
          <w:rFonts w:ascii="Tenorite" w:hAnsi="Tenorite"/>
        </w:rPr>
        <w:t xml:space="preserve"> 1 is the slow-and-steady strategy while </w:t>
      </w:r>
      <w:r w:rsidR="00CA5F4F">
        <w:rPr>
          <w:rFonts w:ascii="Tenorite" w:hAnsi="Tenorite"/>
        </w:rPr>
        <w:t>niches</w:t>
      </w:r>
      <w:r w:rsidR="003B0E58" w:rsidRPr="001E7990">
        <w:rPr>
          <w:rFonts w:ascii="Tenorite" w:hAnsi="Tenorite"/>
        </w:rPr>
        <w:t xml:space="preserve"> 2 is the live-fast-die-young strategy. </w:t>
      </w:r>
      <w:r w:rsidR="00CA5F4F">
        <w:rPr>
          <w:rFonts w:ascii="Tenorite" w:hAnsi="Tenorite"/>
        </w:rPr>
        <w:t>Niches</w:t>
      </w:r>
      <w:r w:rsidR="003B0E58" w:rsidRPr="001E7990">
        <w:rPr>
          <w:rFonts w:ascii="Tenorite" w:hAnsi="Tenorite"/>
        </w:rPr>
        <w:t xml:space="preserve"> 3 is </w:t>
      </w:r>
      <w:r w:rsidR="003B0E58" w:rsidRPr="001E7990">
        <w:rPr>
          <w:rFonts w:ascii="Tenorite" w:hAnsi="Tenorite"/>
        </w:rPr>
        <w:lastRenderedPageBreak/>
        <w:t xml:space="preserve">a bit more subtle, with similar vital rates as </w:t>
      </w:r>
      <w:r w:rsidR="00CA5F4F">
        <w:rPr>
          <w:rFonts w:ascii="Tenorite" w:hAnsi="Tenorite"/>
        </w:rPr>
        <w:t>niches</w:t>
      </w:r>
      <w:r w:rsidR="003B0E58" w:rsidRPr="001E7990">
        <w:rPr>
          <w:rFonts w:ascii="Tenorite" w:hAnsi="Tenorite"/>
        </w:rPr>
        <w:t xml:space="preserve"> 1 but lower leaf density and higher seed size. (</w:t>
      </w:r>
      <w:r w:rsidR="00596B4F">
        <w:rPr>
          <w:rFonts w:ascii="Tenorite" w:hAnsi="Tenorite"/>
        </w:rPr>
        <w:t>Fig. 11</w:t>
      </w:r>
      <w:r w:rsidR="003B0E58" w:rsidRPr="001E7990">
        <w:rPr>
          <w:rFonts w:ascii="Tenorite" w:hAnsi="Tenorite"/>
        </w:rPr>
        <w:t>)</w:t>
      </w:r>
    </w:p>
    <w:p w14:paraId="1F80B898" w14:textId="0F7F689E" w:rsidR="003B0E58" w:rsidRPr="001E7990" w:rsidRDefault="00F50FA4" w:rsidP="008503F7">
      <w:pPr>
        <w:pStyle w:val="ListParagraph"/>
        <w:numPr>
          <w:ilvl w:val="0"/>
          <w:numId w:val="4"/>
        </w:numPr>
        <w:rPr>
          <w:rFonts w:ascii="Tenorite" w:hAnsi="Tenorite"/>
        </w:rPr>
      </w:pPr>
      <w:r w:rsidRPr="001E7990">
        <w:rPr>
          <w:rFonts w:ascii="Tenorite" w:hAnsi="Tenorite"/>
        </w:rPr>
        <w:t>One big</w:t>
      </w:r>
      <w:r w:rsidR="003B0E58" w:rsidRPr="001E7990">
        <w:rPr>
          <w:rFonts w:ascii="Tenorite" w:hAnsi="Tenorite"/>
        </w:rPr>
        <w:t xml:space="preserve"> achievement of this analysis would be to connect it to the nutrient analysis in a way that makes sense. So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can’t say I understand this. Would be interesting to hear Jim Dalling’s or Joe Wright’s opinion.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The affinity matrix – putting our results in the context of D’Andrea et al PCB 2020</w:t>
      </w:r>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Assuming the above results indicate that we are finding meaningful niches on BCI, and treating each putative soil type as a resource, we can then put together a 77 x 3 affinity matrix Cij quantifying the degree of preference of each species for each soil type. </w:t>
      </w:r>
    </w:p>
    <w:p w14:paraId="3D16826B" w14:textId="77905A6C"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Cij as the proportion of trees of species i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i. This gives the matrix plotted in </w:t>
      </w:r>
      <w:r w:rsidR="00596B4F">
        <w:rPr>
          <w:rFonts w:ascii="Tenorite" w:hAnsi="Tenorite"/>
        </w:rPr>
        <w:t>Fig. 12</w:t>
      </w:r>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where the Cij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Cij (i.e.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we’d conclude that the PCB paper would predict neutral-like behavior on BCI based on our estimated Cd and Co, which is indeed the case.    </w:t>
      </w: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t xml:space="preserve">I think the results reported above make for a publishable paper. I would be very interested to hear James’s feedback, and eventually once we’re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w:t>
      </w:r>
      <w:r w:rsidRPr="001E7990">
        <w:rPr>
          <w:rFonts w:ascii="Tenorite" w:hAnsi="Tenorite"/>
        </w:rPr>
        <w:lastRenderedPageBreak/>
        <w:t xml:space="preserve">specific species to specific soil conditions. Methodologically, I don’t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rPr>
          <w:noProof/>
        </w:rPr>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32835"/>
                    </a:xfrm>
                    <a:prstGeom prst="rect">
                      <a:avLst/>
                    </a:prstGeom>
                  </pic:spPr>
                </pic:pic>
              </a:graphicData>
            </a:graphic>
          </wp:inline>
        </w:drawing>
      </w:r>
    </w:p>
    <w:p w14:paraId="0D46830F" w14:textId="2B5FD236"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Dark pixels indicate the species pair appears in close proximity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xml:space="preserve"> represented as colored blobs. Bottom: geographic distribution of the FDP species, colored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noProof/>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Top: Raster showing areas with each of the three soil types. Bottom: Rasters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noProof/>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noProof/>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Rasters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noProof/>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and also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noProof/>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Same as Fig. 5, but with colors representing the quadrats’ respective soil type as per Fig. 2 (top). We see a clear link to nutrient concentration. Soiltype 1 is associated with high organic N and P, soiltype 2 with low nutrient areas, and soiltype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rPr>
          <w:noProof/>
        </w:rPr>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soiltype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7D72DCC4" w14:textId="77777777" w:rsidR="00596B4F" w:rsidRDefault="00596B4F" w:rsidP="00F87C50">
      <w:pPr>
        <w:keepNext/>
        <w:rPr>
          <w:sz w:val="28"/>
          <w:szCs w:val="28"/>
        </w:rPr>
      </w:pPr>
      <w:r w:rsidRPr="004621EB">
        <w:lastRenderedPageBreak/>
        <w:drawing>
          <wp:inline distT="0" distB="0" distL="0" distR="0" wp14:anchorId="67428F6F" wp14:editId="531FF185">
            <wp:extent cx="5943600" cy="445715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150"/>
                    </a:xfrm>
                    <a:prstGeom prst="rect">
                      <a:avLst/>
                    </a:prstGeom>
                  </pic:spPr>
                </pic:pic>
              </a:graphicData>
            </a:graphic>
          </wp:inline>
        </w:drawing>
      </w:r>
    </w:p>
    <w:p w14:paraId="1E75B887" w14:textId="77777777" w:rsidR="00596B4F" w:rsidRPr="00C51A08" w:rsidRDefault="00596B4F" w:rsidP="00596B4F">
      <w:pPr>
        <w:pStyle w:val="Caption"/>
        <w:rPr>
          <w:rFonts w:ascii="Tenorite" w:hAnsi="Tenorite"/>
          <w:i w:val="0"/>
          <w:iCs w:val="0"/>
          <w:color w:val="auto"/>
          <w:sz w:val="22"/>
          <w:szCs w:val="22"/>
        </w:rPr>
      </w:pPr>
      <w:r w:rsidRPr="00C51A08">
        <w:rPr>
          <w:rFonts w:ascii="Tenorite" w:hAnsi="Tenorite"/>
          <w:i w:val="0"/>
          <w:iCs w:val="0"/>
          <w:color w:val="auto"/>
          <w:sz w:val="22"/>
          <w:szCs w:val="22"/>
        </w:rPr>
        <w:t xml:space="preserve">Figure 8. Top two panels show the raster of our inferred soiltypes (top) and an example null soiltype raster (middle). Both are autocorrelated with similar scales of autocorrelation and noise levels (variogram parameters are fit to the Data and then used to generate the Null). Bottom panel shows the distribution of Cohen’s Kappa over 46 (data) and 100 (null) iterations of the C5.0 classifier on both the data (red box) and null data (blue box). In both cases, Kappa &gt; 0, signifying better-than-chance prediction of soiltypes from the nutrient concentrations even when the soiltypes are random data, and therefore confirming that the autocorrelation alone leads to accidental matches between nutrient data and soiltypes. However, there’s a very clear gap in the quality of predictions when using the real data. </w:t>
      </w:r>
    </w:p>
    <w:p w14:paraId="6B523A15" w14:textId="0B8160FF" w:rsidR="00F87C50" w:rsidRPr="00F51E31" w:rsidRDefault="00F87C50" w:rsidP="00F87C50">
      <w:pPr>
        <w:keepNext/>
        <w:rPr>
          <w:sz w:val="28"/>
          <w:szCs w:val="28"/>
        </w:rPr>
      </w:pPr>
      <w:r w:rsidRPr="00F51E31">
        <w:rPr>
          <w:noProof/>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75050"/>
                    </a:xfrm>
                    <a:prstGeom prst="rect">
                      <a:avLst/>
                    </a:prstGeom>
                  </pic:spPr>
                </pic:pic>
              </a:graphicData>
            </a:graphic>
          </wp:inline>
        </w:drawing>
      </w:r>
    </w:p>
    <w:p w14:paraId="42E6129D" w14:textId="0EDF299F"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9</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noProof/>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394" cy="2762033"/>
                    </a:xfrm>
                    <a:prstGeom prst="rect">
                      <a:avLst/>
                    </a:prstGeom>
                  </pic:spPr>
                </pic:pic>
              </a:graphicData>
            </a:graphic>
          </wp:inline>
        </w:drawing>
      </w:r>
    </w:p>
    <w:p w14:paraId="2CA4777F" w14:textId="3F648043"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10</w:t>
      </w:r>
      <w:r w:rsidR="00C1217C" w:rsidRPr="00F51E31">
        <w:rPr>
          <w:i w:val="0"/>
          <w:iCs w:val="0"/>
          <w:color w:val="auto"/>
          <w:sz w:val="22"/>
          <w:szCs w:val="22"/>
        </w:rPr>
        <w:t>. Cohen’s Kappa of the classifier predictions for observed trait data (blue boc)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noProof/>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09720"/>
                    </a:xfrm>
                    <a:prstGeom prst="rect">
                      <a:avLst/>
                    </a:prstGeom>
                  </pic:spPr>
                </pic:pic>
              </a:graphicData>
            </a:graphic>
          </wp:inline>
        </w:drawing>
      </w:r>
    </w:p>
    <w:p w14:paraId="5AA1ADAA" w14:textId="4F7A17D5" w:rsidR="00F50FA4" w:rsidRPr="00F51E31" w:rsidRDefault="00F50FA4" w:rsidP="00F50FA4">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1</w:t>
      </w:r>
      <w:r w:rsidR="00C1217C" w:rsidRPr="00F51E31">
        <w:rPr>
          <w:i w:val="0"/>
          <w:iCs w:val="0"/>
          <w:color w:val="auto"/>
          <w:sz w:val="22"/>
          <w:szCs w:val="22"/>
        </w:rPr>
        <w:t xml:space="preserve">. Trait distribution of each </w:t>
      </w:r>
      <w:r w:rsidR="00CA5F4F">
        <w:rPr>
          <w:i w:val="0"/>
          <w:iCs w:val="0"/>
          <w:color w:val="auto"/>
          <w:sz w:val="22"/>
          <w:szCs w:val="22"/>
        </w:rPr>
        <w:t>niches</w:t>
      </w:r>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noProof/>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584315"/>
                    </a:xfrm>
                    <a:prstGeom prst="rect">
                      <a:avLst/>
                    </a:prstGeom>
                  </pic:spPr>
                </pic:pic>
              </a:graphicData>
            </a:graphic>
          </wp:inline>
        </w:drawing>
      </w:r>
    </w:p>
    <w:p w14:paraId="035CDED1" w14:textId="53598B69" w:rsidR="001E7990" w:rsidRPr="00F51E31" w:rsidRDefault="001E7990" w:rsidP="001E7990">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2</w:t>
      </w:r>
      <w:r w:rsidR="00C1217C" w:rsidRPr="00F51E31">
        <w:rPr>
          <w:i w:val="0"/>
          <w:iCs w:val="0"/>
          <w:color w:val="auto"/>
          <w:sz w:val="22"/>
          <w:szCs w:val="22"/>
        </w:rPr>
        <w:t xml:space="preserve">. Affinity matrix reflecting how often each species occurs on each inferred soil type. Species codes are colored by </w:t>
      </w:r>
      <w:r w:rsidR="00CA5F4F">
        <w:rPr>
          <w:i w:val="0"/>
          <w:iCs w:val="0"/>
          <w:color w:val="auto"/>
          <w:sz w:val="22"/>
          <w:szCs w:val="22"/>
        </w:rPr>
        <w:t>niches</w:t>
      </w:r>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596B4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-&gt;  class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-&gt;  class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-&gt;  class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-&gt;  class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-&gt;  class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-&gt;  class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-&gt;  class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r w:rsidRPr="00C1217C">
        <w:rPr>
          <w:rFonts w:ascii="Verdana" w:hAnsi="Verdana"/>
        </w:rPr>
        <w:tab/>
        <w:t xml:space="preserve">  ----------------</w:t>
      </w:r>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   (b)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E416E" w14:textId="77777777" w:rsidR="000E0FDB" w:rsidRDefault="000E0FDB" w:rsidP="003213D7">
      <w:pPr>
        <w:spacing w:after="0" w:line="240" w:lineRule="auto"/>
      </w:pPr>
      <w:r>
        <w:separator/>
      </w:r>
    </w:p>
  </w:endnote>
  <w:endnote w:type="continuationSeparator" w:id="0">
    <w:p w14:paraId="4E349226" w14:textId="77777777" w:rsidR="000E0FDB" w:rsidRDefault="000E0FDB" w:rsidP="0032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enorite Display">
    <w:altName w:val="Tenorite Display"/>
    <w:charset w:val="00"/>
    <w:family w:val="auto"/>
    <w:pitch w:val="variable"/>
    <w:sig w:usb0="80000003" w:usb1="00000001" w:usb2="00000000" w:usb3="00000000" w:csb0="00000001" w:csb1="00000000"/>
  </w:font>
  <w:font w:name="Tenorite">
    <w:altName w:val="Tenorite"/>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8EB9" w14:textId="77777777" w:rsidR="003213D7" w:rsidRDefault="0032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016C" w14:textId="77777777" w:rsidR="003213D7" w:rsidRDefault="00321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3A0C" w14:textId="77777777" w:rsidR="003213D7" w:rsidRDefault="0032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5471" w14:textId="77777777" w:rsidR="000E0FDB" w:rsidRDefault="000E0FDB" w:rsidP="003213D7">
      <w:pPr>
        <w:spacing w:after="0" w:line="240" w:lineRule="auto"/>
      </w:pPr>
      <w:r>
        <w:separator/>
      </w:r>
    </w:p>
  </w:footnote>
  <w:footnote w:type="continuationSeparator" w:id="0">
    <w:p w14:paraId="6463B28D" w14:textId="77777777" w:rsidR="000E0FDB" w:rsidRDefault="000E0FDB" w:rsidP="0032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D439" w14:textId="77777777" w:rsidR="003213D7" w:rsidRDefault="0032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B69F" w14:textId="77777777" w:rsidR="003213D7" w:rsidRDefault="0032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C92E" w14:textId="77777777" w:rsidR="003213D7" w:rsidRDefault="0032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E0FDB"/>
    <w:rsid w:val="000F5640"/>
    <w:rsid w:val="0018540F"/>
    <w:rsid w:val="001E7990"/>
    <w:rsid w:val="002B6536"/>
    <w:rsid w:val="003213D7"/>
    <w:rsid w:val="003B0E58"/>
    <w:rsid w:val="00427465"/>
    <w:rsid w:val="00467851"/>
    <w:rsid w:val="005643FB"/>
    <w:rsid w:val="00596B4F"/>
    <w:rsid w:val="005D5E79"/>
    <w:rsid w:val="00624F8D"/>
    <w:rsid w:val="00644867"/>
    <w:rsid w:val="0068398E"/>
    <w:rsid w:val="007D7DCF"/>
    <w:rsid w:val="00847ADD"/>
    <w:rsid w:val="008503F7"/>
    <w:rsid w:val="008B6F5F"/>
    <w:rsid w:val="008D6A60"/>
    <w:rsid w:val="00936CE8"/>
    <w:rsid w:val="00A126BE"/>
    <w:rsid w:val="00A32FD3"/>
    <w:rsid w:val="00A36382"/>
    <w:rsid w:val="00B03FF8"/>
    <w:rsid w:val="00B36FE2"/>
    <w:rsid w:val="00BB48EA"/>
    <w:rsid w:val="00BC7AC3"/>
    <w:rsid w:val="00C1217C"/>
    <w:rsid w:val="00CA5F4F"/>
    <w:rsid w:val="00CA7FC8"/>
    <w:rsid w:val="00CF5A60"/>
    <w:rsid w:val="00F50FA4"/>
    <w:rsid w:val="00F51E31"/>
    <w:rsid w:val="00F64BFB"/>
    <w:rsid w:val="00F8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D7"/>
  </w:style>
  <w:style w:type="paragraph" w:styleId="Footer">
    <w:name w:val="footer"/>
    <w:basedOn w:val="Normal"/>
    <w:link w:val="FooterChar"/>
    <w:uiPriority w:val="99"/>
    <w:unhideWhenUsed/>
    <w:rsid w:val="0032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572">
      <w:bodyDiv w:val="1"/>
      <w:marLeft w:val="0"/>
      <w:marRight w:val="0"/>
      <w:marTop w:val="0"/>
      <w:marBottom w:val="0"/>
      <w:divBdr>
        <w:top w:val="none" w:sz="0" w:space="0" w:color="auto"/>
        <w:left w:val="none" w:sz="0" w:space="0" w:color="auto"/>
        <w:bottom w:val="none" w:sz="0" w:space="0" w:color="auto"/>
        <w:right w:val="none" w:sz="0" w:space="0" w:color="auto"/>
      </w:divBdr>
    </w:div>
    <w:div w:id="808353545">
      <w:bodyDiv w:val="1"/>
      <w:marLeft w:val="0"/>
      <w:marRight w:val="0"/>
      <w:marTop w:val="0"/>
      <w:marBottom w:val="0"/>
      <w:divBdr>
        <w:top w:val="none" w:sz="0" w:space="0" w:color="auto"/>
        <w:left w:val="none" w:sz="0" w:space="0" w:color="auto"/>
        <w:bottom w:val="none" w:sz="0" w:space="0" w:color="auto"/>
        <w:right w:val="none" w:sz="0" w:space="0" w:color="auto"/>
      </w:divBdr>
    </w:div>
    <w:div w:id="16166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3300</TotalTime>
  <Pages>19</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7</cp:revision>
  <dcterms:created xsi:type="dcterms:W3CDTF">2021-05-21T22:50:00Z</dcterms:created>
  <dcterms:modified xsi:type="dcterms:W3CDTF">2021-06-02T18:45:00Z</dcterms:modified>
</cp:coreProperties>
</file>