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32AA1" w14:textId="45D59D36" w:rsidR="2D359D1E" w:rsidRPr="001836F4" w:rsidRDefault="2D359D1E" w:rsidP="2D359D1E">
      <w:pPr>
        <w:pStyle w:val="Title"/>
        <w:jc w:val="center"/>
        <w:rPr>
          <w:rFonts w:ascii="Times New Roman" w:eastAsia="Times New Roman" w:hAnsi="Times New Roman" w:cs="Times New Roman"/>
          <w:b/>
          <w:bCs/>
        </w:rPr>
      </w:pPr>
      <w:r w:rsidRPr="001836F4">
        <w:rPr>
          <w:rFonts w:ascii="Times New Roman" w:eastAsia="Times New Roman" w:hAnsi="Times New Roman" w:cs="Times New Roman"/>
          <w:b/>
          <w:bCs/>
        </w:rPr>
        <w:t>Simufilam as a Savior or a Simple Illusion?</w:t>
      </w:r>
    </w:p>
    <w:p w14:paraId="4F042B39" w14:textId="77777777" w:rsidR="00661890" w:rsidRDefault="00661890" w:rsidP="2D359D1E">
      <w:pPr>
        <w:spacing w:line="360" w:lineRule="auto"/>
        <w:jc w:val="center"/>
        <w:rPr>
          <w:b/>
          <w:bCs/>
        </w:rPr>
      </w:pPr>
    </w:p>
    <w:p w14:paraId="55BE0118" w14:textId="1D548878" w:rsidR="2D359D1E" w:rsidRPr="001836F4" w:rsidRDefault="2D359D1E" w:rsidP="2D359D1E">
      <w:pPr>
        <w:spacing w:line="360" w:lineRule="auto"/>
        <w:jc w:val="center"/>
        <w:rPr>
          <w:b/>
          <w:bCs/>
        </w:rPr>
      </w:pPr>
      <w:r w:rsidRPr="001836F4">
        <w:rPr>
          <w:b/>
          <w:bCs/>
        </w:rPr>
        <w:t>A Detailed Analysis of SAVA and its lead drug candidate: Simufilam.</w:t>
      </w:r>
    </w:p>
    <w:p w14:paraId="4E74ACDC" w14:textId="42B2ADBF" w:rsidR="2D359D1E" w:rsidRPr="001836F4" w:rsidRDefault="2D359D1E" w:rsidP="2D359D1E">
      <w:pPr>
        <w:spacing w:line="360" w:lineRule="auto"/>
        <w:jc w:val="center"/>
        <w:rPr>
          <w:b/>
          <w:bCs/>
        </w:rPr>
      </w:pPr>
      <w:r w:rsidRPr="001836F4">
        <w:rPr>
          <w:b/>
          <w:bCs/>
        </w:rPr>
        <w:t xml:space="preserve">A Paper Presenting Why We Are Convinced that SAVA is </w:t>
      </w:r>
      <w:bookmarkStart w:id="0" w:name="_Int_s6bzEmgB"/>
      <w:r w:rsidRPr="001836F4">
        <w:rPr>
          <w:b/>
          <w:bCs/>
        </w:rPr>
        <w:t>a Short</w:t>
      </w:r>
      <w:bookmarkEnd w:id="0"/>
      <w:r w:rsidRPr="001836F4">
        <w:rPr>
          <w:b/>
          <w:bCs/>
        </w:rPr>
        <w:t>.</w:t>
      </w:r>
    </w:p>
    <w:p w14:paraId="343EE5B4" w14:textId="6570FE3B" w:rsidR="2D359D1E" w:rsidRPr="001836F4" w:rsidRDefault="2D359D1E" w:rsidP="2D359D1E">
      <w:pPr>
        <w:spacing w:line="360" w:lineRule="auto"/>
        <w:jc w:val="center"/>
        <w:rPr>
          <w:b/>
          <w:bCs/>
        </w:rPr>
      </w:pPr>
    </w:p>
    <w:p w14:paraId="3067C78D" w14:textId="3379E47C" w:rsidR="2D359D1E" w:rsidRPr="001836F4" w:rsidRDefault="2D359D1E" w:rsidP="2D359D1E">
      <w:pPr>
        <w:spacing w:line="360" w:lineRule="auto"/>
        <w:jc w:val="center"/>
        <w:rPr>
          <w:i/>
          <w:iCs/>
        </w:rPr>
      </w:pPr>
      <w:r w:rsidRPr="001836F4">
        <w:rPr>
          <w:i/>
          <w:iCs/>
        </w:rPr>
        <w:t xml:space="preserve">Rafael Doye and </w:t>
      </w:r>
      <w:r w:rsidR="089AD0A5" w:rsidRPr="001836F4">
        <w:rPr>
          <w:i/>
          <w:iCs/>
        </w:rPr>
        <w:t>Matteo</w:t>
      </w:r>
      <w:r w:rsidRPr="001836F4">
        <w:rPr>
          <w:i/>
          <w:iCs/>
        </w:rPr>
        <w:t>, G. E., Doye.</w:t>
      </w:r>
    </w:p>
    <w:p w14:paraId="40C04CEB" w14:textId="7F25718E" w:rsidR="2D359D1E" w:rsidRPr="001836F4" w:rsidRDefault="2D359D1E" w:rsidP="2D359D1E">
      <w:pPr>
        <w:spacing w:line="360" w:lineRule="auto"/>
        <w:jc w:val="center"/>
        <w:rPr>
          <w:i/>
          <w:iCs/>
        </w:rPr>
      </w:pPr>
    </w:p>
    <w:p w14:paraId="707A2E44" w14:textId="21D4B51E" w:rsidR="2D359D1E" w:rsidRPr="001836F4" w:rsidRDefault="23F6EF5F" w:rsidP="2D359D1E">
      <w:pPr>
        <w:spacing w:line="360" w:lineRule="auto"/>
        <w:jc w:val="center"/>
      </w:pPr>
      <w:hyperlink r:id="rId8">
        <w:r w:rsidRPr="23F6EF5F">
          <w:rPr>
            <w:rStyle w:val="Hyperlink"/>
          </w:rPr>
          <w:t>contact@doyechalmelfreres.com</w:t>
        </w:r>
      </w:hyperlink>
    </w:p>
    <w:p w14:paraId="30DE074E" w14:textId="78E38404" w:rsidR="2D359D1E" w:rsidRPr="001836F4" w:rsidRDefault="2D359D1E" w:rsidP="2D359D1E">
      <w:pPr>
        <w:spacing w:line="360" w:lineRule="auto"/>
        <w:jc w:val="center"/>
      </w:pPr>
      <w:r w:rsidRPr="001836F4">
        <w:t>October 19, 2024</w:t>
      </w:r>
    </w:p>
    <w:p w14:paraId="57C3F6A7" w14:textId="05321D4B" w:rsidR="2D359D1E" w:rsidRPr="001836F4" w:rsidRDefault="2D359D1E" w:rsidP="2D359D1E">
      <w:pPr>
        <w:spacing w:line="360" w:lineRule="auto"/>
        <w:jc w:val="center"/>
      </w:pPr>
    </w:p>
    <w:p w14:paraId="4FA0C527" w14:textId="64BF6A73" w:rsidR="2D359D1E" w:rsidRPr="001836F4" w:rsidRDefault="2D359D1E" w:rsidP="2D359D1E">
      <w:pPr>
        <w:spacing w:line="360" w:lineRule="auto"/>
        <w:jc w:val="center"/>
        <w:rPr>
          <w:b/>
          <w:bCs/>
          <w:sz w:val="32"/>
          <w:szCs w:val="32"/>
          <w:u w:val="single"/>
        </w:rPr>
      </w:pPr>
      <w:r w:rsidRPr="001836F4">
        <w:rPr>
          <w:b/>
          <w:bCs/>
          <w:sz w:val="32"/>
          <w:szCs w:val="32"/>
          <w:u w:val="single"/>
        </w:rPr>
        <w:t>Disclaimer</w:t>
      </w:r>
    </w:p>
    <w:p w14:paraId="45C659B6" w14:textId="7BD4CDAC" w:rsidR="2D359D1E" w:rsidRPr="001836F4" w:rsidRDefault="2D359D1E" w:rsidP="2D359D1E">
      <w:pPr>
        <w:spacing w:line="360" w:lineRule="auto"/>
        <w:jc w:val="both"/>
      </w:pPr>
      <w:r w:rsidRPr="001836F4">
        <w:t xml:space="preserve">The authors of this paper have a financial interest in the stock SAVA – as a decline in the price of the stock would result in financial gains for the authors. The investment of the authors is of a bearish nature in relation to SAVA’s lead drug candidate – Simufilam. The authors expect the clinical results of the </w:t>
      </w:r>
      <w:r w:rsidR="7338A86B">
        <w:t>Phase</w:t>
      </w:r>
      <w:r w:rsidRPr="001836F4">
        <w:t xml:space="preserve"> III trial of Simufilam to be deceiving, leading to a sharp </w:t>
      </w:r>
      <w:r w:rsidR="7338A86B">
        <w:t xml:space="preserve">decline in the </w:t>
      </w:r>
      <w:r w:rsidRPr="001836F4">
        <w:t xml:space="preserve">stock price </w:t>
      </w:r>
      <w:r w:rsidR="7338A86B">
        <w:t>of</w:t>
      </w:r>
      <w:r w:rsidRPr="001836F4">
        <w:t xml:space="preserve"> SAVA – from which the authors would profit financially.</w:t>
      </w:r>
    </w:p>
    <w:p w14:paraId="026AD601" w14:textId="6B26474A" w:rsidR="2D359D1E" w:rsidRPr="001836F4" w:rsidRDefault="2D359D1E" w:rsidP="2D359D1E">
      <w:pPr>
        <w:spacing w:line="360" w:lineRule="auto"/>
        <w:jc w:val="both"/>
      </w:pPr>
      <w:r w:rsidRPr="001836F4">
        <w:t>This paper is solely based on the authors’ readings and analysis of the data that will be presented in this paper. No investment decision should be made solely based on the reading of this paper. This paper does not constitute any type of financial advice and is only there to present the authors’ analysis and personal opinions on SAVA.</w:t>
      </w:r>
    </w:p>
    <w:p w14:paraId="34AF6524" w14:textId="14C83F98" w:rsidR="2D359D1E" w:rsidRPr="001836F4" w:rsidRDefault="2D359D1E" w:rsidP="2D359D1E">
      <w:pPr>
        <w:spacing w:line="360" w:lineRule="auto"/>
        <w:jc w:val="both"/>
      </w:pPr>
      <w:r w:rsidRPr="001836F4">
        <w:t>We, the authors, reserve the right to change our position on SAVA in regard to a drastic change in the stock price of SAVA. We make no statement that our positions will remain short for the foreseeable future.</w:t>
      </w:r>
    </w:p>
    <w:p w14:paraId="019D5918" w14:textId="2B80BB2C" w:rsidR="2D359D1E" w:rsidRPr="001836F4" w:rsidRDefault="2D359D1E" w:rsidP="2D359D1E">
      <w:pPr>
        <w:spacing w:line="360" w:lineRule="auto"/>
        <w:jc w:val="both"/>
      </w:pPr>
      <w:r w:rsidRPr="001836F4">
        <w:t xml:space="preserve">The authors of this paper do not take any type of responsibility for any actions that a reader might take upon the reading of this paper – </w:t>
      </w:r>
      <w:bookmarkStart w:id="1" w:name="_Int_X2dnPZBV"/>
      <w:r w:rsidRPr="001836F4">
        <w:t>may it</w:t>
      </w:r>
      <w:bookmarkEnd w:id="1"/>
      <w:r w:rsidRPr="001836F4">
        <w:t xml:space="preserve"> result in financial loss</w:t>
      </w:r>
      <w:r w:rsidR="7338A86B">
        <w:t xml:space="preserve"> or any other outcome</w:t>
      </w:r>
      <w:r w:rsidRPr="001836F4">
        <w:t>.</w:t>
      </w:r>
    </w:p>
    <w:p w14:paraId="05A915E9" w14:textId="0D4B964A" w:rsidR="487CAA20" w:rsidRDefault="2D359D1E" w:rsidP="444CBF82">
      <w:pPr>
        <w:spacing w:line="360" w:lineRule="auto"/>
        <w:jc w:val="both"/>
      </w:pPr>
      <w:r w:rsidRPr="001836F4">
        <w:t>The views represented in this paper are only those of the authors’ and do not represent the entire view of Cassa Sciences concerning the market.</w:t>
      </w:r>
    </w:p>
    <w:p w14:paraId="23024D1B" w14:textId="6533E020" w:rsidR="005256A9" w:rsidRPr="001836F4" w:rsidRDefault="005256A9" w:rsidP="44A13BBC">
      <w:pPr>
        <w:spacing w:line="360" w:lineRule="auto"/>
        <w:jc w:val="both"/>
      </w:pPr>
    </w:p>
    <w:p w14:paraId="5D225FCB" w14:textId="324FAA5B" w:rsidR="005256A9" w:rsidRPr="001836F4" w:rsidRDefault="005256A9" w:rsidP="12DBB68B">
      <w:pPr>
        <w:spacing w:line="360" w:lineRule="auto"/>
        <w:jc w:val="both"/>
      </w:pPr>
    </w:p>
    <w:p w14:paraId="019AF643" w14:textId="233FBF82" w:rsidR="005256A9" w:rsidRPr="001836F4" w:rsidRDefault="65E67841" w:rsidP="08CC1778">
      <w:pPr>
        <w:spacing w:line="360" w:lineRule="auto"/>
        <w:jc w:val="center"/>
        <w:rPr>
          <w:b/>
          <w:sz w:val="32"/>
          <w:szCs w:val="32"/>
          <w:u w:val="single"/>
        </w:rPr>
      </w:pPr>
      <w:r w:rsidRPr="08CC1778">
        <w:rPr>
          <w:b/>
          <w:sz w:val="32"/>
          <w:szCs w:val="32"/>
          <w:u w:val="single"/>
        </w:rPr>
        <w:lastRenderedPageBreak/>
        <w:t xml:space="preserve">Table of </w:t>
      </w:r>
      <w:r w:rsidR="7024557A" w:rsidRPr="08CC1778">
        <w:rPr>
          <w:b/>
          <w:sz w:val="32"/>
          <w:szCs w:val="32"/>
          <w:u w:val="single"/>
        </w:rPr>
        <w:t>Contents</w:t>
      </w:r>
    </w:p>
    <w:sdt>
      <w:sdtPr>
        <w:id w:val="1021299242"/>
        <w:docPartObj>
          <w:docPartGallery w:val="Table of Contents"/>
          <w:docPartUnique/>
        </w:docPartObj>
      </w:sdtPr>
      <w:sdtEndPr/>
      <w:sdtContent>
        <w:p w14:paraId="5A096B71" w14:textId="1099F39A" w:rsidR="000463F0" w:rsidRDefault="000463F0" w:rsidP="5183A6D9">
          <w:pPr>
            <w:pStyle w:val="TOC1"/>
            <w:tabs>
              <w:tab w:val="right" w:leader="dot" w:pos="9345"/>
            </w:tabs>
            <w:rPr>
              <w:rStyle w:val="Hyperlink"/>
              <w:noProof/>
              <w:kern w:val="2"/>
              <w14:ligatures w14:val="standardContextual"/>
            </w:rPr>
          </w:pPr>
          <w:r>
            <w:fldChar w:fldCharType="begin"/>
          </w:r>
          <w:r w:rsidR="021DFF3B">
            <w:instrText>TOC \o "1-9" \z \u \h</w:instrText>
          </w:r>
          <w:r>
            <w:fldChar w:fldCharType="separate"/>
          </w:r>
          <w:hyperlink w:anchor="_Toc613257134">
            <w:r w:rsidR="5183A6D9" w:rsidRPr="5183A6D9">
              <w:rPr>
                <w:rStyle w:val="Hyperlink"/>
              </w:rPr>
              <w:t>Executive Summary</w:t>
            </w:r>
            <w:r w:rsidR="021DFF3B">
              <w:tab/>
            </w:r>
            <w:r w:rsidR="021DFF3B">
              <w:fldChar w:fldCharType="begin"/>
            </w:r>
            <w:r w:rsidR="021DFF3B">
              <w:instrText>PAGEREF _Toc613257134 \h</w:instrText>
            </w:r>
            <w:r w:rsidR="021DFF3B">
              <w:fldChar w:fldCharType="separate"/>
            </w:r>
            <w:r w:rsidR="5183A6D9" w:rsidRPr="5183A6D9">
              <w:rPr>
                <w:rStyle w:val="Hyperlink"/>
              </w:rPr>
              <w:t>2</w:t>
            </w:r>
            <w:r w:rsidR="021DFF3B">
              <w:fldChar w:fldCharType="end"/>
            </w:r>
          </w:hyperlink>
        </w:p>
        <w:p w14:paraId="366BC26A" w14:textId="09404D9F" w:rsidR="000463F0" w:rsidRDefault="5183A6D9" w:rsidP="5183A6D9">
          <w:pPr>
            <w:pStyle w:val="TOC1"/>
            <w:tabs>
              <w:tab w:val="right" w:leader="dot" w:pos="9345"/>
            </w:tabs>
            <w:rPr>
              <w:rStyle w:val="Hyperlink"/>
              <w:noProof/>
              <w:kern w:val="2"/>
              <w14:ligatures w14:val="standardContextual"/>
            </w:rPr>
          </w:pPr>
          <w:hyperlink w:anchor="_Toc1189032822">
            <w:r w:rsidRPr="5183A6D9">
              <w:rPr>
                <w:rStyle w:val="Hyperlink"/>
              </w:rPr>
              <w:t>The Intersection of Risk, Knowledge, and Uncertainty in Biotech Shorting</w:t>
            </w:r>
            <w:r w:rsidR="000463F0">
              <w:tab/>
            </w:r>
            <w:r w:rsidR="000463F0">
              <w:fldChar w:fldCharType="begin"/>
            </w:r>
            <w:r w:rsidR="000463F0">
              <w:instrText>PAGEREF _Toc1189032822 \h</w:instrText>
            </w:r>
            <w:r w:rsidR="000463F0">
              <w:fldChar w:fldCharType="separate"/>
            </w:r>
            <w:r w:rsidRPr="5183A6D9">
              <w:rPr>
                <w:rStyle w:val="Hyperlink"/>
              </w:rPr>
              <w:t>3</w:t>
            </w:r>
            <w:r w:rsidR="000463F0">
              <w:fldChar w:fldCharType="end"/>
            </w:r>
          </w:hyperlink>
        </w:p>
        <w:p w14:paraId="5F0E39B8" w14:textId="7FE32254" w:rsidR="000463F0" w:rsidRDefault="5183A6D9" w:rsidP="5183A6D9">
          <w:pPr>
            <w:pStyle w:val="TOC4"/>
            <w:tabs>
              <w:tab w:val="right" w:leader="dot" w:pos="9345"/>
            </w:tabs>
            <w:rPr>
              <w:rStyle w:val="Hyperlink"/>
              <w:noProof/>
              <w:kern w:val="2"/>
              <w14:ligatures w14:val="standardContextual"/>
            </w:rPr>
          </w:pPr>
          <w:hyperlink w:anchor="_Toc530029824">
            <w:r w:rsidRPr="5183A6D9">
              <w:rPr>
                <w:rStyle w:val="Hyperlink"/>
              </w:rPr>
              <w:t>What Do I Know, and How Do I Know it?</w:t>
            </w:r>
            <w:r w:rsidR="000463F0">
              <w:tab/>
            </w:r>
            <w:r w:rsidR="000463F0">
              <w:fldChar w:fldCharType="begin"/>
            </w:r>
            <w:r w:rsidR="000463F0">
              <w:instrText>PAGEREF _Toc530029824 \h</w:instrText>
            </w:r>
            <w:r w:rsidR="000463F0">
              <w:fldChar w:fldCharType="separate"/>
            </w:r>
            <w:r w:rsidRPr="5183A6D9">
              <w:rPr>
                <w:rStyle w:val="Hyperlink"/>
              </w:rPr>
              <w:t>4</w:t>
            </w:r>
            <w:r w:rsidR="000463F0">
              <w:fldChar w:fldCharType="end"/>
            </w:r>
          </w:hyperlink>
        </w:p>
        <w:p w14:paraId="3FC9202F" w14:textId="39C4002D" w:rsidR="000463F0" w:rsidRDefault="5183A6D9" w:rsidP="5183A6D9">
          <w:pPr>
            <w:pStyle w:val="TOC4"/>
            <w:tabs>
              <w:tab w:val="right" w:leader="dot" w:pos="9345"/>
            </w:tabs>
            <w:rPr>
              <w:rStyle w:val="Hyperlink"/>
              <w:noProof/>
              <w:kern w:val="2"/>
              <w14:ligatures w14:val="standardContextual"/>
            </w:rPr>
          </w:pPr>
          <w:hyperlink w:anchor="_Toc646506144">
            <w:r w:rsidRPr="5183A6D9">
              <w:rPr>
                <w:rStyle w:val="Hyperlink"/>
              </w:rPr>
              <w:t>How To Evaluate Scientific Risk?</w:t>
            </w:r>
            <w:r w:rsidR="000463F0">
              <w:tab/>
            </w:r>
            <w:r w:rsidR="000463F0">
              <w:fldChar w:fldCharType="begin"/>
            </w:r>
            <w:r w:rsidR="000463F0">
              <w:instrText>PAGEREF _Toc646506144 \h</w:instrText>
            </w:r>
            <w:r w:rsidR="000463F0">
              <w:fldChar w:fldCharType="separate"/>
            </w:r>
            <w:r w:rsidRPr="5183A6D9">
              <w:rPr>
                <w:rStyle w:val="Hyperlink"/>
              </w:rPr>
              <w:t>5</w:t>
            </w:r>
            <w:r w:rsidR="000463F0">
              <w:fldChar w:fldCharType="end"/>
            </w:r>
          </w:hyperlink>
        </w:p>
        <w:p w14:paraId="21E48AD6" w14:textId="1D9A811A" w:rsidR="000463F0" w:rsidRDefault="5183A6D9" w:rsidP="5183A6D9">
          <w:pPr>
            <w:pStyle w:val="TOC4"/>
            <w:tabs>
              <w:tab w:val="right" w:leader="dot" w:pos="9345"/>
            </w:tabs>
            <w:rPr>
              <w:rStyle w:val="Hyperlink"/>
              <w:noProof/>
              <w:kern w:val="2"/>
              <w14:ligatures w14:val="standardContextual"/>
            </w:rPr>
          </w:pPr>
          <w:hyperlink w:anchor="_Toc1508353964">
            <w:r w:rsidRPr="5183A6D9">
              <w:rPr>
                <w:rStyle w:val="Hyperlink"/>
              </w:rPr>
              <w:t>How Confident Can I Be in My Knowledge and Reasoning?</w:t>
            </w:r>
            <w:r w:rsidR="000463F0">
              <w:tab/>
            </w:r>
            <w:r w:rsidR="000463F0">
              <w:fldChar w:fldCharType="begin"/>
            </w:r>
            <w:r w:rsidR="000463F0">
              <w:instrText>PAGEREF _Toc1508353964 \h</w:instrText>
            </w:r>
            <w:r w:rsidR="000463F0">
              <w:fldChar w:fldCharType="separate"/>
            </w:r>
            <w:r w:rsidRPr="5183A6D9">
              <w:rPr>
                <w:rStyle w:val="Hyperlink"/>
              </w:rPr>
              <w:t>6</w:t>
            </w:r>
            <w:r w:rsidR="000463F0">
              <w:fldChar w:fldCharType="end"/>
            </w:r>
          </w:hyperlink>
        </w:p>
        <w:p w14:paraId="57AEEC76" w14:textId="41C68995" w:rsidR="000463F0" w:rsidRDefault="5183A6D9" w:rsidP="5183A6D9">
          <w:pPr>
            <w:pStyle w:val="TOC4"/>
            <w:tabs>
              <w:tab w:val="right" w:leader="dot" w:pos="9345"/>
            </w:tabs>
            <w:rPr>
              <w:rStyle w:val="Hyperlink"/>
              <w:noProof/>
              <w:kern w:val="2"/>
              <w14:ligatures w14:val="standardContextual"/>
            </w:rPr>
          </w:pPr>
          <w:hyperlink w:anchor="_Toc1327069139">
            <w:r w:rsidRPr="5183A6D9">
              <w:rPr>
                <w:rStyle w:val="Hyperlink"/>
              </w:rPr>
              <w:t>What Am I Not Seeing?</w:t>
            </w:r>
            <w:r w:rsidR="000463F0">
              <w:tab/>
            </w:r>
            <w:r w:rsidR="000463F0">
              <w:fldChar w:fldCharType="begin"/>
            </w:r>
            <w:r w:rsidR="000463F0">
              <w:instrText>PAGEREF _Toc1327069139 \h</w:instrText>
            </w:r>
            <w:r w:rsidR="000463F0">
              <w:fldChar w:fldCharType="separate"/>
            </w:r>
            <w:r w:rsidRPr="5183A6D9">
              <w:rPr>
                <w:rStyle w:val="Hyperlink"/>
              </w:rPr>
              <w:t>7</w:t>
            </w:r>
            <w:r w:rsidR="000463F0">
              <w:fldChar w:fldCharType="end"/>
            </w:r>
          </w:hyperlink>
        </w:p>
        <w:p w14:paraId="6CB257F6" w14:textId="6D19C12F" w:rsidR="000463F0" w:rsidRDefault="5183A6D9" w:rsidP="5183A6D9">
          <w:pPr>
            <w:pStyle w:val="TOC4"/>
            <w:tabs>
              <w:tab w:val="right" w:leader="dot" w:pos="9345"/>
            </w:tabs>
            <w:rPr>
              <w:rStyle w:val="Hyperlink"/>
              <w:noProof/>
              <w:kern w:val="2"/>
              <w14:ligatures w14:val="standardContextual"/>
            </w:rPr>
          </w:pPr>
          <w:hyperlink w:anchor="_Toc1433151808">
            <w:r w:rsidRPr="5183A6D9">
              <w:rPr>
                <w:rStyle w:val="Hyperlink"/>
              </w:rPr>
              <w:t>How Do I Know for Sure?</w:t>
            </w:r>
            <w:r w:rsidR="000463F0">
              <w:tab/>
            </w:r>
            <w:r w:rsidR="000463F0">
              <w:fldChar w:fldCharType="begin"/>
            </w:r>
            <w:r w:rsidR="000463F0">
              <w:instrText>PAGEREF _Toc1433151808 \h</w:instrText>
            </w:r>
            <w:r w:rsidR="000463F0">
              <w:fldChar w:fldCharType="separate"/>
            </w:r>
            <w:r w:rsidRPr="5183A6D9">
              <w:rPr>
                <w:rStyle w:val="Hyperlink"/>
              </w:rPr>
              <w:t>7</w:t>
            </w:r>
            <w:r w:rsidR="000463F0">
              <w:fldChar w:fldCharType="end"/>
            </w:r>
          </w:hyperlink>
        </w:p>
        <w:p w14:paraId="10E56431" w14:textId="176F60C5" w:rsidR="000463F0" w:rsidRDefault="5183A6D9" w:rsidP="5183A6D9">
          <w:pPr>
            <w:pStyle w:val="TOC4"/>
            <w:tabs>
              <w:tab w:val="right" w:leader="dot" w:pos="9345"/>
            </w:tabs>
            <w:rPr>
              <w:rStyle w:val="Hyperlink"/>
              <w:noProof/>
              <w:kern w:val="2"/>
              <w14:ligatures w14:val="standardContextual"/>
            </w:rPr>
          </w:pPr>
          <w:hyperlink w:anchor="_Toc862137310">
            <w:r w:rsidRPr="5183A6D9">
              <w:rPr>
                <w:rStyle w:val="Hyperlink"/>
              </w:rPr>
              <w:t>Could My Assumptions Be Wrong?</w:t>
            </w:r>
            <w:r w:rsidR="000463F0">
              <w:tab/>
            </w:r>
            <w:r w:rsidR="000463F0">
              <w:fldChar w:fldCharType="begin"/>
            </w:r>
            <w:r w:rsidR="000463F0">
              <w:instrText>PAGEREF _Toc862137310 \h</w:instrText>
            </w:r>
            <w:r w:rsidR="000463F0">
              <w:fldChar w:fldCharType="separate"/>
            </w:r>
            <w:r w:rsidRPr="5183A6D9">
              <w:rPr>
                <w:rStyle w:val="Hyperlink"/>
              </w:rPr>
              <w:t>8</w:t>
            </w:r>
            <w:r w:rsidR="000463F0">
              <w:fldChar w:fldCharType="end"/>
            </w:r>
          </w:hyperlink>
        </w:p>
        <w:p w14:paraId="4B416DF6" w14:textId="56324B1E" w:rsidR="000463F0" w:rsidRDefault="5183A6D9" w:rsidP="5183A6D9">
          <w:pPr>
            <w:pStyle w:val="TOC4"/>
            <w:tabs>
              <w:tab w:val="right" w:leader="dot" w:pos="9345"/>
            </w:tabs>
            <w:rPr>
              <w:rStyle w:val="Hyperlink"/>
              <w:noProof/>
              <w:kern w:val="2"/>
              <w14:ligatures w14:val="standardContextual"/>
            </w:rPr>
          </w:pPr>
          <w:hyperlink w:anchor="_Toc713326093">
            <w:r w:rsidRPr="5183A6D9">
              <w:rPr>
                <w:rStyle w:val="Hyperlink"/>
              </w:rPr>
              <w:t>Key Takeaways</w:t>
            </w:r>
            <w:r w:rsidR="000463F0">
              <w:tab/>
            </w:r>
            <w:r w:rsidR="000463F0">
              <w:fldChar w:fldCharType="begin"/>
            </w:r>
            <w:r w:rsidR="000463F0">
              <w:instrText>PAGEREF _Toc713326093 \h</w:instrText>
            </w:r>
            <w:r w:rsidR="000463F0">
              <w:fldChar w:fldCharType="separate"/>
            </w:r>
            <w:r w:rsidRPr="5183A6D9">
              <w:rPr>
                <w:rStyle w:val="Hyperlink"/>
              </w:rPr>
              <w:t>8</w:t>
            </w:r>
            <w:r w:rsidR="000463F0">
              <w:fldChar w:fldCharType="end"/>
            </w:r>
          </w:hyperlink>
        </w:p>
        <w:p w14:paraId="28245F1E" w14:textId="2C49E14B" w:rsidR="000463F0" w:rsidRDefault="5183A6D9" w:rsidP="5183A6D9">
          <w:pPr>
            <w:pStyle w:val="TOC1"/>
            <w:tabs>
              <w:tab w:val="right" w:leader="dot" w:pos="9345"/>
            </w:tabs>
            <w:rPr>
              <w:rStyle w:val="Hyperlink"/>
              <w:noProof/>
              <w:kern w:val="2"/>
              <w14:ligatures w14:val="standardContextual"/>
            </w:rPr>
          </w:pPr>
          <w:hyperlink w:anchor="_Toc319552562">
            <w:r w:rsidRPr="5183A6D9">
              <w:rPr>
                <w:rStyle w:val="Hyperlink"/>
              </w:rPr>
              <w:t>Key Reasons Why We Are Shorting Cassava Sciences:</w:t>
            </w:r>
            <w:r w:rsidR="000463F0">
              <w:tab/>
            </w:r>
            <w:r w:rsidR="000463F0">
              <w:fldChar w:fldCharType="begin"/>
            </w:r>
            <w:r w:rsidR="000463F0">
              <w:instrText>PAGEREF _Toc319552562 \h</w:instrText>
            </w:r>
            <w:r w:rsidR="000463F0">
              <w:fldChar w:fldCharType="separate"/>
            </w:r>
            <w:r w:rsidRPr="5183A6D9">
              <w:rPr>
                <w:rStyle w:val="Hyperlink"/>
              </w:rPr>
              <w:t>9</w:t>
            </w:r>
            <w:r w:rsidR="000463F0">
              <w:fldChar w:fldCharType="end"/>
            </w:r>
          </w:hyperlink>
        </w:p>
        <w:p w14:paraId="1661D931" w14:textId="3E19CA86" w:rsidR="000463F0" w:rsidRDefault="5183A6D9" w:rsidP="5183A6D9">
          <w:pPr>
            <w:pStyle w:val="TOC1"/>
            <w:tabs>
              <w:tab w:val="right" w:leader="dot" w:pos="9345"/>
            </w:tabs>
            <w:rPr>
              <w:rStyle w:val="Hyperlink"/>
              <w:noProof/>
              <w:kern w:val="2"/>
              <w14:ligatures w14:val="standardContextual"/>
            </w:rPr>
          </w:pPr>
          <w:hyperlink w:anchor="_Toc534556654">
            <w:r w:rsidRPr="5183A6D9">
              <w:rPr>
                <w:rStyle w:val="Hyperlink"/>
              </w:rPr>
              <w:t>Overview of Cassava Sciences and Simufilam</w:t>
            </w:r>
            <w:r w:rsidR="000463F0">
              <w:tab/>
            </w:r>
            <w:r w:rsidR="000463F0">
              <w:fldChar w:fldCharType="begin"/>
            </w:r>
            <w:r w:rsidR="000463F0">
              <w:instrText>PAGEREF _Toc534556654 \h</w:instrText>
            </w:r>
            <w:r w:rsidR="000463F0">
              <w:fldChar w:fldCharType="separate"/>
            </w:r>
            <w:r w:rsidRPr="5183A6D9">
              <w:rPr>
                <w:rStyle w:val="Hyperlink"/>
              </w:rPr>
              <w:t>10</w:t>
            </w:r>
            <w:r w:rsidR="000463F0">
              <w:fldChar w:fldCharType="end"/>
            </w:r>
          </w:hyperlink>
        </w:p>
        <w:p w14:paraId="42D5F7BB" w14:textId="4C919C67" w:rsidR="000463F0" w:rsidRDefault="5183A6D9" w:rsidP="5183A6D9">
          <w:pPr>
            <w:pStyle w:val="TOC2"/>
            <w:tabs>
              <w:tab w:val="right" w:leader="dot" w:pos="9345"/>
            </w:tabs>
            <w:rPr>
              <w:rStyle w:val="Hyperlink"/>
              <w:noProof/>
              <w:kern w:val="2"/>
              <w14:ligatures w14:val="standardContextual"/>
            </w:rPr>
          </w:pPr>
          <w:hyperlink w:anchor="_Toc1739044869">
            <w:r w:rsidRPr="5183A6D9">
              <w:rPr>
                <w:rStyle w:val="Hyperlink"/>
              </w:rPr>
              <w:t>Simufilam's Proposed Mechanism of Action</w:t>
            </w:r>
            <w:r w:rsidR="000463F0">
              <w:tab/>
            </w:r>
            <w:r w:rsidR="000463F0">
              <w:fldChar w:fldCharType="begin"/>
            </w:r>
            <w:r w:rsidR="000463F0">
              <w:instrText>PAGEREF _Toc1739044869 \h</w:instrText>
            </w:r>
            <w:r w:rsidR="000463F0">
              <w:fldChar w:fldCharType="separate"/>
            </w:r>
            <w:r w:rsidRPr="5183A6D9">
              <w:rPr>
                <w:rStyle w:val="Hyperlink"/>
              </w:rPr>
              <w:t>11</w:t>
            </w:r>
            <w:r w:rsidR="000463F0">
              <w:fldChar w:fldCharType="end"/>
            </w:r>
          </w:hyperlink>
        </w:p>
        <w:p w14:paraId="258D8CFD" w14:textId="2B8E7B66" w:rsidR="000463F0" w:rsidRDefault="5183A6D9" w:rsidP="5183A6D9">
          <w:pPr>
            <w:pStyle w:val="TOC1"/>
            <w:tabs>
              <w:tab w:val="right" w:leader="dot" w:pos="9345"/>
            </w:tabs>
            <w:rPr>
              <w:rStyle w:val="Hyperlink"/>
              <w:noProof/>
              <w:kern w:val="2"/>
              <w14:ligatures w14:val="standardContextual"/>
            </w:rPr>
          </w:pPr>
          <w:hyperlink w:anchor="_Toc554401941">
            <w:r w:rsidRPr="5183A6D9">
              <w:rPr>
                <w:rStyle w:val="Hyperlink"/>
              </w:rPr>
              <w:t>Scientific Factors Proving Simufilam Will Most Likely Fail</w:t>
            </w:r>
            <w:r w:rsidR="000463F0">
              <w:tab/>
            </w:r>
            <w:r w:rsidR="000463F0">
              <w:fldChar w:fldCharType="begin"/>
            </w:r>
            <w:r w:rsidR="000463F0">
              <w:instrText>PAGEREF _Toc554401941 \h</w:instrText>
            </w:r>
            <w:r w:rsidR="000463F0">
              <w:fldChar w:fldCharType="separate"/>
            </w:r>
            <w:r w:rsidRPr="5183A6D9">
              <w:rPr>
                <w:rStyle w:val="Hyperlink"/>
              </w:rPr>
              <w:t>12</w:t>
            </w:r>
            <w:r w:rsidR="000463F0">
              <w:fldChar w:fldCharType="end"/>
            </w:r>
          </w:hyperlink>
        </w:p>
        <w:p w14:paraId="42668766" w14:textId="01257850" w:rsidR="000463F0" w:rsidRDefault="5183A6D9" w:rsidP="5183A6D9">
          <w:pPr>
            <w:pStyle w:val="TOC2"/>
            <w:tabs>
              <w:tab w:val="right" w:leader="dot" w:pos="9345"/>
            </w:tabs>
            <w:rPr>
              <w:rStyle w:val="Hyperlink"/>
              <w:noProof/>
              <w:kern w:val="2"/>
              <w14:ligatures w14:val="standardContextual"/>
            </w:rPr>
          </w:pPr>
          <w:hyperlink w:anchor="_Toc221904482">
            <w:r w:rsidRPr="5183A6D9">
              <w:rPr>
                <w:rStyle w:val="Hyperlink"/>
              </w:rPr>
              <w:t>1. LogP Value and Drug Bioavailability</w:t>
            </w:r>
            <w:r w:rsidR="000463F0">
              <w:tab/>
            </w:r>
            <w:r w:rsidR="000463F0">
              <w:fldChar w:fldCharType="begin"/>
            </w:r>
            <w:r w:rsidR="000463F0">
              <w:instrText>PAGEREF _Toc221904482 \h</w:instrText>
            </w:r>
            <w:r w:rsidR="000463F0">
              <w:fldChar w:fldCharType="separate"/>
            </w:r>
            <w:r w:rsidRPr="5183A6D9">
              <w:rPr>
                <w:rStyle w:val="Hyperlink"/>
              </w:rPr>
              <w:t>12</w:t>
            </w:r>
            <w:r w:rsidR="000463F0">
              <w:fldChar w:fldCharType="end"/>
            </w:r>
          </w:hyperlink>
        </w:p>
        <w:p w14:paraId="72652473" w14:textId="77721127" w:rsidR="000463F0" w:rsidRDefault="5183A6D9" w:rsidP="5183A6D9">
          <w:pPr>
            <w:pStyle w:val="TOC3"/>
            <w:tabs>
              <w:tab w:val="right" w:leader="dot" w:pos="9345"/>
            </w:tabs>
            <w:rPr>
              <w:rStyle w:val="Hyperlink"/>
              <w:noProof/>
              <w:kern w:val="2"/>
              <w14:ligatures w14:val="standardContextual"/>
            </w:rPr>
          </w:pPr>
          <w:hyperlink w:anchor="_Toc1097754145">
            <w:r w:rsidRPr="5183A6D9">
              <w:rPr>
                <w:rStyle w:val="Hyperlink"/>
              </w:rPr>
              <w:t>Focusing on the LogP value, and its Importance in Neurodegenerative Diseases such as AD</w:t>
            </w:r>
            <w:r w:rsidR="000463F0">
              <w:tab/>
            </w:r>
            <w:r w:rsidR="000463F0">
              <w:fldChar w:fldCharType="begin"/>
            </w:r>
            <w:r w:rsidR="000463F0">
              <w:instrText>PAGEREF _Toc1097754145 \h</w:instrText>
            </w:r>
            <w:r w:rsidR="000463F0">
              <w:fldChar w:fldCharType="separate"/>
            </w:r>
            <w:r w:rsidRPr="5183A6D9">
              <w:rPr>
                <w:rStyle w:val="Hyperlink"/>
              </w:rPr>
              <w:t>13</w:t>
            </w:r>
            <w:r w:rsidR="000463F0">
              <w:fldChar w:fldCharType="end"/>
            </w:r>
          </w:hyperlink>
        </w:p>
        <w:p w14:paraId="2D344C29" w14:textId="187C45D8" w:rsidR="000463F0" w:rsidRDefault="5183A6D9" w:rsidP="5183A6D9">
          <w:pPr>
            <w:pStyle w:val="TOC3"/>
            <w:tabs>
              <w:tab w:val="right" w:leader="dot" w:pos="9345"/>
            </w:tabs>
            <w:rPr>
              <w:rStyle w:val="Hyperlink"/>
              <w:noProof/>
              <w:kern w:val="2"/>
              <w14:ligatures w14:val="standardContextual"/>
            </w:rPr>
          </w:pPr>
          <w:hyperlink w:anchor="_Toc98113195">
            <w:r w:rsidRPr="5183A6D9">
              <w:rPr>
                <w:rStyle w:val="Hyperlink"/>
              </w:rPr>
              <w:t>Computation and Assessment of a pKa Value for Simufilam</w:t>
            </w:r>
            <w:r w:rsidR="000463F0">
              <w:tab/>
            </w:r>
            <w:r w:rsidR="000463F0">
              <w:fldChar w:fldCharType="begin"/>
            </w:r>
            <w:r w:rsidR="000463F0">
              <w:instrText>PAGEREF _Toc98113195 \h</w:instrText>
            </w:r>
            <w:r w:rsidR="000463F0">
              <w:fldChar w:fldCharType="separate"/>
            </w:r>
            <w:r w:rsidRPr="5183A6D9">
              <w:rPr>
                <w:rStyle w:val="Hyperlink"/>
              </w:rPr>
              <w:t>14</w:t>
            </w:r>
            <w:r w:rsidR="000463F0">
              <w:fldChar w:fldCharType="end"/>
            </w:r>
          </w:hyperlink>
        </w:p>
        <w:p w14:paraId="4A5A8873" w14:textId="5B856596" w:rsidR="000463F0" w:rsidRDefault="5183A6D9" w:rsidP="5183A6D9">
          <w:pPr>
            <w:pStyle w:val="TOC2"/>
            <w:tabs>
              <w:tab w:val="right" w:leader="dot" w:pos="9345"/>
            </w:tabs>
            <w:rPr>
              <w:rStyle w:val="Hyperlink"/>
              <w:noProof/>
              <w:kern w:val="2"/>
              <w14:ligatures w14:val="standardContextual"/>
            </w:rPr>
          </w:pPr>
          <w:hyperlink w:anchor="_Toc755785178">
            <w:r w:rsidRPr="5183A6D9">
              <w:rPr>
                <w:rStyle w:val="Hyperlink"/>
              </w:rPr>
              <w:t>2. Potential Problems with Potency</w:t>
            </w:r>
            <w:r w:rsidR="000463F0">
              <w:tab/>
            </w:r>
            <w:r w:rsidR="000463F0">
              <w:fldChar w:fldCharType="begin"/>
            </w:r>
            <w:r w:rsidR="000463F0">
              <w:instrText>PAGEREF _Toc755785178 \h</w:instrText>
            </w:r>
            <w:r w:rsidR="000463F0">
              <w:fldChar w:fldCharType="separate"/>
            </w:r>
            <w:r w:rsidRPr="5183A6D9">
              <w:rPr>
                <w:rStyle w:val="Hyperlink"/>
              </w:rPr>
              <w:t>16</w:t>
            </w:r>
            <w:r w:rsidR="000463F0">
              <w:fldChar w:fldCharType="end"/>
            </w:r>
          </w:hyperlink>
        </w:p>
        <w:p w14:paraId="0E318F87" w14:textId="65F15730" w:rsidR="000463F0" w:rsidRDefault="5183A6D9" w:rsidP="5183A6D9">
          <w:pPr>
            <w:pStyle w:val="TOC2"/>
            <w:tabs>
              <w:tab w:val="right" w:leader="dot" w:pos="9345"/>
            </w:tabs>
            <w:rPr>
              <w:rStyle w:val="Hyperlink"/>
              <w:noProof/>
              <w:kern w:val="2"/>
              <w14:ligatures w14:val="standardContextual"/>
            </w:rPr>
          </w:pPr>
          <w:hyperlink w:anchor="_Toc2112708832">
            <w:r w:rsidRPr="5183A6D9">
              <w:rPr>
                <w:rStyle w:val="Hyperlink"/>
              </w:rPr>
              <w:t>3. Protein-Protein Interactions and FLNA Targeting</w:t>
            </w:r>
            <w:r w:rsidR="000463F0">
              <w:tab/>
            </w:r>
            <w:r w:rsidR="000463F0">
              <w:fldChar w:fldCharType="begin"/>
            </w:r>
            <w:r w:rsidR="000463F0">
              <w:instrText>PAGEREF _Toc2112708832 \h</w:instrText>
            </w:r>
            <w:r w:rsidR="000463F0">
              <w:fldChar w:fldCharType="separate"/>
            </w:r>
            <w:r w:rsidRPr="5183A6D9">
              <w:rPr>
                <w:rStyle w:val="Hyperlink"/>
              </w:rPr>
              <w:t>17</w:t>
            </w:r>
            <w:r w:rsidR="000463F0">
              <w:fldChar w:fldCharType="end"/>
            </w:r>
          </w:hyperlink>
        </w:p>
        <w:p w14:paraId="1E5BE92A" w14:textId="20F32233" w:rsidR="000463F0" w:rsidRDefault="5183A6D9" w:rsidP="5183A6D9">
          <w:pPr>
            <w:pStyle w:val="TOC2"/>
            <w:tabs>
              <w:tab w:val="right" w:leader="dot" w:pos="9345"/>
            </w:tabs>
            <w:rPr>
              <w:rStyle w:val="Hyperlink"/>
              <w:noProof/>
              <w:kern w:val="2"/>
              <w14:ligatures w14:val="standardContextual"/>
            </w:rPr>
          </w:pPr>
          <w:hyperlink w:anchor="_Toc670175646">
            <w:r w:rsidRPr="5183A6D9">
              <w:rPr>
                <w:rStyle w:val="Hyperlink"/>
              </w:rPr>
              <w:t>4. Naloxone Binding to FLNA and the VAKGL Peptide</w:t>
            </w:r>
            <w:r w:rsidR="000463F0">
              <w:tab/>
            </w:r>
            <w:r w:rsidR="000463F0">
              <w:fldChar w:fldCharType="begin"/>
            </w:r>
            <w:r w:rsidR="000463F0">
              <w:instrText>PAGEREF _Toc670175646 \h</w:instrText>
            </w:r>
            <w:r w:rsidR="000463F0">
              <w:fldChar w:fldCharType="separate"/>
            </w:r>
            <w:r w:rsidRPr="5183A6D9">
              <w:rPr>
                <w:rStyle w:val="Hyperlink"/>
              </w:rPr>
              <w:t>18</w:t>
            </w:r>
            <w:r w:rsidR="000463F0">
              <w:fldChar w:fldCharType="end"/>
            </w:r>
          </w:hyperlink>
        </w:p>
        <w:p w14:paraId="470CAFCC" w14:textId="76D3E40F" w:rsidR="000463F0" w:rsidRDefault="5183A6D9" w:rsidP="5183A6D9">
          <w:pPr>
            <w:pStyle w:val="TOC2"/>
            <w:tabs>
              <w:tab w:val="right" w:leader="dot" w:pos="9345"/>
            </w:tabs>
            <w:rPr>
              <w:rStyle w:val="Hyperlink"/>
              <w:noProof/>
              <w:kern w:val="2"/>
              <w14:ligatures w14:val="standardContextual"/>
            </w:rPr>
          </w:pPr>
          <w:hyperlink w:anchor="_Toc262158701">
            <w:r w:rsidRPr="5183A6D9">
              <w:rPr>
                <w:rStyle w:val="Hyperlink"/>
              </w:rPr>
              <w:t>5. FLNA Discords and Its Use in Alzheimer’s Disease</w:t>
            </w:r>
            <w:r w:rsidR="000463F0">
              <w:tab/>
            </w:r>
            <w:r w:rsidR="000463F0">
              <w:fldChar w:fldCharType="begin"/>
            </w:r>
            <w:r w:rsidR="000463F0">
              <w:instrText>PAGEREF _Toc262158701 \h</w:instrText>
            </w:r>
            <w:r w:rsidR="000463F0">
              <w:fldChar w:fldCharType="separate"/>
            </w:r>
            <w:r w:rsidRPr="5183A6D9">
              <w:rPr>
                <w:rStyle w:val="Hyperlink"/>
              </w:rPr>
              <w:t>24</w:t>
            </w:r>
            <w:r w:rsidR="000463F0">
              <w:fldChar w:fldCharType="end"/>
            </w:r>
          </w:hyperlink>
        </w:p>
        <w:p w14:paraId="4CC10026" w14:textId="2780F2FB" w:rsidR="000463F0" w:rsidRDefault="5183A6D9" w:rsidP="5183A6D9">
          <w:pPr>
            <w:pStyle w:val="TOC2"/>
            <w:tabs>
              <w:tab w:val="right" w:leader="dot" w:pos="9345"/>
            </w:tabs>
            <w:rPr>
              <w:rStyle w:val="Hyperlink"/>
              <w:noProof/>
              <w:kern w:val="2"/>
              <w14:ligatures w14:val="standardContextual"/>
            </w:rPr>
          </w:pPr>
          <w:hyperlink w:anchor="_Toc340409140">
            <w:r w:rsidRPr="5183A6D9">
              <w:rPr>
                <w:rStyle w:val="Hyperlink"/>
              </w:rPr>
              <w:t>6. Hyperphosphorylation: Not a Kinase-Targeting Drug</w:t>
            </w:r>
            <w:r w:rsidR="000463F0">
              <w:tab/>
            </w:r>
            <w:r w:rsidR="000463F0">
              <w:fldChar w:fldCharType="begin"/>
            </w:r>
            <w:r w:rsidR="000463F0">
              <w:instrText>PAGEREF _Toc340409140 \h</w:instrText>
            </w:r>
            <w:r w:rsidR="000463F0">
              <w:fldChar w:fldCharType="separate"/>
            </w:r>
            <w:r w:rsidRPr="5183A6D9">
              <w:rPr>
                <w:rStyle w:val="Hyperlink"/>
              </w:rPr>
              <w:t>30</w:t>
            </w:r>
            <w:r w:rsidR="000463F0">
              <w:fldChar w:fldCharType="end"/>
            </w:r>
          </w:hyperlink>
        </w:p>
        <w:p w14:paraId="232F7FE2" w14:textId="0528134D" w:rsidR="000463F0" w:rsidRDefault="5183A6D9" w:rsidP="5183A6D9">
          <w:pPr>
            <w:pStyle w:val="TOC4"/>
            <w:tabs>
              <w:tab w:val="right" w:leader="dot" w:pos="9345"/>
            </w:tabs>
            <w:rPr>
              <w:rStyle w:val="Hyperlink"/>
              <w:noProof/>
              <w:kern w:val="2"/>
              <w14:ligatures w14:val="standardContextual"/>
            </w:rPr>
          </w:pPr>
          <w:hyperlink w:anchor="_Toc112625075">
            <w:r w:rsidRPr="5183A6D9">
              <w:rPr>
                <w:rStyle w:val="Hyperlink"/>
              </w:rPr>
              <w:t>Simufilam does not exert its effects through direct kinase activity or phosphorylation – so how does it do it?</w:t>
            </w:r>
            <w:r w:rsidR="000463F0">
              <w:tab/>
            </w:r>
            <w:r w:rsidR="000463F0">
              <w:fldChar w:fldCharType="begin"/>
            </w:r>
            <w:r w:rsidR="000463F0">
              <w:instrText>PAGEREF _Toc112625075 \h</w:instrText>
            </w:r>
            <w:r w:rsidR="000463F0">
              <w:fldChar w:fldCharType="separate"/>
            </w:r>
            <w:r w:rsidRPr="5183A6D9">
              <w:rPr>
                <w:rStyle w:val="Hyperlink"/>
              </w:rPr>
              <w:t>31</w:t>
            </w:r>
            <w:r w:rsidR="000463F0">
              <w:fldChar w:fldCharType="end"/>
            </w:r>
          </w:hyperlink>
        </w:p>
        <w:p w14:paraId="7049BEEA" w14:textId="58F4737E" w:rsidR="000463F0" w:rsidRDefault="5183A6D9" w:rsidP="5183A6D9">
          <w:pPr>
            <w:pStyle w:val="TOC2"/>
            <w:tabs>
              <w:tab w:val="right" w:leader="dot" w:pos="9345"/>
            </w:tabs>
            <w:rPr>
              <w:rStyle w:val="Hyperlink"/>
              <w:noProof/>
              <w:kern w:val="2"/>
              <w14:ligatures w14:val="standardContextual"/>
            </w:rPr>
          </w:pPr>
          <w:hyperlink w:anchor="_Toc1820833950">
            <w:r w:rsidRPr="5183A6D9">
              <w:rPr>
                <w:rStyle w:val="Hyperlink"/>
              </w:rPr>
              <w:t>7. α7 Nicotinic Acetylcholine Receptor (nAChR) Drugs Have Already Failed in Alzheimer’s Disease</w:t>
            </w:r>
            <w:r w:rsidR="000463F0">
              <w:tab/>
            </w:r>
            <w:r w:rsidR="000463F0">
              <w:fldChar w:fldCharType="begin"/>
            </w:r>
            <w:r w:rsidR="000463F0">
              <w:instrText>PAGEREF _Toc1820833950 \h</w:instrText>
            </w:r>
            <w:r w:rsidR="000463F0">
              <w:fldChar w:fldCharType="separate"/>
            </w:r>
            <w:r w:rsidRPr="5183A6D9">
              <w:rPr>
                <w:rStyle w:val="Hyperlink"/>
              </w:rPr>
              <w:t>33</w:t>
            </w:r>
            <w:r w:rsidR="000463F0">
              <w:fldChar w:fldCharType="end"/>
            </w:r>
          </w:hyperlink>
        </w:p>
        <w:p w14:paraId="582E1197" w14:textId="45AD05D6" w:rsidR="000463F0" w:rsidRDefault="5183A6D9" w:rsidP="5183A6D9">
          <w:pPr>
            <w:pStyle w:val="TOC2"/>
            <w:tabs>
              <w:tab w:val="right" w:leader="dot" w:pos="9345"/>
            </w:tabs>
            <w:rPr>
              <w:rStyle w:val="Hyperlink"/>
              <w:noProof/>
              <w:kern w:val="2"/>
              <w14:ligatures w14:val="standardContextual"/>
            </w:rPr>
          </w:pPr>
          <w:hyperlink w:anchor="_Toc1091867617">
            <w:r w:rsidRPr="5183A6D9">
              <w:rPr>
                <w:rStyle w:val="Hyperlink"/>
              </w:rPr>
              <w:t>8. Aβ42 Toxicity: Multiple Causes, No Direct Amyloid Clearance, and No Tau Solution</w:t>
            </w:r>
            <w:r w:rsidR="000463F0">
              <w:tab/>
            </w:r>
            <w:r w:rsidR="000463F0">
              <w:fldChar w:fldCharType="begin"/>
            </w:r>
            <w:r w:rsidR="000463F0">
              <w:instrText>PAGEREF _Toc1091867617 \h</w:instrText>
            </w:r>
            <w:r w:rsidR="000463F0">
              <w:fldChar w:fldCharType="separate"/>
            </w:r>
            <w:r w:rsidRPr="5183A6D9">
              <w:rPr>
                <w:rStyle w:val="Hyperlink"/>
              </w:rPr>
              <w:t>37</w:t>
            </w:r>
            <w:r w:rsidR="000463F0">
              <w:fldChar w:fldCharType="end"/>
            </w:r>
          </w:hyperlink>
        </w:p>
        <w:p w14:paraId="7A65ADFC" w14:textId="35CFC60A" w:rsidR="000463F0" w:rsidRDefault="5183A6D9" w:rsidP="5183A6D9">
          <w:pPr>
            <w:pStyle w:val="TOC2"/>
            <w:tabs>
              <w:tab w:val="right" w:leader="dot" w:pos="9345"/>
            </w:tabs>
            <w:rPr>
              <w:rStyle w:val="Hyperlink"/>
              <w:noProof/>
              <w:kern w:val="2"/>
              <w14:ligatures w14:val="standardContextual"/>
            </w:rPr>
          </w:pPr>
          <w:hyperlink w:anchor="_Toc96885901">
            <w:r w:rsidRPr="5183A6D9">
              <w:rPr>
                <w:rStyle w:val="Hyperlink"/>
              </w:rPr>
              <w:t>9. Dimebon Phase III Failure: A Cautionary Tale</w:t>
            </w:r>
            <w:r w:rsidR="000463F0">
              <w:tab/>
            </w:r>
            <w:r w:rsidR="000463F0">
              <w:fldChar w:fldCharType="begin"/>
            </w:r>
            <w:r w:rsidR="000463F0">
              <w:instrText>PAGEREF _Toc96885901 \h</w:instrText>
            </w:r>
            <w:r w:rsidR="000463F0">
              <w:fldChar w:fldCharType="separate"/>
            </w:r>
            <w:r w:rsidRPr="5183A6D9">
              <w:rPr>
                <w:rStyle w:val="Hyperlink"/>
              </w:rPr>
              <w:t>41</w:t>
            </w:r>
            <w:r w:rsidR="000463F0">
              <w:fldChar w:fldCharType="end"/>
            </w:r>
          </w:hyperlink>
        </w:p>
        <w:p w14:paraId="29D09E79" w14:textId="3DEBC05F" w:rsidR="000463F0" w:rsidRDefault="5183A6D9" w:rsidP="5183A6D9">
          <w:pPr>
            <w:pStyle w:val="TOC4"/>
            <w:tabs>
              <w:tab w:val="right" w:leader="dot" w:pos="9345"/>
            </w:tabs>
            <w:rPr>
              <w:rStyle w:val="Hyperlink"/>
              <w:noProof/>
              <w:kern w:val="2"/>
              <w14:ligatures w14:val="standardContextual"/>
            </w:rPr>
          </w:pPr>
          <w:hyperlink w:anchor="_Toc1009244469">
            <w:r w:rsidRPr="5183A6D9">
              <w:rPr>
                <w:rStyle w:val="Hyperlink"/>
              </w:rPr>
              <w:t>The explanation for this large difference between the Phase II and Phase III trial results.</w:t>
            </w:r>
            <w:r w:rsidR="000463F0">
              <w:tab/>
            </w:r>
            <w:r w:rsidR="000463F0">
              <w:fldChar w:fldCharType="begin"/>
            </w:r>
            <w:r w:rsidR="000463F0">
              <w:instrText>PAGEREF _Toc1009244469 \h</w:instrText>
            </w:r>
            <w:r w:rsidR="000463F0">
              <w:fldChar w:fldCharType="separate"/>
            </w:r>
            <w:r w:rsidRPr="5183A6D9">
              <w:rPr>
                <w:rStyle w:val="Hyperlink"/>
              </w:rPr>
              <w:t>43</w:t>
            </w:r>
            <w:r w:rsidR="000463F0">
              <w:fldChar w:fldCharType="end"/>
            </w:r>
          </w:hyperlink>
        </w:p>
        <w:p w14:paraId="435C6099" w14:textId="5E9AF401" w:rsidR="000463F0" w:rsidRDefault="5183A6D9" w:rsidP="5183A6D9">
          <w:pPr>
            <w:pStyle w:val="TOC2"/>
            <w:tabs>
              <w:tab w:val="right" w:leader="dot" w:pos="9345"/>
            </w:tabs>
            <w:rPr>
              <w:rStyle w:val="Hyperlink"/>
              <w:noProof/>
              <w:kern w:val="2"/>
              <w14:ligatures w14:val="standardContextual"/>
            </w:rPr>
          </w:pPr>
          <w:hyperlink w:anchor="_Toc753430456">
            <w:r w:rsidRPr="5183A6D9">
              <w:rPr>
                <w:rStyle w:val="Hyperlink"/>
              </w:rPr>
              <w:t>Conclusion</w:t>
            </w:r>
            <w:r w:rsidR="000463F0">
              <w:tab/>
            </w:r>
            <w:r w:rsidR="000463F0">
              <w:fldChar w:fldCharType="begin"/>
            </w:r>
            <w:r w:rsidR="000463F0">
              <w:instrText>PAGEREF _Toc753430456 \h</w:instrText>
            </w:r>
            <w:r w:rsidR="000463F0">
              <w:fldChar w:fldCharType="separate"/>
            </w:r>
            <w:r w:rsidRPr="5183A6D9">
              <w:rPr>
                <w:rStyle w:val="Hyperlink"/>
              </w:rPr>
              <w:t>44</w:t>
            </w:r>
            <w:r w:rsidR="000463F0">
              <w:fldChar w:fldCharType="end"/>
            </w:r>
          </w:hyperlink>
        </w:p>
        <w:p w14:paraId="49F2A2DA" w14:textId="32C55D24" w:rsidR="000463F0" w:rsidRDefault="5183A6D9" w:rsidP="5183A6D9">
          <w:pPr>
            <w:pStyle w:val="TOC1"/>
            <w:tabs>
              <w:tab w:val="right" w:leader="dot" w:pos="9345"/>
            </w:tabs>
            <w:rPr>
              <w:rStyle w:val="Hyperlink"/>
              <w:noProof/>
              <w:kern w:val="2"/>
              <w14:ligatures w14:val="standardContextual"/>
            </w:rPr>
          </w:pPr>
          <w:hyperlink w:anchor="_Toc201548271">
            <w:r w:rsidRPr="5183A6D9">
              <w:rPr>
                <w:rStyle w:val="Hyperlink"/>
              </w:rPr>
              <w:t>Probability Analysis: Quantifying the Likelihood of Simufilam’s Failure</w:t>
            </w:r>
            <w:r w:rsidR="000463F0">
              <w:tab/>
            </w:r>
            <w:r w:rsidR="000463F0">
              <w:fldChar w:fldCharType="begin"/>
            </w:r>
            <w:r w:rsidR="000463F0">
              <w:instrText>PAGEREF _Toc201548271 \h</w:instrText>
            </w:r>
            <w:r w:rsidR="000463F0">
              <w:fldChar w:fldCharType="separate"/>
            </w:r>
            <w:r w:rsidRPr="5183A6D9">
              <w:rPr>
                <w:rStyle w:val="Hyperlink"/>
              </w:rPr>
              <w:t>45</w:t>
            </w:r>
            <w:r w:rsidR="000463F0">
              <w:fldChar w:fldCharType="end"/>
            </w:r>
          </w:hyperlink>
        </w:p>
        <w:p w14:paraId="7C5E53CB" w14:textId="1502A1BB" w:rsidR="000463F0" w:rsidRDefault="5183A6D9" w:rsidP="5183A6D9">
          <w:pPr>
            <w:pStyle w:val="TOC2"/>
            <w:tabs>
              <w:tab w:val="right" w:leader="dot" w:pos="9345"/>
            </w:tabs>
            <w:rPr>
              <w:rStyle w:val="Hyperlink"/>
              <w:noProof/>
              <w:kern w:val="2"/>
              <w14:ligatures w14:val="standardContextual"/>
            </w:rPr>
          </w:pPr>
          <w:hyperlink w:anchor="_Toc59425240">
            <w:r w:rsidRPr="5183A6D9">
              <w:rPr>
                <w:rStyle w:val="Hyperlink"/>
              </w:rPr>
              <w:t>1. Probability of FLNA as a Target for AD</w:t>
            </w:r>
            <w:r w:rsidR="000463F0">
              <w:tab/>
            </w:r>
            <w:r w:rsidR="000463F0">
              <w:fldChar w:fldCharType="begin"/>
            </w:r>
            <w:r w:rsidR="000463F0">
              <w:instrText>PAGEREF _Toc59425240 \h</w:instrText>
            </w:r>
            <w:r w:rsidR="000463F0">
              <w:fldChar w:fldCharType="separate"/>
            </w:r>
            <w:r w:rsidRPr="5183A6D9">
              <w:rPr>
                <w:rStyle w:val="Hyperlink"/>
              </w:rPr>
              <w:t>46</w:t>
            </w:r>
            <w:r w:rsidR="000463F0">
              <w:fldChar w:fldCharType="end"/>
            </w:r>
          </w:hyperlink>
        </w:p>
        <w:p w14:paraId="49C18157" w14:textId="739DFF83" w:rsidR="000463F0" w:rsidRDefault="5183A6D9" w:rsidP="5183A6D9">
          <w:pPr>
            <w:pStyle w:val="TOC3"/>
            <w:tabs>
              <w:tab w:val="right" w:leader="dot" w:pos="9345"/>
            </w:tabs>
            <w:rPr>
              <w:rStyle w:val="Hyperlink"/>
              <w:noProof/>
              <w:kern w:val="2"/>
              <w14:ligatures w14:val="standardContextual"/>
            </w:rPr>
          </w:pPr>
          <w:hyperlink w:anchor="_Toc1251871684">
            <w:r w:rsidRPr="5183A6D9">
              <w:rPr>
                <w:rStyle w:val="Hyperlink"/>
              </w:rPr>
              <w:t>Pathogenic Link Validity (PLV)</w:t>
            </w:r>
            <w:r w:rsidR="000463F0">
              <w:tab/>
            </w:r>
            <w:r w:rsidR="000463F0">
              <w:fldChar w:fldCharType="begin"/>
            </w:r>
            <w:r w:rsidR="000463F0">
              <w:instrText>PAGEREF _Toc1251871684 \h</w:instrText>
            </w:r>
            <w:r w:rsidR="000463F0">
              <w:fldChar w:fldCharType="separate"/>
            </w:r>
            <w:r w:rsidRPr="5183A6D9">
              <w:rPr>
                <w:rStyle w:val="Hyperlink"/>
              </w:rPr>
              <w:t>47</w:t>
            </w:r>
            <w:r w:rsidR="000463F0">
              <w:fldChar w:fldCharType="end"/>
            </w:r>
          </w:hyperlink>
        </w:p>
        <w:p w14:paraId="1F8BC458" w14:textId="1873F2BD" w:rsidR="000463F0" w:rsidRDefault="5183A6D9" w:rsidP="5183A6D9">
          <w:pPr>
            <w:pStyle w:val="TOC3"/>
            <w:tabs>
              <w:tab w:val="right" w:leader="dot" w:pos="9345"/>
            </w:tabs>
            <w:rPr>
              <w:rStyle w:val="Hyperlink"/>
              <w:noProof/>
              <w:kern w:val="2"/>
              <w14:ligatures w14:val="standardContextual"/>
            </w:rPr>
          </w:pPr>
          <w:hyperlink w:anchor="_Toc603583659">
            <w:r w:rsidRPr="5183A6D9">
              <w:rPr>
                <w:rStyle w:val="Hyperlink"/>
              </w:rPr>
              <w:t>Independent Validation (IV)</w:t>
            </w:r>
            <w:r w:rsidR="000463F0">
              <w:tab/>
            </w:r>
            <w:r w:rsidR="000463F0">
              <w:fldChar w:fldCharType="begin"/>
            </w:r>
            <w:r w:rsidR="000463F0">
              <w:instrText>PAGEREF _Toc603583659 \h</w:instrText>
            </w:r>
            <w:r w:rsidR="000463F0">
              <w:fldChar w:fldCharType="separate"/>
            </w:r>
            <w:r w:rsidRPr="5183A6D9">
              <w:rPr>
                <w:rStyle w:val="Hyperlink"/>
              </w:rPr>
              <w:t>48</w:t>
            </w:r>
            <w:r w:rsidR="000463F0">
              <w:fldChar w:fldCharType="end"/>
            </w:r>
          </w:hyperlink>
        </w:p>
        <w:p w14:paraId="4FF8205C" w14:textId="653ED18B" w:rsidR="000463F0" w:rsidRDefault="5183A6D9" w:rsidP="5183A6D9">
          <w:pPr>
            <w:pStyle w:val="TOC3"/>
            <w:tabs>
              <w:tab w:val="right" w:leader="dot" w:pos="9345"/>
            </w:tabs>
            <w:rPr>
              <w:rStyle w:val="Hyperlink"/>
              <w:noProof/>
              <w:kern w:val="2"/>
              <w14:ligatures w14:val="standardContextual"/>
            </w:rPr>
          </w:pPr>
          <w:hyperlink w:anchor="_Toc541259916">
            <w:r w:rsidRPr="5183A6D9">
              <w:rPr>
                <w:rStyle w:val="Hyperlink"/>
              </w:rPr>
              <w:t>Predictive Power for Cognitive Decline (PPCD)</w:t>
            </w:r>
            <w:r w:rsidR="000463F0">
              <w:tab/>
            </w:r>
            <w:r w:rsidR="000463F0">
              <w:fldChar w:fldCharType="begin"/>
            </w:r>
            <w:r w:rsidR="000463F0">
              <w:instrText>PAGEREF _Toc541259916 \h</w:instrText>
            </w:r>
            <w:r w:rsidR="000463F0">
              <w:fldChar w:fldCharType="separate"/>
            </w:r>
            <w:r w:rsidRPr="5183A6D9">
              <w:rPr>
                <w:rStyle w:val="Hyperlink"/>
              </w:rPr>
              <w:t>48</w:t>
            </w:r>
            <w:r w:rsidR="000463F0">
              <w:fldChar w:fldCharType="end"/>
            </w:r>
          </w:hyperlink>
        </w:p>
        <w:p w14:paraId="7CFE52B1" w14:textId="22EFBF73" w:rsidR="000463F0" w:rsidRDefault="5183A6D9" w:rsidP="5183A6D9">
          <w:pPr>
            <w:pStyle w:val="TOC3"/>
            <w:tabs>
              <w:tab w:val="right" w:leader="dot" w:pos="9345"/>
            </w:tabs>
            <w:rPr>
              <w:rStyle w:val="Hyperlink"/>
              <w:noProof/>
              <w:kern w:val="2"/>
              <w14:ligatures w14:val="standardContextual"/>
            </w:rPr>
          </w:pPr>
          <w:hyperlink w:anchor="_Toc1103465607">
            <w:r w:rsidRPr="5183A6D9">
              <w:rPr>
                <w:rStyle w:val="Hyperlink"/>
              </w:rPr>
              <w:t>Association with Aβ (Aβ)</w:t>
            </w:r>
            <w:r w:rsidR="000463F0">
              <w:tab/>
            </w:r>
            <w:r w:rsidR="000463F0">
              <w:fldChar w:fldCharType="begin"/>
            </w:r>
            <w:r w:rsidR="000463F0">
              <w:instrText>PAGEREF _Toc1103465607 \h</w:instrText>
            </w:r>
            <w:r w:rsidR="000463F0">
              <w:fldChar w:fldCharType="separate"/>
            </w:r>
            <w:r w:rsidRPr="5183A6D9">
              <w:rPr>
                <w:rStyle w:val="Hyperlink"/>
              </w:rPr>
              <w:t>48</w:t>
            </w:r>
            <w:r w:rsidR="000463F0">
              <w:fldChar w:fldCharType="end"/>
            </w:r>
          </w:hyperlink>
        </w:p>
        <w:p w14:paraId="43B7585F" w14:textId="41C7A420" w:rsidR="000463F0" w:rsidRDefault="5183A6D9" w:rsidP="5183A6D9">
          <w:pPr>
            <w:pStyle w:val="TOC3"/>
            <w:tabs>
              <w:tab w:val="right" w:leader="dot" w:pos="9345"/>
            </w:tabs>
            <w:rPr>
              <w:rStyle w:val="Hyperlink"/>
              <w:noProof/>
              <w:kern w:val="2"/>
              <w14:ligatures w14:val="standardContextual"/>
            </w:rPr>
          </w:pPr>
          <w:hyperlink w:anchor="_Toc1080943459">
            <w:r w:rsidRPr="5183A6D9">
              <w:rPr>
                <w:rStyle w:val="Hyperlink"/>
              </w:rPr>
              <w:t>Association with Tau (AT)</w:t>
            </w:r>
            <w:r w:rsidR="000463F0">
              <w:tab/>
            </w:r>
            <w:r w:rsidR="000463F0">
              <w:fldChar w:fldCharType="begin"/>
            </w:r>
            <w:r w:rsidR="000463F0">
              <w:instrText>PAGEREF _Toc1080943459 \h</w:instrText>
            </w:r>
            <w:r w:rsidR="000463F0">
              <w:fldChar w:fldCharType="separate"/>
            </w:r>
            <w:r w:rsidRPr="5183A6D9">
              <w:rPr>
                <w:rStyle w:val="Hyperlink"/>
              </w:rPr>
              <w:t>48</w:t>
            </w:r>
            <w:r w:rsidR="000463F0">
              <w:fldChar w:fldCharType="end"/>
            </w:r>
          </w:hyperlink>
        </w:p>
        <w:p w14:paraId="6BC608F4" w14:textId="0DCFD623" w:rsidR="000463F0" w:rsidRDefault="5183A6D9" w:rsidP="5183A6D9">
          <w:pPr>
            <w:pStyle w:val="TOC3"/>
            <w:tabs>
              <w:tab w:val="right" w:leader="dot" w:pos="9345"/>
            </w:tabs>
            <w:rPr>
              <w:rStyle w:val="Hyperlink"/>
              <w:noProof/>
              <w:kern w:val="2"/>
              <w14:ligatures w14:val="standardContextual"/>
            </w:rPr>
          </w:pPr>
          <w:hyperlink w:anchor="_Toc849563939">
            <w:r w:rsidRPr="5183A6D9">
              <w:rPr>
                <w:rStyle w:val="Hyperlink"/>
              </w:rPr>
              <w:t>Potential Side Effects (PSE) w0.1</w:t>
            </w:r>
            <w:r w:rsidR="000463F0">
              <w:tab/>
            </w:r>
            <w:r w:rsidR="000463F0">
              <w:fldChar w:fldCharType="begin"/>
            </w:r>
            <w:r w:rsidR="000463F0">
              <w:instrText>PAGEREF _Toc849563939 \h</w:instrText>
            </w:r>
            <w:r w:rsidR="000463F0">
              <w:fldChar w:fldCharType="separate"/>
            </w:r>
            <w:r w:rsidRPr="5183A6D9">
              <w:rPr>
                <w:rStyle w:val="Hyperlink"/>
              </w:rPr>
              <w:t>49</w:t>
            </w:r>
            <w:r w:rsidR="000463F0">
              <w:fldChar w:fldCharType="end"/>
            </w:r>
          </w:hyperlink>
        </w:p>
        <w:p w14:paraId="27526DAE" w14:textId="5180E02E" w:rsidR="000463F0" w:rsidRDefault="5183A6D9" w:rsidP="5183A6D9">
          <w:pPr>
            <w:pStyle w:val="TOC2"/>
            <w:tabs>
              <w:tab w:val="right" w:leader="dot" w:pos="9345"/>
            </w:tabs>
            <w:rPr>
              <w:rStyle w:val="Hyperlink"/>
              <w:noProof/>
              <w:kern w:val="2"/>
              <w14:ligatures w14:val="standardContextual"/>
            </w:rPr>
          </w:pPr>
          <w:hyperlink w:anchor="_Toc1611633984">
            <w:r w:rsidRPr="5183A6D9">
              <w:rPr>
                <w:rStyle w:val="Hyperlink"/>
              </w:rPr>
              <w:t>2. Probability that Simufilam is Correctly Design to Do What it is supposed to do P(D)</w:t>
            </w:r>
            <w:r w:rsidR="000463F0">
              <w:tab/>
            </w:r>
            <w:r w:rsidR="000463F0">
              <w:fldChar w:fldCharType="begin"/>
            </w:r>
            <w:r w:rsidR="000463F0">
              <w:instrText>PAGEREF _Toc1611633984 \h</w:instrText>
            </w:r>
            <w:r w:rsidR="000463F0">
              <w:fldChar w:fldCharType="separate"/>
            </w:r>
            <w:r w:rsidRPr="5183A6D9">
              <w:rPr>
                <w:rStyle w:val="Hyperlink"/>
              </w:rPr>
              <w:t>50</w:t>
            </w:r>
            <w:r w:rsidR="000463F0">
              <w:fldChar w:fldCharType="end"/>
            </w:r>
          </w:hyperlink>
        </w:p>
        <w:p w14:paraId="20467B90" w14:textId="0F4223EA" w:rsidR="000463F0" w:rsidRDefault="5183A6D9" w:rsidP="5183A6D9">
          <w:pPr>
            <w:pStyle w:val="TOC2"/>
            <w:tabs>
              <w:tab w:val="right" w:leader="dot" w:pos="9345"/>
            </w:tabs>
            <w:rPr>
              <w:rStyle w:val="Hyperlink"/>
              <w:noProof/>
              <w:kern w:val="2"/>
              <w14:ligatures w14:val="standardContextual"/>
            </w:rPr>
          </w:pPr>
          <w:hyperlink w:anchor="_Toc333114680">
            <w:r w:rsidRPr="5183A6D9">
              <w:rPr>
                <w:rStyle w:val="Hyperlink"/>
              </w:rPr>
              <w:t>3. Probability that a Failed Phase II Succeed in Phase III</w:t>
            </w:r>
            <w:r w:rsidR="000463F0">
              <w:tab/>
            </w:r>
            <w:r w:rsidR="000463F0">
              <w:fldChar w:fldCharType="begin"/>
            </w:r>
            <w:r w:rsidR="000463F0">
              <w:instrText>PAGEREF _Toc333114680 \h</w:instrText>
            </w:r>
            <w:r w:rsidR="000463F0">
              <w:fldChar w:fldCharType="separate"/>
            </w:r>
            <w:r w:rsidRPr="5183A6D9">
              <w:rPr>
                <w:rStyle w:val="Hyperlink"/>
              </w:rPr>
              <w:t>52</w:t>
            </w:r>
            <w:r w:rsidR="000463F0">
              <w:fldChar w:fldCharType="end"/>
            </w:r>
          </w:hyperlink>
        </w:p>
        <w:p w14:paraId="4AFF0480" w14:textId="09F065E9" w:rsidR="000463F0" w:rsidRDefault="5183A6D9" w:rsidP="5183A6D9">
          <w:pPr>
            <w:pStyle w:val="TOC3"/>
            <w:tabs>
              <w:tab w:val="right" w:leader="dot" w:pos="9345"/>
            </w:tabs>
            <w:rPr>
              <w:rStyle w:val="Hyperlink"/>
              <w:noProof/>
              <w:kern w:val="2"/>
              <w14:ligatures w14:val="standardContextual"/>
            </w:rPr>
          </w:pPr>
          <w:hyperlink w:anchor="_Toc773327993">
            <w:r w:rsidRPr="5183A6D9">
              <w:rPr>
                <w:rStyle w:val="Hyperlink"/>
              </w:rPr>
              <w:t>Historical Baseline Success Rates:</w:t>
            </w:r>
            <w:r w:rsidR="000463F0">
              <w:tab/>
            </w:r>
            <w:r w:rsidR="000463F0">
              <w:fldChar w:fldCharType="begin"/>
            </w:r>
            <w:r w:rsidR="000463F0">
              <w:instrText>PAGEREF _Toc773327993 \h</w:instrText>
            </w:r>
            <w:r w:rsidR="000463F0">
              <w:fldChar w:fldCharType="separate"/>
            </w:r>
            <w:r w:rsidRPr="5183A6D9">
              <w:rPr>
                <w:rStyle w:val="Hyperlink"/>
              </w:rPr>
              <w:t>52</w:t>
            </w:r>
            <w:r w:rsidR="000463F0">
              <w:fldChar w:fldCharType="end"/>
            </w:r>
          </w:hyperlink>
        </w:p>
        <w:p w14:paraId="345C7D64" w14:textId="10E9D09B" w:rsidR="000463F0" w:rsidRDefault="5183A6D9" w:rsidP="5183A6D9">
          <w:pPr>
            <w:pStyle w:val="TOC3"/>
            <w:tabs>
              <w:tab w:val="right" w:leader="dot" w:pos="9345"/>
            </w:tabs>
            <w:rPr>
              <w:rStyle w:val="Hyperlink"/>
              <w:noProof/>
              <w:kern w:val="2"/>
              <w14:ligatures w14:val="standardContextual"/>
            </w:rPr>
          </w:pPr>
          <w:hyperlink w:anchor="_Toc1554769567">
            <w:r w:rsidRPr="5183A6D9">
              <w:rPr>
                <w:rStyle w:val="Hyperlink"/>
              </w:rPr>
              <w:t>Severity Factor α:</w:t>
            </w:r>
            <w:r w:rsidR="000463F0">
              <w:tab/>
            </w:r>
            <w:r w:rsidR="000463F0">
              <w:fldChar w:fldCharType="begin"/>
            </w:r>
            <w:r w:rsidR="000463F0">
              <w:instrText>PAGEREF _Toc1554769567 \h</w:instrText>
            </w:r>
            <w:r w:rsidR="000463F0">
              <w:fldChar w:fldCharType="separate"/>
            </w:r>
            <w:r w:rsidRPr="5183A6D9">
              <w:rPr>
                <w:rStyle w:val="Hyperlink"/>
              </w:rPr>
              <w:t>52</w:t>
            </w:r>
            <w:r w:rsidR="000463F0">
              <w:fldChar w:fldCharType="end"/>
            </w:r>
          </w:hyperlink>
        </w:p>
        <w:p w14:paraId="5B432577" w14:textId="53A0B426" w:rsidR="000463F0" w:rsidRDefault="5183A6D9" w:rsidP="5183A6D9">
          <w:pPr>
            <w:pStyle w:val="TOC3"/>
            <w:tabs>
              <w:tab w:val="right" w:leader="dot" w:pos="9345"/>
            </w:tabs>
            <w:rPr>
              <w:rStyle w:val="Hyperlink"/>
              <w:noProof/>
              <w:kern w:val="2"/>
              <w14:ligatures w14:val="standardContextual"/>
            </w:rPr>
          </w:pPr>
          <w:hyperlink w:anchor="_Toc760533250">
            <w:r w:rsidRPr="5183A6D9">
              <w:rPr>
                <w:rStyle w:val="Hyperlink"/>
              </w:rPr>
              <w:t>Risk Adjustment Factor R:</w:t>
            </w:r>
            <w:r w:rsidR="000463F0">
              <w:tab/>
            </w:r>
            <w:r w:rsidR="000463F0">
              <w:fldChar w:fldCharType="begin"/>
            </w:r>
            <w:r w:rsidR="000463F0">
              <w:instrText>PAGEREF _Toc760533250 \h</w:instrText>
            </w:r>
            <w:r w:rsidR="000463F0">
              <w:fldChar w:fldCharType="separate"/>
            </w:r>
            <w:r w:rsidRPr="5183A6D9">
              <w:rPr>
                <w:rStyle w:val="Hyperlink"/>
              </w:rPr>
              <w:t>53</w:t>
            </w:r>
            <w:r w:rsidR="000463F0">
              <w:fldChar w:fldCharType="end"/>
            </w:r>
          </w:hyperlink>
        </w:p>
        <w:p w14:paraId="3A0132A7" w14:textId="6F693451" w:rsidR="000463F0" w:rsidRDefault="5183A6D9" w:rsidP="5183A6D9">
          <w:pPr>
            <w:pStyle w:val="TOC3"/>
            <w:tabs>
              <w:tab w:val="right" w:leader="dot" w:pos="9345"/>
            </w:tabs>
            <w:rPr>
              <w:rStyle w:val="Hyperlink"/>
              <w:noProof/>
              <w:kern w:val="2"/>
              <w14:ligatures w14:val="standardContextual"/>
            </w:rPr>
          </w:pPr>
          <w:hyperlink w:anchor="_Toc1201185303">
            <w:r w:rsidRPr="5183A6D9">
              <w:rPr>
                <w:rStyle w:val="Hyperlink"/>
              </w:rPr>
              <w:t>Alzheimer’s-Specific Model Adjustment:</w:t>
            </w:r>
            <w:r w:rsidR="000463F0">
              <w:tab/>
            </w:r>
            <w:r w:rsidR="000463F0">
              <w:fldChar w:fldCharType="begin"/>
            </w:r>
            <w:r w:rsidR="000463F0">
              <w:instrText>PAGEREF _Toc1201185303 \h</w:instrText>
            </w:r>
            <w:r w:rsidR="000463F0">
              <w:fldChar w:fldCharType="separate"/>
            </w:r>
            <w:r w:rsidRPr="5183A6D9">
              <w:rPr>
                <w:rStyle w:val="Hyperlink"/>
              </w:rPr>
              <w:t>53</w:t>
            </w:r>
            <w:r w:rsidR="000463F0">
              <w:fldChar w:fldCharType="end"/>
            </w:r>
          </w:hyperlink>
        </w:p>
        <w:p w14:paraId="5B010423" w14:textId="1A6BAF31" w:rsidR="000463F0" w:rsidRDefault="5183A6D9" w:rsidP="5183A6D9">
          <w:pPr>
            <w:pStyle w:val="TOC3"/>
            <w:tabs>
              <w:tab w:val="right" w:leader="dot" w:pos="9345"/>
            </w:tabs>
            <w:rPr>
              <w:rStyle w:val="Hyperlink"/>
              <w:noProof/>
              <w:kern w:val="2"/>
              <w14:ligatures w14:val="standardContextual"/>
            </w:rPr>
          </w:pPr>
          <w:hyperlink w:anchor="_Toc1241754317">
            <w:r w:rsidRPr="5183A6D9">
              <w:rPr>
                <w:rStyle w:val="Hyperlink"/>
              </w:rPr>
              <w:t>Weighted Average for AD Context:</w:t>
            </w:r>
            <w:r w:rsidR="000463F0">
              <w:tab/>
            </w:r>
            <w:r w:rsidR="000463F0">
              <w:fldChar w:fldCharType="begin"/>
            </w:r>
            <w:r w:rsidR="000463F0">
              <w:instrText>PAGEREF _Toc1241754317 \h</w:instrText>
            </w:r>
            <w:r w:rsidR="000463F0">
              <w:fldChar w:fldCharType="separate"/>
            </w:r>
            <w:r w:rsidRPr="5183A6D9">
              <w:rPr>
                <w:rStyle w:val="Hyperlink"/>
              </w:rPr>
              <w:t>54</w:t>
            </w:r>
            <w:r w:rsidR="000463F0">
              <w:fldChar w:fldCharType="end"/>
            </w:r>
          </w:hyperlink>
        </w:p>
        <w:p w14:paraId="510899E4" w14:textId="62E24E4A" w:rsidR="000463F0" w:rsidRDefault="5183A6D9" w:rsidP="5183A6D9">
          <w:pPr>
            <w:pStyle w:val="TOC2"/>
            <w:tabs>
              <w:tab w:val="right" w:leader="dot" w:pos="9345"/>
            </w:tabs>
            <w:rPr>
              <w:rStyle w:val="Hyperlink"/>
              <w:noProof/>
              <w:kern w:val="2"/>
              <w14:ligatures w14:val="standardContextual"/>
            </w:rPr>
          </w:pPr>
          <w:hyperlink w:anchor="_Toc1417640603">
            <w:r w:rsidRPr="5183A6D9">
              <w:rPr>
                <w:rStyle w:val="Hyperlink"/>
              </w:rPr>
              <w:t>4. Probability that Simufilam’s Phase III Trial is Suitably Designed for Demonstrating Efficacy P(P3D)</w:t>
            </w:r>
            <w:r w:rsidR="000463F0">
              <w:tab/>
            </w:r>
            <w:r w:rsidR="000463F0">
              <w:fldChar w:fldCharType="begin"/>
            </w:r>
            <w:r w:rsidR="000463F0">
              <w:instrText>PAGEREF _Toc1417640603 \h</w:instrText>
            </w:r>
            <w:r w:rsidR="000463F0">
              <w:fldChar w:fldCharType="separate"/>
            </w:r>
            <w:r w:rsidRPr="5183A6D9">
              <w:rPr>
                <w:rStyle w:val="Hyperlink"/>
              </w:rPr>
              <w:t>54</w:t>
            </w:r>
            <w:r w:rsidR="000463F0">
              <w:fldChar w:fldCharType="end"/>
            </w:r>
          </w:hyperlink>
        </w:p>
        <w:p w14:paraId="52049E3D" w14:textId="60982D7E" w:rsidR="000463F0" w:rsidRDefault="5183A6D9" w:rsidP="5183A6D9">
          <w:pPr>
            <w:pStyle w:val="TOC2"/>
            <w:tabs>
              <w:tab w:val="right" w:leader="dot" w:pos="9345"/>
            </w:tabs>
            <w:rPr>
              <w:rStyle w:val="Hyperlink"/>
              <w:noProof/>
              <w:kern w:val="2"/>
              <w14:ligatures w14:val="standardContextual"/>
            </w:rPr>
          </w:pPr>
          <w:hyperlink w:anchor="_Toc1222511371">
            <w:r w:rsidRPr="5183A6D9">
              <w:rPr>
                <w:rStyle w:val="Hyperlink"/>
              </w:rPr>
              <w:t>The Final Probability</w:t>
            </w:r>
            <w:r w:rsidR="000463F0">
              <w:tab/>
            </w:r>
            <w:r w:rsidR="000463F0">
              <w:fldChar w:fldCharType="begin"/>
            </w:r>
            <w:r w:rsidR="000463F0">
              <w:instrText>PAGEREF _Toc1222511371 \h</w:instrText>
            </w:r>
            <w:r w:rsidR="000463F0">
              <w:fldChar w:fldCharType="separate"/>
            </w:r>
            <w:r w:rsidRPr="5183A6D9">
              <w:rPr>
                <w:rStyle w:val="Hyperlink"/>
              </w:rPr>
              <w:t>57</w:t>
            </w:r>
            <w:r w:rsidR="000463F0">
              <w:fldChar w:fldCharType="end"/>
            </w:r>
          </w:hyperlink>
        </w:p>
        <w:p w14:paraId="16375EE8" w14:textId="03B40480" w:rsidR="000463F0" w:rsidRDefault="5183A6D9" w:rsidP="5183A6D9">
          <w:pPr>
            <w:pStyle w:val="TOC2"/>
            <w:tabs>
              <w:tab w:val="right" w:leader="dot" w:pos="9345"/>
            </w:tabs>
            <w:rPr>
              <w:rStyle w:val="Hyperlink"/>
              <w:noProof/>
              <w:kern w:val="2"/>
              <w14:ligatures w14:val="standardContextual"/>
            </w:rPr>
          </w:pPr>
          <w:hyperlink w:anchor="_Toc1844118916">
            <w:r w:rsidRPr="5183A6D9">
              <w:rPr>
                <w:rStyle w:val="Hyperlink"/>
              </w:rPr>
              <w:t>Probability of Simufilam’s Efficacy in Alzheimer’s Disease:</w:t>
            </w:r>
            <w:r w:rsidR="000463F0">
              <w:tab/>
            </w:r>
            <w:r w:rsidR="000463F0">
              <w:fldChar w:fldCharType="begin"/>
            </w:r>
            <w:r w:rsidR="000463F0">
              <w:instrText>PAGEREF _Toc1844118916 \h</w:instrText>
            </w:r>
            <w:r w:rsidR="000463F0">
              <w:fldChar w:fldCharType="separate"/>
            </w:r>
            <w:r w:rsidRPr="5183A6D9">
              <w:rPr>
                <w:rStyle w:val="Hyperlink"/>
              </w:rPr>
              <w:t>57</w:t>
            </w:r>
            <w:r w:rsidR="000463F0">
              <w:fldChar w:fldCharType="end"/>
            </w:r>
          </w:hyperlink>
        </w:p>
        <w:p w14:paraId="6540AE77" w14:textId="3C6F525A" w:rsidR="000463F0" w:rsidRDefault="5183A6D9" w:rsidP="5183A6D9">
          <w:pPr>
            <w:pStyle w:val="TOC3"/>
            <w:tabs>
              <w:tab w:val="right" w:leader="dot" w:pos="9345"/>
            </w:tabs>
            <w:rPr>
              <w:rStyle w:val="Hyperlink"/>
              <w:noProof/>
              <w:kern w:val="2"/>
              <w14:ligatures w14:val="standardContextual"/>
            </w:rPr>
          </w:pPr>
          <w:hyperlink w:anchor="_Toc13519434">
            <w:r w:rsidRPr="5183A6D9">
              <w:rPr>
                <w:rStyle w:val="Hyperlink"/>
              </w:rPr>
              <w:t>Probability Equation Construction and Calculation</w:t>
            </w:r>
            <w:r w:rsidR="000463F0">
              <w:tab/>
            </w:r>
            <w:r w:rsidR="000463F0">
              <w:fldChar w:fldCharType="begin"/>
            </w:r>
            <w:r w:rsidR="000463F0">
              <w:instrText>PAGEREF _Toc13519434 \h</w:instrText>
            </w:r>
            <w:r w:rsidR="000463F0">
              <w:fldChar w:fldCharType="separate"/>
            </w:r>
            <w:r w:rsidRPr="5183A6D9">
              <w:rPr>
                <w:rStyle w:val="Hyperlink"/>
              </w:rPr>
              <w:t>60</w:t>
            </w:r>
            <w:r w:rsidR="000463F0">
              <w:fldChar w:fldCharType="end"/>
            </w:r>
          </w:hyperlink>
        </w:p>
        <w:p w14:paraId="7D71F04E" w14:textId="4B3CAC46" w:rsidR="000463F0" w:rsidRDefault="5183A6D9" w:rsidP="5183A6D9">
          <w:pPr>
            <w:pStyle w:val="TOC2"/>
            <w:tabs>
              <w:tab w:val="right" w:leader="dot" w:pos="9345"/>
            </w:tabs>
            <w:rPr>
              <w:rStyle w:val="Hyperlink"/>
              <w:noProof/>
              <w:kern w:val="2"/>
              <w14:ligatures w14:val="standardContextual"/>
            </w:rPr>
          </w:pPr>
          <w:hyperlink w:anchor="_Toc1867953434">
            <w:r w:rsidRPr="5183A6D9">
              <w:rPr>
                <w:rStyle w:val="Hyperlink"/>
              </w:rPr>
              <w:t>Final Probability</w:t>
            </w:r>
            <w:r w:rsidR="000463F0">
              <w:tab/>
            </w:r>
            <w:r w:rsidR="000463F0">
              <w:fldChar w:fldCharType="begin"/>
            </w:r>
            <w:r w:rsidR="000463F0">
              <w:instrText>PAGEREF _Toc1867953434 \h</w:instrText>
            </w:r>
            <w:r w:rsidR="000463F0">
              <w:fldChar w:fldCharType="separate"/>
            </w:r>
            <w:r w:rsidRPr="5183A6D9">
              <w:rPr>
                <w:rStyle w:val="Hyperlink"/>
              </w:rPr>
              <w:t>61</w:t>
            </w:r>
            <w:r w:rsidR="000463F0">
              <w:fldChar w:fldCharType="end"/>
            </w:r>
          </w:hyperlink>
        </w:p>
        <w:p w14:paraId="171CE1D1" w14:textId="38715EB1" w:rsidR="000463F0" w:rsidRDefault="5183A6D9" w:rsidP="5183A6D9">
          <w:pPr>
            <w:pStyle w:val="TOC1"/>
            <w:tabs>
              <w:tab w:val="right" w:leader="dot" w:pos="9345"/>
            </w:tabs>
            <w:rPr>
              <w:rStyle w:val="Hyperlink"/>
              <w:noProof/>
              <w:kern w:val="2"/>
              <w14:ligatures w14:val="standardContextual"/>
            </w:rPr>
          </w:pPr>
          <w:hyperlink w:anchor="_Toc996571553">
            <w:r w:rsidRPr="5183A6D9">
              <w:rPr>
                <w:rStyle w:val="Hyperlink"/>
              </w:rPr>
              <w:t>Non-Scientific Reasons Why We Are Shorting Cassava Sciences</w:t>
            </w:r>
            <w:r w:rsidR="000463F0">
              <w:tab/>
            </w:r>
            <w:r w:rsidR="000463F0">
              <w:fldChar w:fldCharType="begin"/>
            </w:r>
            <w:r w:rsidR="000463F0">
              <w:instrText>PAGEREF _Toc996571553 \h</w:instrText>
            </w:r>
            <w:r w:rsidR="000463F0">
              <w:fldChar w:fldCharType="separate"/>
            </w:r>
            <w:r w:rsidRPr="5183A6D9">
              <w:rPr>
                <w:rStyle w:val="Hyperlink"/>
              </w:rPr>
              <w:t>61</w:t>
            </w:r>
            <w:r w:rsidR="000463F0">
              <w:fldChar w:fldCharType="end"/>
            </w:r>
          </w:hyperlink>
        </w:p>
        <w:p w14:paraId="4A0FBD9B" w14:textId="0DCB6435" w:rsidR="000463F0" w:rsidRDefault="5183A6D9" w:rsidP="5183A6D9">
          <w:pPr>
            <w:pStyle w:val="TOC2"/>
            <w:tabs>
              <w:tab w:val="right" w:leader="dot" w:pos="9345"/>
            </w:tabs>
            <w:rPr>
              <w:rStyle w:val="Hyperlink"/>
              <w:noProof/>
              <w:kern w:val="2"/>
              <w14:ligatures w14:val="standardContextual"/>
            </w:rPr>
          </w:pPr>
          <w:hyperlink w:anchor="_Toc2144265071">
            <w:r w:rsidRPr="5183A6D9">
              <w:rPr>
                <w:rStyle w:val="Hyperlink"/>
              </w:rPr>
              <w:t>1.FLNA: A Target Nobody Believes In</w:t>
            </w:r>
            <w:r w:rsidR="000463F0">
              <w:tab/>
            </w:r>
            <w:r w:rsidR="000463F0">
              <w:fldChar w:fldCharType="begin"/>
            </w:r>
            <w:r w:rsidR="000463F0">
              <w:instrText>PAGEREF _Toc2144265071 \h</w:instrText>
            </w:r>
            <w:r w:rsidR="000463F0">
              <w:fldChar w:fldCharType="separate"/>
            </w:r>
            <w:r w:rsidRPr="5183A6D9">
              <w:rPr>
                <w:rStyle w:val="Hyperlink"/>
              </w:rPr>
              <w:t>62</w:t>
            </w:r>
            <w:r w:rsidR="000463F0">
              <w:fldChar w:fldCharType="end"/>
            </w:r>
          </w:hyperlink>
        </w:p>
        <w:p w14:paraId="58E9C35E" w14:textId="70E7ECE1" w:rsidR="000463F0" w:rsidRDefault="5183A6D9" w:rsidP="5183A6D9">
          <w:pPr>
            <w:pStyle w:val="TOC2"/>
            <w:tabs>
              <w:tab w:val="right" w:leader="dot" w:pos="9345"/>
            </w:tabs>
            <w:rPr>
              <w:rStyle w:val="Hyperlink"/>
              <w:noProof/>
              <w:kern w:val="2"/>
              <w14:ligatures w14:val="standardContextual"/>
            </w:rPr>
          </w:pPr>
          <w:hyperlink w:anchor="_Toc1874165019">
            <w:r w:rsidRPr="5183A6D9">
              <w:rPr>
                <w:rStyle w:val="Hyperlink"/>
              </w:rPr>
              <w:t>2. All The Retracted Papers of Dr. Wang</w:t>
            </w:r>
            <w:r w:rsidR="000463F0">
              <w:tab/>
            </w:r>
            <w:r w:rsidR="000463F0">
              <w:fldChar w:fldCharType="begin"/>
            </w:r>
            <w:r w:rsidR="000463F0">
              <w:instrText>PAGEREF _Toc1874165019 \h</w:instrText>
            </w:r>
            <w:r w:rsidR="000463F0">
              <w:fldChar w:fldCharType="separate"/>
            </w:r>
            <w:r w:rsidRPr="5183A6D9">
              <w:rPr>
                <w:rStyle w:val="Hyperlink"/>
              </w:rPr>
              <w:t>64</w:t>
            </w:r>
            <w:r w:rsidR="000463F0">
              <w:fldChar w:fldCharType="end"/>
            </w:r>
          </w:hyperlink>
        </w:p>
        <w:p w14:paraId="1AF8C1BF" w14:textId="0D97719A" w:rsidR="000463F0" w:rsidRDefault="5183A6D9" w:rsidP="5183A6D9">
          <w:pPr>
            <w:pStyle w:val="TOC3"/>
            <w:tabs>
              <w:tab w:val="right" w:leader="dot" w:pos="9345"/>
            </w:tabs>
            <w:rPr>
              <w:rStyle w:val="Hyperlink"/>
              <w:noProof/>
              <w:kern w:val="2"/>
              <w14:ligatures w14:val="standardContextual"/>
            </w:rPr>
          </w:pPr>
          <w:hyperlink w:anchor="_Toc1543602166">
            <w:r w:rsidRPr="5183A6D9">
              <w:rPr>
                <w:rStyle w:val="Hyperlink"/>
              </w:rPr>
              <w:t>The Fragile Foundation of Simufilam’s Mechanism</w:t>
            </w:r>
            <w:r w:rsidR="000463F0">
              <w:tab/>
            </w:r>
            <w:r w:rsidR="000463F0">
              <w:fldChar w:fldCharType="begin"/>
            </w:r>
            <w:r w:rsidR="000463F0">
              <w:instrText>PAGEREF _Toc1543602166 \h</w:instrText>
            </w:r>
            <w:r w:rsidR="000463F0">
              <w:fldChar w:fldCharType="separate"/>
            </w:r>
            <w:r w:rsidRPr="5183A6D9">
              <w:rPr>
                <w:rStyle w:val="Hyperlink"/>
              </w:rPr>
              <w:t>64</w:t>
            </w:r>
            <w:r w:rsidR="000463F0">
              <w:fldChar w:fldCharType="end"/>
            </w:r>
          </w:hyperlink>
        </w:p>
        <w:p w14:paraId="542D72A2" w14:textId="54EE63BC" w:rsidR="000463F0" w:rsidRDefault="5183A6D9" w:rsidP="5183A6D9">
          <w:pPr>
            <w:pStyle w:val="TOC4"/>
            <w:tabs>
              <w:tab w:val="right" w:leader="dot" w:pos="9345"/>
            </w:tabs>
            <w:rPr>
              <w:rStyle w:val="Hyperlink"/>
              <w:noProof/>
              <w:kern w:val="2"/>
              <w14:ligatures w14:val="standardContextual"/>
            </w:rPr>
          </w:pPr>
          <w:hyperlink w:anchor="_Toc1849560428">
            <w:r w:rsidRPr="5183A6D9">
              <w:rPr>
                <w:rStyle w:val="Hyperlink"/>
              </w:rPr>
              <w:t>Retractions and Expressions of Concern</w:t>
            </w:r>
            <w:r w:rsidR="000463F0">
              <w:tab/>
            </w:r>
            <w:r w:rsidR="000463F0">
              <w:fldChar w:fldCharType="begin"/>
            </w:r>
            <w:r w:rsidR="000463F0">
              <w:instrText>PAGEREF _Toc1849560428 \h</w:instrText>
            </w:r>
            <w:r w:rsidR="000463F0">
              <w:fldChar w:fldCharType="separate"/>
            </w:r>
            <w:r w:rsidRPr="5183A6D9">
              <w:rPr>
                <w:rStyle w:val="Hyperlink"/>
              </w:rPr>
              <w:t>64</w:t>
            </w:r>
            <w:r w:rsidR="000463F0">
              <w:fldChar w:fldCharType="end"/>
            </w:r>
          </w:hyperlink>
        </w:p>
        <w:p w14:paraId="6E939E2B" w14:textId="4C0035FD" w:rsidR="000463F0" w:rsidRDefault="5183A6D9" w:rsidP="5183A6D9">
          <w:pPr>
            <w:pStyle w:val="TOC3"/>
            <w:tabs>
              <w:tab w:val="right" w:leader="dot" w:pos="9345"/>
            </w:tabs>
            <w:rPr>
              <w:rStyle w:val="Hyperlink"/>
              <w:noProof/>
              <w:kern w:val="2"/>
              <w14:ligatures w14:val="standardContextual"/>
            </w:rPr>
          </w:pPr>
          <w:hyperlink w:anchor="_Toc463320838">
            <w:r w:rsidRPr="5183A6D9">
              <w:rPr>
                <w:rStyle w:val="Hyperlink"/>
              </w:rPr>
              <w:t>Broader Pattern of Fraud in Dr. Wang’s Research</w:t>
            </w:r>
            <w:r w:rsidR="000463F0">
              <w:tab/>
            </w:r>
            <w:r w:rsidR="000463F0">
              <w:fldChar w:fldCharType="begin"/>
            </w:r>
            <w:r w:rsidR="000463F0">
              <w:instrText>PAGEREF _Toc463320838 \h</w:instrText>
            </w:r>
            <w:r w:rsidR="000463F0">
              <w:fldChar w:fldCharType="separate"/>
            </w:r>
            <w:r w:rsidRPr="5183A6D9">
              <w:rPr>
                <w:rStyle w:val="Hyperlink"/>
              </w:rPr>
              <w:t>67</w:t>
            </w:r>
            <w:r w:rsidR="000463F0">
              <w:fldChar w:fldCharType="end"/>
            </w:r>
          </w:hyperlink>
        </w:p>
        <w:p w14:paraId="3027D859" w14:textId="25E4A900" w:rsidR="000463F0" w:rsidRDefault="5183A6D9" w:rsidP="5183A6D9">
          <w:pPr>
            <w:pStyle w:val="TOC3"/>
            <w:tabs>
              <w:tab w:val="right" w:leader="dot" w:pos="9345"/>
            </w:tabs>
            <w:rPr>
              <w:rStyle w:val="Hyperlink"/>
              <w:noProof/>
              <w:kern w:val="2"/>
              <w14:ligatures w14:val="standardContextual"/>
            </w:rPr>
          </w:pPr>
          <w:hyperlink w:anchor="_Toc96036736">
            <w:r w:rsidRPr="5183A6D9">
              <w:rPr>
                <w:rStyle w:val="Hyperlink"/>
              </w:rPr>
              <w:t>The Rarity of Retractions and Dr. Wang’s Defiance</w:t>
            </w:r>
            <w:r w:rsidR="000463F0">
              <w:tab/>
            </w:r>
            <w:r w:rsidR="000463F0">
              <w:fldChar w:fldCharType="begin"/>
            </w:r>
            <w:r w:rsidR="000463F0">
              <w:instrText>PAGEREF _Toc96036736 \h</w:instrText>
            </w:r>
            <w:r w:rsidR="000463F0">
              <w:fldChar w:fldCharType="separate"/>
            </w:r>
            <w:r w:rsidRPr="5183A6D9">
              <w:rPr>
                <w:rStyle w:val="Hyperlink"/>
              </w:rPr>
              <w:t>67</w:t>
            </w:r>
            <w:r w:rsidR="000463F0">
              <w:fldChar w:fldCharType="end"/>
            </w:r>
          </w:hyperlink>
        </w:p>
        <w:p w14:paraId="03A3AA93" w14:textId="14463C26" w:rsidR="000463F0" w:rsidRDefault="5183A6D9" w:rsidP="5183A6D9">
          <w:pPr>
            <w:pStyle w:val="TOC4"/>
            <w:tabs>
              <w:tab w:val="right" w:leader="dot" w:pos="9345"/>
            </w:tabs>
            <w:rPr>
              <w:rStyle w:val="Hyperlink"/>
              <w:noProof/>
              <w:kern w:val="2"/>
              <w14:ligatures w14:val="standardContextual"/>
            </w:rPr>
          </w:pPr>
          <w:hyperlink w:anchor="_Toc1394900841">
            <w:r w:rsidRPr="5183A6D9">
              <w:rPr>
                <w:rStyle w:val="Hyperlink"/>
              </w:rPr>
              <w:t>Key Takeaways: A Drug Built on Dubious Grounds</w:t>
            </w:r>
            <w:r w:rsidR="000463F0">
              <w:tab/>
            </w:r>
            <w:r w:rsidR="000463F0">
              <w:fldChar w:fldCharType="begin"/>
            </w:r>
            <w:r w:rsidR="000463F0">
              <w:instrText>PAGEREF _Toc1394900841 \h</w:instrText>
            </w:r>
            <w:r w:rsidR="000463F0">
              <w:fldChar w:fldCharType="separate"/>
            </w:r>
            <w:r w:rsidRPr="5183A6D9">
              <w:rPr>
                <w:rStyle w:val="Hyperlink"/>
              </w:rPr>
              <w:t>68</w:t>
            </w:r>
            <w:r w:rsidR="000463F0">
              <w:fldChar w:fldCharType="end"/>
            </w:r>
          </w:hyperlink>
        </w:p>
        <w:p w14:paraId="38D36D85" w14:textId="71CF0D95" w:rsidR="000463F0" w:rsidRDefault="5183A6D9" w:rsidP="5183A6D9">
          <w:pPr>
            <w:pStyle w:val="TOC2"/>
            <w:tabs>
              <w:tab w:val="right" w:leader="dot" w:pos="9345"/>
            </w:tabs>
            <w:rPr>
              <w:rStyle w:val="Hyperlink"/>
              <w:noProof/>
              <w:kern w:val="2"/>
              <w14:ligatures w14:val="standardContextual"/>
            </w:rPr>
          </w:pPr>
          <w:hyperlink w:anchor="_Toc1705160413">
            <w:r w:rsidRPr="5183A6D9">
              <w:rPr>
                <w:rStyle w:val="Hyperlink"/>
              </w:rPr>
              <w:t>3. DOJ vs Dr Wang</w:t>
            </w:r>
            <w:r w:rsidR="000463F0">
              <w:tab/>
            </w:r>
            <w:r w:rsidR="000463F0">
              <w:fldChar w:fldCharType="begin"/>
            </w:r>
            <w:r w:rsidR="000463F0">
              <w:instrText>PAGEREF _Toc1705160413 \h</w:instrText>
            </w:r>
            <w:r w:rsidR="000463F0">
              <w:fldChar w:fldCharType="separate"/>
            </w:r>
            <w:r w:rsidRPr="5183A6D9">
              <w:rPr>
                <w:rStyle w:val="Hyperlink"/>
              </w:rPr>
              <w:t>68</w:t>
            </w:r>
            <w:r w:rsidR="000463F0">
              <w:fldChar w:fldCharType="end"/>
            </w:r>
          </w:hyperlink>
        </w:p>
        <w:p w14:paraId="221D4FED" w14:textId="2EA86655" w:rsidR="000463F0" w:rsidRDefault="5183A6D9" w:rsidP="5183A6D9">
          <w:pPr>
            <w:pStyle w:val="TOC2"/>
            <w:tabs>
              <w:tab w:val="right" w:leader="dot" w:pos="9345"/>
            </w:tabs>
            <w:rPr>
              <w:rStyle w:val="Hyperlink"/>
              <w:noProof/>
              <w:kern w:val="2"/>
              <w14:ligatures w14:val="standardContextual"/>
            </w:rPr>
          </w:pPr>
          <w:hyperlink w:anchor="_Toc1116755853">
            <w:r w:rsidRPr="5183A6D9">
              <w:rPr>
                <w:rStyle w:val="Hyperlink"/>
              </w:rPr>
              <w:t>4. SEC vs Dr Wang</w:t>
            </w:r>
            <w:r w:rsidR="000463F0">
              <w:tab/>
            </w:r>
            <w:r w:rsidR="000463F0">
              <w:fldChar w:fldCharType="begin"/>
            </w:r>
            <w:r w:rsidR="000463F0">
              <w:instrText>PAGEREF _Toc1116755853 \h</w:instrText>
            </w:r>
            <w:r w:rsidR="000463F0">
              <w:fldChar w:fldCharType="separate"/>
            </w:r>
            <w:r w:rsidRPr="5183A6D9">
              <w:rPr>
                <w:rStyle w:val="Hyperlink"/>
              </w:rPr>
              <w:t>69</w:t>
            </w:r>
            <w:r w:rsidR="000463F0">
              <w:fldChar w:fldCharType="end"/>
            </w:r>
          </w:hyperlink>
        </w:p>
        <w:p w14:paraId="598FEAF2" w14:textId="161F08D6" w:rsidR="000463F0" w:rsidRDefault="5183A6D9" w:rsidP="5183A6D9">
          <w:pPr>
            <w:pStyle w:val="TOC2"/>
            <w:tabs>
              <w:tab w:val="right" w:leader="dot" w:pos="9345"/>
            </w:tabs>
            <w:rPr>
              <w:rStyle w:val="Hyperlink"/>
              <w:noProof/>
              <w:kern w:val="2"/>
              <w14:ligatures w14:val="standardContextual"/>
            </w:rPr>
          </w:pPr>
          <w:hyperlink w:anchor="_Toc655890270">
            <w:r w:rsidRPr="5183A6D9">
              <w:rPr>
                <w:rStyle w:val="Hyperlink"/>
              </w:rPr>
              <w:t>5. SEC vs Cassava Sciences</w:t>
            </w:r>
            <w:r w:rsidR="000463F0">
              <w:tab/>
            </w:r>
            <w:r w:rsidR="000463F0">
              <w:fldChar w:fldCharType="begin"/>
            </w:r>
            <w:r w:rsidR="000463F0">
              <w:instrText>PAGEREF _Toc655890270 \h</w:instrText>
            </w:r>
            <w:r w:rsidR="000463F0">
              <w:fldChar w:fldCharType="separate"/>
            </w:r>
            <w:r w:rsidRPr="5183A6D9">
              <w:rPr>
                <w:rStyle w:val="Hyperlink"/>
              </w:rPr>
              <w:t>72</w:t>
            </w:r>
            <w:r w:rsidR="000463F0">
              <w:fldChar w:fldCharType="end"/>
            </w:r>
          </w:hyperlink>
        </w:p>
        <w:p w14:paraId="01353A6F" w14:textId="508D2C18" w:rsidR="000463F0" w:rsidRDefault="5183A6D9" w:rsidP="5183A6D9">
          <w:pPr>
            <w:pStyle w:val="TOC2"/>
            <w:tabs>
              <w:tab w:val="right" w:leader="dot" w:pos="9345"/>
            </w:tabs>
            <w:rPr>
              <w:rStyle w:val="Hyperlink"/>
              <w:noProof/>
              <w:kern w:val="2"/>
              <w14:ligatures w14:val="standardContextual"/>
            </w:rPr>
          </w:pPr>
          <w:hyperlink w:anchor="_Toc75488337">
            <w:r w:rsidRPr="5183A6D9">
              <w:rPr>
                <w:rStyle w:val="Hyperlink"/>
              </w:rPr>
              <w:t>6. The CUNY Investigation</w:t>
            </w:r>
            <w:r w:rsidR="000463F0">
              <w:tab/>
            </w:r>
            <w:r w:rsidR="000463F0">
              <w:fldChar w:fldCharType="begin"/>
            </w:r>
            <w:r w:rsidR="000463F0">
              <w:instrText>PAGEREF _Toc75488337 \h</w:instrText>
            </w:r>
            <w:r w:rsidR="000463F0">
              <w:fldChar w:fldCharType="separate"/>
            </w:r>
            <w:r w:rsidRPr="5183A6D9">
              <w:rPr>
                <w:rStyle w:val="Hyperlink"/>
              </w:rPr>
              <w:t>75</w:t>
            </w:r>
            <w:r w:rsidR="000463F0">
              <w:fldChar w:fldCharType="end"/>
            </w:r>
          </w:hyperlink>
        </w:p>
        <w:p w14:paraId="720F52BE" w14:textId="71613B27" w:rsidR="000463F0" w:rsidRDefault="5183A6D9" w:rsidP="5183A6D9">
          <w:pPr>
            <w:pStyle w:val="TOC2"/>
            <w:tabs>
              <w:tab w:val="right" w:leader="dot" w:pos="9345"/>
            </w:tabs>
            <w:rPr>
              <w:rStyle w:val="Hyperlink"/>
              <w:noProof/>
              <w:kern w:val="2"/>
              <w14:ligatures w14:val="standardContextual"/>
            </w:rPr>
          </w:pPr>
          <w:hyperlink w:anchor="_Toc1429266956">
            <w:r w:rsidRPr="5183A6D9">
              <w:rPr>
                <w:rStyle w:val="Hyperlink"/>
              </w:rPr>
              <w:t>7. QCM Report</w:t>
            </w:r>
            <w:r w:rsidR="000463F0">
              <w:tab/>
            </w:r>
            <w:r w:rsidR="000463F0">
              <w:fldChar w:fldCharType="begin"/>
            </w:r>
            <w:r w:rsidR="000463F0">
              <w:instrText>PAGEREF _Toc1429266956 \h</w:instrText>
            </w:r>
            <w:r w:rsidR="000463F0">
              <w:fldChar w:fldCharType="separate"/>
            </w:r>
            <w:r w:rsidRPr="5183A6D9">
              <w:rPr>
                <w:rStyle w:val="Hyperlink"/>
              </w:rPr>
              <w:t>79</w:t>
            </w:r>
            <w:r w:rsidR="000463F0">
              <w:fldChar w:fldCharType="end"/>
            </w:r>
          </w:hyperlink>
        </w:p>
        <w:p w14:paraId="50E6397C" w14:textId="76E016F5" w:rsidR="000463F0" w:rsidRDefault="5183A6D9" w:rsidP="5183A6D9">
          <w:pPr>
            <w:pStyle w:val="TOC3"/>
            <w:tabs>
              <w:tab w:val="right" w:leader="dot" w:pos="9345"/>
            </w:tabs>
            <w:rPr>
              <w:rStyle w:val="Hyperlink"/>
              <w:noProof/>
              <w:kern w:val="2"/>
              <w14:ligatures w14:val="standardContextual"/>
            </w:rPr>
          </w:pPr>
          <w:hyperlink w:anchor="_Toc1716630626">
            <w:r w:rsidRPr="5183A6D9">
              <w:rPr>
                <w:rStyle w:val="Hyperlink"/>
              </w:rPr>
              <w:t>Incentive Compensation and Executive Greed</w:t>
            </w:r>
            <w:r w:rsidR="000463F0">
              <w:tab/>
            </w:r>
            <w:r w:rsidR="000463F0">
              <w:fldChar w:fldCharType="begin"/>
            </w:r>
            <w:r w:rsidR="000463F0">
              <w:instrText>PAGEREF _Toc1716630626 \h</w:instrText>
            </w:r>
            <w:r w:rsidR="000463F0">
              <w:fldChar w:fldCharType="separate"/>
            </w:r>
            <w:r w:rsidRPr="5183A6D9">
              <w:rPr>
                <w:rStyle w:val="Hyperlink"/>
              </w:rPr>
              <w:t>79</w:t>
            </w:r>
            <w:r w:rsidR="000463F0">
              <w:fldChar w:fldCharType="end"/>
            </w:r>
          </w:hyperlink>
        </w:p>
        <w:p w14:paraId="2B38362C" w14:textId="7E486E2A" w:rsidR="000463F0" w:rsidRDefault="5183A6D9" w:rsidP="5183A6D9">
          <w:pPr>
            <w:pStyle w:val="TOC3"/>
            <w:tabs>
              <w:tab w:val="right" w:leader="dot" w:pos="9345"/>
            </w:tabs>
            <w:rPr>
              <w:rStyle w:val="Hyperlink"/>
              <w:noProof/>
              <w:kern w:val="2"/>
              <w14:ligatures w14:val="standardContextual"/>
            </w:rPr>
          </w:pPr>
          <w:hyperlink w:anchor="_Toc1010748637">
            <w:r w:rsidRPr="5183A6D9">
              <w:rPr>
                <w:rStyle w:val="Hyperlink"/>
              </w:rPr>
              <w:t>Questionable Individuals Involved in the Clinical Trials</w:t>
            </w:r>
            <w:r w:rsidR="000463F0">
              <w:tab/>
            </w:r>
            <w:r w:rsidR="000463F0">
              <w:fldChar w:fldCharType="begin"/>
            </w:r>
            <w:r w:rsidR="000463F0">
              <w:instrText>PAGEREF _Toc1010748637 \h</w:instrText>
            </w:r>
            <w:r w:rsidR="000463F0">
              <w:fldChar w:fldCharType="separate"/>
            </w:r>
            <w:r w:rsidRPr="5183A6D9">
              <w:rPr>
                <w:rStyle w:val="Hyperlink"/>
              </w:rPr>
              <w:t>81</w:t>
            </w:r>
            <w:r w:rsidR="000463F0">
              <w:fldChar w:fldCharType="end"/>
            </w:r>
          </w:hyperlink>
        </w:p>
        <w:p w14:paraId="2682ED95" w14:textId="409E4FB3" w:rsidR="000463F0" w:rsidRDefault="5183A6D9" w:rsidP="5183A6D9">
          <w:pPr>
            <w:pStyle w:val="TOC3"/>
            <w:tabs>
              <w:tab w:val="right" w:leader="dot" w:pos="9345"/>
            </w:tabs>
            <w:rPr>
              <w:rStyle w:val="Hyperlink"/>
              <w:noProof/>
              <w:kern w:val="2"/>
              <w14:ligatures w14:val="standardContextual"/>
            </w:rPr>
          </w:pPr>
          <w:hyperlink w:anchor="_Toc1817701895">
            <w:r w:rsidRPr="5183A6D9">
              <w:rPr>
                <w:rStyle w:val="Hyperlink"/>
              </w:rPr>
              <w:t>Alleged Manipulation of Clinical Trials and Data</w:t>
            </w:r>
            <w:r w:rsidR="000463F0">
              <w:tab/>
            </w:r>
            <w:r w:rsidR="000463F0">
              <w:fldChar w:fldCharType="begin"/>
            </w:r>
            <w:r w:rsidR="000463F0">
              <w:instrText>PAGEREF _Toc1817701895 \h</w:instrText>
            </w:r>
            <w:r w:rsidR="000463F0">
              <w:fldChar w:fldCharType="separate"/>
            </w:r>
            <w:r w:rsidRPr="5183A6D9">
              <w:rPr>
                <w:rStyle w:val="Hyperlink"/>
              </w:rPr>
              <w:t>82</w:t>
            </w:r>
            <w:r w:rsidR="000463F0">
              <w:fldChar w:fldCharType="end"/>
            </w:r>
          </w:hyperlink>
        </w:p>
        <w:p w14:paraId="07E13E6E" w14:textId="43E57312" w:rsidR="000463F0" w:rsidRDefault="5183A6D9" w:rsidP="5183A6D9">
          <w:pPr>
            <w:pStyle w:val="TOC3"/>
            <w:tabs>
              <w:tab w:val="right" w:leader="dot" w:pos="9345"/>
            </w:tabs>
            <w:rPr>
              <w:rStyle w:val="Hyperlink"/>
              <w:noProof/>
              <w:kern w:val="2"/>
              <w14:ligatures w14:val="standardContextual"/>
            </w:rPr>
          </w:pPr>
          <w:hyperlink w:anchor="_Toc1660247546">
            <w:r w:rsidRPr="5183A6D9">
              <w:rPr>
                <w:rStyle w:val="Hyperlink"/>
              </w:rPr>
              <w:t>The Citizen Petition and Forensic Investigations</w:t>
            </w:r>
            <w:r w:rsidR="000463F0">
              <w:tab/>
            </w:r>
            <w:r w:rsidR="000463F0">
              <w:fldChar w:fldCharType="begin"/>
            </w:r>
            <w:r w:rsidR="000463F0">
              <w:instrText>PAGEREF _Toc1660247546 \h</w:instrText>
            </w:r>
            <w:r w:rsidR="000463F0">
              <w:fldChar w:fldCharType="separate"/>
            </w:r>
            <w:r w:rsidRPr="5183A6D9">
              <w:rPr>
                <w:rStyle w:val="Hyperlink"/>
              </w:rPr>
              <w:t>83</w:t>
            </w:r>
            <w:r w:rsidR="000463F0">
              <w:fldChar w:fldCharType="end"/>
            </w:r>
          </w:hyperlink>
        </w:p>
        <w:p w14:paraId="6724B882" w14:textId="457CF527" w:rsidR="000463F0" w:rsidRDefault="5183A6D9" w:rsidP="5183A6D9">
          <w:pPr>
            <w:pStyle w:val="TOC3"/>
            <w:tabs>
              <w:tab w:val="right" w:leader="dot" w:pos="9345"/>
            </w:tabs>
            <w:rPr>
              <w:rStyle w:val="Hyperlink"/>
              <w:noProof/>
              <w:kern w:val="2"/>
              <w14:ligatures w14:val="standardContextual"/>
            </w:rPr>
          </w:pPr>
          <w:hyperlink w:anchor="_Toc1669128944">
            <w:r w:rsidRPr="5183A6D9">
              <w:rPr>
                <w:rStyle w:val="Hyperlink"/>
              </w:rPr>
              <w:t>Regulatory and Legal Exposure</w:t>
            </w:r>
            <w:r w:rsidR="000463F0">
              <w:tab/>
            </w:r>
            <w:r w:rsidR="000463F0">
              <w:fldChar w:fldCharType="begin"/>
            </w:r>
            <w:r w:rsidR="000463F0">
              <w:instrText>PAGEREF _Toc1669128944 \h</w:instrText>
            </w:r>
            <w:r w:rsidR="000463F0">
              <w:fldChar w:fldCharType="separate"/>
            </w:r>
            <w:r w:rsidRPr="5183A6D9">
              <w:rPr>
                <w:rStyle w:val="Hyperlink"/>
              </w:rPr>
              <w:t>83</w:t>
            </w:r>
            <w:r w:rsidR="000463F0">
              <w:fldChar w:fldCharType="end"/>
            </w:r>
          </w:hyperlink>
        </w:p>
        <w:p w14:paraId="06C73610" w14:textId="5003867B" w:rsidR="000463F0" w:rsidRDefault="5183A6D9" w:rsidP="5183A6D9">
          <w:pPr>
            <w:pStyle w:val="TOC1"/>
            <w:tabs>
              <w:tab w:val="right" w:leader="dot" w:pos="9345"/>
            </w:tabs>
            <w:rPr>
              <w:rStyle w:val="Hyperlink"/>
              <w:noProof/>
              <w:kern w:val="2"/>
              <w14:ligatures w14:val="standardContextual"/>
            </w:rPr>
          </w:pPr>
          <w:hyperlink w:anchor="_Toc1013565048">
            <w:r w:rsidRPr="5183A6D9">
              <w:rPr>
                <w:rStyle w:val="Hyperlink"/>
              </w:rPr>
              <w:t>Final Conclusion</w:t>
            </w:r>
            <w:r w:rsidR="000463F0">
              <w:tab/>
            </w:r>
            <w:r w:rsidR="000463F0">
              <w:fldChar w:fldCharType="begin"/>
            </w:r>
            <w:r w:rsidR="000463F0">
              <w:instrText>PAGEREF _Toc1013565048 \h</w:instrText>
            </w:r>
            <w:r w:rsidR="000463F0">
              <w:fldChar w:fldCharType="separate"/>
            </w:r>
            <w:r w:rsidRPr="5183A6D9">
              <w:rPr>
                <w:rStyle w:val="Hyperlink"/>
              </w:rPr>
              <w:t>84</w:t>
            </w:r>
            <w:r w:rsidR="000463F0">
              <w:fldChar w:fldCharType="end"/>
            </w:r>
          </w:hyperlink>
        </w:p>
        <w:p w14:paraId="2371A755" w14:textId="6E3515A0" w:rsidR="000463F0" w:rsidRDefault="5183A6D9" w:rsidP="5183A6D9">
          <w:pPr>
            <w:pStyle w:val="TOC1"/>
            <w:tabs>
              <w:tab w:val="right" w:leader="dot" w:pos="9345"/>
            </w:tabs>
            <w:rPr>
              <w:rStyle w:val="Hyperlink"/>
              <w:noProof/>
              <w:kern w:val="2"/>
              <w14:ligatures w14:val="standardContextual"/>
            </w:rPr>
          </w:pPr>
          <w:hyperlink w:anchor="_Toc766152715">
            <w:r w:rsidRPr="5183A6D9">
              <w:rPr>
                <w:rStyle w:val="Hyperlink"/>
              </w:rPr>
              <w:t>References</w:t>
            </w:r>
            <w:r w:rsidR="000463F0">
              <w:tab/>
            </w:r>
            <w:r w:rsidR="000463F0">
              <w:fldChar w:fldCharType="begin"/>
            </w:r>
            <w:r w:rsidR="000463F0">
              <w:instrText>PAGEREF _Toc766152715 \h</w:instrText>
            </w:r>
            <w:r w:rsidR="000463F0">
              <w:fldChar w:fldCharType="separate"/>
            </w:r>
            <w:r w:rsidRPr="5183A6D9">
              <w:rPr>
                <w:rStyle w:val="Hyperlink"/>
              </w:rPr>
              <w:t>85</w:t>
            </w:r>
            <w:r w:rsidR="000463F0">
              <w:fldChar w:fldCharType="end"/>
            </w:r>
          </w:hyperlink>
          <w:r w:rsidR="000463F0">
            <w:fldChar w:fldCharType="end"/>
          </w:r>
        </w:p>
      </w:sdtContent>
    </w:sdt>
    <w:p w14:paraId="331EE0C5" w14:textId="5A2D1F1A" w:rsidR="009D078D" w:rsidRDefault="009D078D" w:rsidP="021DFF3B">
      <w:pPr>
        <w:pStyle w:val="TOC1"/>
        <w:tabs>
          <w:tab w:val="right" w:leader="dot" w:pos="9345"/>
        </w:tabs>
        <w:rPr>
          <w:rStyle w:val="Hyperlink"/>
          <w:noProof/>
          <w:kern w:val="2"/>
          <w14:ligatures w14:val="standardContextual"/>
        </w:rPr>
      </w:pPr>
    </w:p>
    <w:p w14:paraId="2B9EB455" w14:textId="32B91B6B" w:rsidR="7FC958CC" w:rsidRDefault="7FC958CC" w:rsidP="7FC958CC">
      <w:pPr>
        <w:pStyle w:val="TOC1"/>
        <w:tabs>
          <w:tab w:val="right" w:leader="dot" w:pos="9345"/>
        </w:tabs>
        <w:rPr>
          <w:rStyle w:val="Hyperlink"/>
        </w:rPr>
      </w:pPr>
    </w:p>
    <w:p w14:paraId="76D7FB50" w14:textId="083D8479" w:rsidR="005256A9" w:rsidRPr="001836F4" w:rsidRDefault="005256A9" w:rsidP="1A7D617E">
      <w:pPr>
        <w:pStyle w:val="TOC1"/>
        <w:tabs>
          <w:tab w:val="right" w:leader="dot" w:pos="9360"/>
        </w:tabs>
        <w:spacing w:line="360" w:lineRule="auto"/>
        <w:rPr>
          <w:rStyle w:val="Hyperlink"/>
        </w:rPr>
      </w:pPr>
    </w:p>
    <w:p w14:paraId="70AF744A" w14:textId="46FEC4C2" w:rsidR="005256A9" w:rsidRPr="001836F4" w:rsidRDefault="005256A9" w:rsidP="2008B0F1">
      <w:pPr>
        <w:spacing w:line="360" w:lineRule="auto"/>
        <w:jc w:val="both"/>
        <w:rPr>
          <w:rStyle w:val="EndnoteReference"/>
        </w:rPr>
      </w:pPr>
    </w:p>
    <w:p w14:paraId="35BBAED9" w14:textId="4ED0D259" w:rsidR="005256A9" w:rsidRPr="001836F4" w:rsidRDefault="5183A6D9" w:rsidP="5183A6D9">
      <w:pPr>
        <w:pStyle w:val="Heading1"/>
        <w:spacing w:line="360" w:lineRule="auto"/>
        <w:rPr>
          <w:rFonts w:ascii="Times New Roman" w:hAnsi="Times New Roman" w:cs="Times New Roman"/>
          <w:b/>
          <w:bCs/>
          <w:color w:val="auto"/>
        </w:rPr>
      </w:pPr>
      <w:bookmarkStart w:id="2" w:name="_Toc613257134"/>
      <w:r w:rsidRPr="5183A6D9">
        <w:rPr>
          <w:rFonts w:ascii="Times New Roman" w:hAnsi="Times New Roman" w:cs="Times New Roman"/>
          <w:b/>
          <w:bCs/>
          <w:color w:val="auto"/>
        </w:rPr>
        <w:t>Executive Summary</w:t>
      </w:r>
      <w:bookmarkEnd w:id="2"/>
    </w:p>
    <w:p w14:paraId="3C7C00B4" w14:textId="1CC346F8" w:rsidR="00F24C00" w:rsidRPr="001836F4" w:rsidRDefault="005256A9" w:rsidP="00F84A37">
      <w:pPr>
        <w:spacing w:line="360" w:lineRule="auto"/>
        <w:jc w:val="both"/>
        <w:rPr>
          <w:rFonts w:eastAsiaTheme="majorEastAsia"/>
        </w:rPr>
      </w:pPr>
      <w:r w:rsidRPr="001836F4">
        <w:rPr>
          <w:rFonts w:eastAsiaTheme="majorEastAsia"/>
        </w:rPr>
        <w:t xml:space="preserve">Cassava Sciences (SAVA), a </w:t>
      </w:r>
      <w:r w:rsidR="00F533DA" w:rsidRPr="001836F4">
        <w:rPr>
          <w:rFonts w:eastAsiaTheme="majorEastAsia"/>
        </w:rPr>
        <w:t>clinical</w:t>
      </w:r>
      <w:r w:rsidR="00FB37D1" w:rsidRPr="001836F4">
        <w:rPr>
          <w:rFonts w:eastAsiaTheme="majorEastAsia"/>
        </w:rPr>
        <w:t xml:space="preserve">-stage </w:t>
      </w:r>
      <w:r w:rsidRPr="001836F4">
        <w:rPr>
          <w:rFonts w:eastAsiaTheme="majorEastAsia"/>
        </w:rPr>
        <w:t xml:space="preserve">biotechnology company focused on </w:t>
      </w:r>
      <w:r w:rsidR="00FB37D1" w:rsidRPr="001836F4">
        <w:rPr>
          <w:rFonts w:eastAsiaTheme="majorEastAsia"/>
        </w:rPr>
        <w:t>Alzheimer’s disease (AD</w:t>
      </w:r>
      <w:r w:rsidR="7878E102" w:rsidRPr="7878E102">
        <w:rPr>
          <w:rFonts w:eastAsiaTheme="majorEastAsia"/>
        </w:rPr>
        <w:t>),</w:t>
      </w:r>
      <w:r w:rsidR="00FB37D1" w:rsidRPr="001836F4">
        <w:rPr>
          <w:rFonts w:eastAsiaTheme="majorEastAsia"/>
        </w:rPr>
        <w:t xml:space="preserve"> </w:t>
      </w:r>
      <w:r w:rsidR="006A59DA" w:rsidRPr="001836F4">
        <w:rPr>
          <w:rFonts w:eastAsiaTheme="majorEastAsia"/>
        </w:rPr>
        <w:t>has gained substantial attention due to its lead drug candidate, Simufilam.</w:t>
      </w:r>
      <w:r w:rsidR="00057D5A" w:rsidRPr="001836F4">
        <w:rPr>
          <w:rFonts w:eastAsiaTheme="majorEastAsia"/>
        </w:rPr>
        <w:t xml:space="preserve"> </w:t>
      </w:r>
      <w:r w:rsidR="00F24C00" w:rsidRPr="001836F4">
        <w:rPr>
          <w:rFonts w:eastAsiaTheme="majorEastAsia"/>
        </w:rPr>
        <w:t>Positioned as a novel treatment</w:t>
      </w:r>
      <w:r w:rsidR="001245FF" w:rsidRPr="001836F4">
        <w:rPr>
          <w:rFonts w:eastAsiaTheme="majorEastAsia"/>
        </w:rPr>
        <w:t xml:space="preserve">, Simufilam </w:t>
      </w:r>
      <w:r w:rsidR="76C6C0F1" w:rsidRPr="76C6C0F1">
        <w:rPr>
          <w:rFonts w:eastAsiaTheme="majorEastAsia"/>
        </w:rPr>
        <w:t>targets</w:t>
      </w:r>
      <w:r w:rsidR="001245FF" w:rsidRPr="001836F4">
        <w:rPr>
          <w:rFonts w:eastAsiaTheme="majorEastAsia"/>
        </w:rPr>
        <w:t xml:space="preserve"> filamin A (FLNA)</w:t>
      </w:r>
      <w:r w:rsidR="00F86C98" w:rsidRPr="001836F4">
        <w:rPr>
          <w:rFonts w:eastAsiaTheme="majorEastAsia"/>
        </w:rPr>
        <w:t>, a protein th</w:t>
      </w:r>
      <w:r w:rsidR="006A7159" w:rsidRPr="001836F4">
        <w:rPr>
          <w:rFonts w:eastAsiaTheme="majorEastAsia"/>
        </w:rPr>
        <w:t>at</w:t>
      </w:r>
      <w:r w:rsidR="7891F7A8" w:rsidRPr="7891F7A8">
        <w:rPr>
          <w:rFonts w:eastAsiaTheme="majorEastAsia"/>
        </w:rPr>
        <w:t>,</w:t>
      </w:r>
      <w:r w:rsidR="006A7159" w:rsidRPr="001836F4">
        <w:rPr>
          <w:rFonts w:eastAsiaTheme="majorEastAsia"/>
        </w:rPr>
        <w:t xml:space="preserve"> </w:t>
      </w:r>
      <w:r w:rsidR="28028DF5" w:rsidRPr="28028DF5">
        <w:rPr>
          <w:rFonts w:eastAsiaTheme="majorEastAsia"/>
        </w:rPr>
        <w:t>according to the company</w:t>
      </w:r>
      <w:r w:rsidR="693FEF02" w:rsidRPr="693FEF02">
        <w:rPr>
          <w:rFonts w:eastAsiaTheme="majorEastAsia"/>
        </w:rPr>
        <w:t>,</w:t>
      </w:r>
      <w:r w:rsidR="00F86C98" w:rsidRPr="001836F4">
        <w:rPr>
          <w:rFonts w:eastAsiaTheme="majorEastAsia"/>
        </w:rPr>
        <w:t xml:space="preserve"> </w:t>
      </w:r>
      <w:r w:rsidR="2A4B69A4" w:rsidRPr="2A4B69A4">
        <w:rPr>
          <w:rFonts w:eastAsiaTheme="majorEastAsia"/>
        </w:rPr>
        <w:t>plays</w:t>
      </w:r>
      <w:r w:rsidR="00F86C98" w:rsidRPr="001836F4">
        <w:rPr>
          <w:rFonts w:eastAsiaTheme="majorEastAsia"/>
        </w:rPr>
        <w:t xml:space="preserve"> a key role in neurodegeneration and inflammation in AD</w:t>
      </w:r>
      <w:r w:rsidR="006A7159" w:rsidRPr="001836F4">
        <w:rPr>
          <w:rFonts w:eastAsiaTheme="majorEastAsia"/>
        </w:rPr>
        <w:t>.</w:t>
      </w:r>
      <w:r w:rsidR="00F86C98" w:rsidRPr="001836F4">
        <w:rPr>
          <w:rFonts w:eastAsiaTheme="majorEastAsia"/>
        </w:rPr>
        <w:t xml:space="preserve"> This innovative mechanism has been promoted as a potential breakthrough in AD treatment, distinguishing it from traditional approaches that focus on amyloid plaques</w:t>
      </w:r>
      <w:r w:rsidR="007E3AE9" w:rsidRPr="001836F4">
        <w:rPr>
          <w:rFonts w:eastAsiaTheme="majorEastAsia"/>
        </w:rPr>
        <w:t xml:space="preserve"> </w:t>
      </w:r>
      <w:r w:rsidR="00EA0BE8" w:rsidRPr="001836F4">
        <w:rPr>
          <w:rFonts w:eastAsiaTheme="majorEastAsia"/>
        </w:rPr>
        <w:t>and t</w:t>
      </w:r>
      <w:r w:rsidR="007E3AE9" w:rsidRPr="001836F4">
        <w:rPr>
          <w:rFonts w:eastAsiaTheme="majorEastAsia"/>
        </w:rPr>
        <w:t>au phosphorylation</w:t>
      </w:r>
      <w:r w:rsidR="00F86C98" w:rsidRPr="001836F4">
        <w:rPr>
          <w:rFonts w:eastAsiaTheme="majorEastAsia"/>
        </w:rPr>
        <w:t>.</w:t>
      </w:r>
    </w:p>
    <w:p w14:paraId="698F035F" w14:textId="77777777" w:rsidR="00F24C00" w:rsidRPr="001836F4" w:rsidRDefault="00F24C00" w:rsidP="00F84A37">
      <w:pPr>
        <w:spacing w:line="360" w:lineRule="auto"/>
        <w:jc w:val="both"/>
        <w:rPr>
          <w:rFonts w:eastAsiaTheme="majorEastAsia"/>
        </w:rPr>
      </w:pPr>
    </w:p>
    <w:p w14:paraId="518A3EAE" w14:textId="038B4BEB" w:rsidR="003A628A" w:rsidRPr="001836F4" w:rsidRDefault="00EA0BE8" w:rsidP="00F84A37">
      <w:pPr>
        <w:spacing w:line="360" w:lineRule="auto"/>
        <w:jc w:val="both"/>
        <w:rPr>
          <w:rFonts w:eastAsiaTheme="majorEastAsia"/>
        </w:rPr>
      </w:pPr>
      <w:r w:rsidRPr="001836F4">
        <w:rPr>
          <w:rFonts w:eastAsiaTheme="majorEastAsia"/>
        </w:rPr>
        <w:t>De</w:t>
      </w:r>
      <w:r w:rsidR="003A628A" w:rsidRPr="001836F4">
        <w:rPr>
          <w:rFonts w:eastAsiaTheme="majorEastAsia"/>
        </w:rPr>
        <w:t>spite the market</w:t>
      </w:r>
      <w:r w:rsidR="00CE42FE" w:rsidRPr="001836F4">
        <w:rPr>
          <w:rFonts w:eastAsiaTheme="majorEastAsia"/>
        </w:rPr>
        <w:t>’s</w:t>
      </w:r>
      <w:r w:rsidR="003A628A" w:rsidRPr="001836F4">
        <w:rPr>
          <w:rFonts w:eastAsiaTheme="majorEastAsia"/>
        </w:rPr>
        <w:t xml:space="preserve"> enthusiasm and the company’s optimistic portrayal, significant concerns persist within the scientific community about the </w:t>
      </w:r>
      <w:r w:rsidR="00CE42FE" w:rsidRPr="001836F4">
        <w:rPr>
          <w:rFonts w:eastAsiaTheme="majorEastAsia"/>
        </w:rPr>
        <w:t>coherence</w:t>
      </w:r>
      <w:r w:rsidR="003A628A" w:rsidRPr="001836F4">
        <w:rPr>
          <w:rFonts w:eastAsiaTheme="majorEastAsia"/>
        </w:rPr>
        <w:t xml:space="preserve"> of Simufilam’s mechanism of action</w:t>
      </w:r>
      <w:r w:rsidR="00970470" w:rsidRPr="001836F4">
        <w:rPr>
          <w:rFonts w:eastAsiaTheme="majorEastAsia"/>
        </w:rPr>
        <w:t xml:space="preserve"> (MOA)</w:t>
      </w:r>
      <w:r w:rsidR="003A628A" w:rsidRPr="001836F4">
        <w:rPr>
          <w:rFonts w:eastAsiaTheme="majorEastAsia"/>
        </w:rPr>
        <w:t>.</w:t>
      </w:r>
      <w:r w:rsidR="0044144C" w:rsidRPr="001836F4">
        <w:rPr>
          <w:rFonts w:eastAsiaTheme="majorEastAsia"/>
        </w:rPr>
        <w:t xml:space="preserve"> Skeptics argue that the underlying FLNA hypothesis lacks sufficient independent validation and that the drug’s ability to impact the complex pathology of AD is </w:t>
      </w:r>
      <w:r w:rsidR="00CE42FE" w:rsidRPr="001836F4">
        <w:rPr>
          <w:rFonts w:eastAsiaTheme="majorEastAsia"/>
        </w:rPr>
        <w:t>still not proved</w:t>
      </w:r>
      <w:r w:rsidR="0044144C" w:rsidRPr="001836F4">
        <w:rPr>
          <w:rFonts w:eastAsiaTheme="majorEastAsia"/>
        </w:rPr>
        <w:t xml:space="preserve">. These scientific doubts are compounded by controversies surrounding </w:t>
      </w:r>
      <w:r w:rsidR="2BA4DDD5" w:rsidRPr="2BA4DDD5">
        <w:rPr>
          <w:rFonts w:eastAsiaTheme="majorEastAsia"/>
        </w:rPr>
        <w:t>Cassava</w:t>
      </w:r>
      <w:r w:rsidR="0044144C" w:rsidRPr="001836F4">
        <w:rPr>
          <w:rFonts w:eastAsiaTheme="majorEastAsia"/>
        </w:rPr>
        <w:t xml:space="preserve"> </w:t>
      </w:r>
      <w:r w:rsidR="42C30E66" w:rsidRPr="42C30E66">
        <w:rPr>
          <w:rFonts w:eastAsiaTheme="majorEastAsia"/>
        </w:rPr>
        <w:t xml:space="preserve">Sciences’ </w:t>
      </w:r>
      <w:r w:rsidR="0044144C" w:rsidRPr="001836F4">
        <w:rPr>
          <w:rFonts w:eastAsiaTheme="majorEastAsia"/>
        </w:rPr>
        <w:t>research practices</w:t>
      </w:r>
      <w:r w:rsidR="5D119E19" w:rsidRPr="001836F4">
        <w:rPr>
          <w:rFonts w:eastAsiaTheme="majorEastAsia"/>
        </w:rPr>
        <w:t>. Including the</w:t>
      </w:r>
      <w:r w:rsidR="0044144C" w:rsidRPr="001836F4">
        <w:rPr>
          <w:rFonts w:eastAsiaTheme="majorEastAsia"/>
        </w:rPr>
        <w:t xml:space="preserve"> scrutiny from regulatory agencies over data integrity, which further </w:t>
      </w:r>
      <w:r w:rsidR="5D119E19" w:rsidRPr="001836F4">
        <w:rPr>
          <w:rFonts w:eastAsiaTheme="majorEastAsia"/>
        </w:rPr>
        <w:t>undermines</w:t>
      </w:r>
      <w:r w:rsidR="0044144C" w:rsidRPr="001836F4">
        <w:rPr>
          <w:rFonts w:eastAsiaTheme="majorEastAsia"/>
        </w:rPr>
        <w:t xml:space="preserve"> confidence in the company’s claims.</w:t>
      </w:r>
      <w:r w:rsidR="005256A9" w:rsidRPr="001836F4">
        <w:rPr>
          <w:rFonts w:eastAsiaTheme="majorEastAsia"/>
        </w:rPr>
        <w:t xml:space="preserve"> </w:t>
      </w:r>
    </w:p>
    <w:p w14:paraId="14D56E11" w14:textId="77777777" w:rsidR="005256A9" w:rsidRPr="001836F4" w:rsidRDefault="005256A9" w:rsidP="00F84A37">
      <w:pPr>
        <w:spacing w:line="360" w:lineRule="auto"/>
        <w:jc w:val="both"/>
        <w:rPr>
          <w:rFonts w:eastAsiaTheme="majorEastAsia"/>
        </w:rPr>
      </w:pPr>
    </w:p>
    <w:p w14:paraId="194BA7BC" w14:textId="463B1B97" w:rsidR="00254CFF" w:rsidRDefault="0052014F" w:rsidP="00F84A37">
      <w:pPr>
        <w:spacing w:line="360" w:lineRule="auto"/>
        <w:jc w:val="both"/>
        <w:rPr>
          <w:rFonts w:eastAsiaTheme="majorEastAsia"/>
        </w:rPr>
      </w:pPr>
      <w:r w:rsidRPr="001836F4">
        <w:rPr>
          <w:rFonts w:eastAsiaTheme="majorEastAsia"/>
        </w:rPr>
        <w:t xml:space="preserve">This </w:t>
      </w:r>
      <w:r w:rsidR="532A0611" w:rsidRPr="532A0611">
        <w:rPr>
          <w:rFonts w:eastAsiaTheme="majorEastAsia"/>
        </w:rPr>
        <w:t>paper</w:t>
      </w:r>
      <w:r w:rsidRPr="001836F4">
        <w:rPr>
          <w:rFonts w:eastAsiaTheme="majorEastAsia"/>
        </w:rPr>
        <w:t xml:space="preserve"> provides a thorough analysis of the scientific foundation of Simufilam, detailing the fundamental flaws in its proposed </w:t>
      </w:r>
      <w:r w:rsidR="00EA51E9" w:rsidRPr="001836F4">
        <w:rPr>
          <w:rFonts w:eastAsiaTheme="majorEastAsia"/>
        </w:rPr>
        <w:t>MOA</w:t>
      </w:r>
      <w:r w:rsidRPr="001836F4">
        <w:rPr>
          <w:rFonts w:eastAsiaTheme="majorEastAsia"/>
        </w:rPr>
        <w:t xml:space="preserve">. We also examine the company’s clinical trial structure, which may exacerbate existing issues in its Phase </w:t>
      </w:r>
      <w:r w:rsidR="00A571F2">
        <w:rPr>
          <w:rFonts w:eastAsiaTheme="majorEastAsia"/>
        </w:rPr>
        <w:t>III</w:t>
      </w:r>
      <w:r w:rsidRPr="001836F4">
        <w:rPr>
          <w:rFonts w:eastAsiaTheme="majorEastAsia"/>
        </w:rPr>
        <w:t xml:space="preserve"> trials. Given the high probability of failure in these trials, we outline the financial ramifications for Cassava Sciences and present a strong case </w:t>
      </w:r>
      <w:r w:rsidRPr="001836F4">
        <w:rPr>
          <w:rFonts w:eastAsiaTheme="majorEastAsia"/>
        </w:rPr>
        <w:lastRenderedPageBreak/>
        <w:t>for</w:t>
      </w:r>
      <w:r w:rsidR="00A71787" w:rsidRPr="001836F4">
        <w:rPr>
          <w:rFonts w:eastAsiaTheme="majorEastAsia"/>
        </w:rPr>
        <w:t xml:space="preserve"> our short position. </w:t>
      </w:r>
      <w:r w:rsidR="5D119E19" w:rsidRPr="001836F4">
        <w:rPr>
          <w:rFonts w:eastAsiaTheme="majorEastAsia"/>
        </w:rPr>
        <w:t>We</w:t>
      </w:r>
      <w:r w:rsidR="00A71787" w:rsidRPr="001836F4">
        <w:rPr>
          <w:rFonts w:eastAsiaTheme="majorEastAsia"/>
        </w:rPr>
        <w:t xml:space="preserve"> are</w:t>
      </w:r>
      <w:r w:rsidRPr="001836F4">
        <w:rPr>
          <w:rFonts w:eastAsiaTheme="majorEastAsia"/>
        </w:rPr>
        <w:t xml:space="preserve"> anticipating a sharp decline </w:t>
      </w:r>
      <w:r w:rsidR="5D119E19" w:rsidRPr="001836F4">
        <w:rPr>
          <w:rFonts w:eastAsiaTheme="majorEastAsia"/>
        </w:rPr>
        <w:t>in the stock price</w:t>
      </w:r>
      <w:r w:rsidR="00A571F2">
        <w:rPr>
          <w:rFonts w:eastAsiaTheme="majorEastAsia"/>
        </w:rPr>
        <w:t xml:space="preserve"> -</w:t>
      </w:r>
      <w:r w:rsidR="5D119E19" w:rsidRPr="001836F4">
        <w:rPr>
          <w:rFonts w:eastAsiaTheme="majorEastAsia"/>
        </w:rPr>
        <w:t xml:space="preserve"> considering that</w:t>
      </w:r>
      <w:r w:rsidRPr="001836F4">
        <w:rPr>
          <w:rFonts w:eastAsiaTheme="majorEastAsia"/>
        </w:rPr>
        <w:t xml:space="preserve"> the company's sole product </w:t>
      </w:r>
      <w:r w:rsidR="5D119E19" w:rsidRPr="001836F4">
        <w:rPr>
          <w:rFonts w:eastAsiaTheme="majorEastAsia"/>
        </w:rPr>
        <w:t xml:space="preserve">will </w:t>
      </w:r>
      <w:r w:rsidR="00A571F2">
        <w:rPr>
          <w:rFonts w:eastAsiaTheme="majorEastAsia"/>
        </w:rPr>
        <w:t xml:space="preserve">most probably </w:t>
      </w:r>
      <w:r w:rsidR="5D119E19" w:rsidRPr="001836F4">
        <w:rPr>
          <w:rFonts w:eastAsiaTheme="majorEastAsia"/>
        </w:rPr>
        <w:t>fail</w:t>
      </w:r>
      <w:r w:rsidR="007E5672" w:rsidRPr="001836F4">
        <w:rPr>
          <w:rFonts w:eastAsiaTheme="majorEastAsia"/>
        </w:rPr>
        <w:t xml:space="preserve"> its </w:t>
      </w:r>
      <w:r w:rsidR="00A571F2">
        <w:rPr>
          <w:rFonts w:eastAsiaTheme="majorEastAsia"/>
        </w:rPr>
        <w:t>P</w:t>
      </w:r>
      <w:r w:rsidR="007E5672" w:rsidRPr="001836F4">
        <w:rPr>
          <w:rFonts w:eastAsiaTheme="majorEastAsia"/>
        </w:rPr>
        <w:t xml:space="preserve">hase </w:t>
      </w:r>
      <w:r w:rsidR="5D119E19" w:rsidRPr="001836F4">
        <w:rPr>
          <w:rFonts w:eastAsiaTheme="majorEastAsia"/>
        </w:rPr>
        <w:t>III clinical trial</w:t>
      </w:r>
      <w:r w:rsidR="00A571F2">
        <w:rPr>
          <w:rFonts w:eastAsiaTheme="majorEastAsia"/>
        </w:rPr>
        <w:t>s</w:t>
      </w:r>
      <w:r w:rsidRPr="001836F4">
        <w:rPr>
          <w:rFonts w:eastAsiaTheme="majorEastAsia"/>
        </w:rPr>
        <w:t>.</w:t>
      </w:r>
    </w:p>
    <w:p w14:paraId="206C9DAC" w14:textId="77777777" w:rsidR="00135765" w:rsidRDefault="00135765" w:rsidP="00F84A37">
      <w:pPr>
        <w:spacing w:line="360" w:lineRule="auto"/>
        <w:jc w:val="both"/>
        <w:rPr>
          <w:rFonts w:eastAsiaTheme="majorEastAsia"/>
        </w:rPr>
      </w:pPr>
    </w:p>
    <w:p w14:paraId="4AA91B9C" w14:textId="460188D4" w:rsidR="00D9661B" w:rsidRDefault="00135765" w:rsidP="00135765">
      <w:pPr>
        <w:spacing w:line="360" w:lineRule="auto"/>
        <w:jc w:val="both"/>
        <w:rPr>
          <w:rFonts w:eastAsiaTheme="majorEastAsia"/>
        </w:rPr>
      </w:pPr>
      <w:r w:rsidRPr="00135765">
        <w:rPr>
          <w:rFonts w:eastAsiaTheme="majorEastAsia"/>
        </w:rPr>
        <w:t xml:space="preserve">Our assessment assigns </w:t>
      </w:r>
      <w:r w:rsidR="00E46AF7">
        <w:rPr>
          <w:rFonts w:eastAsiaTheme="majorEastAsia"/>
        </w:rPr>
        <w:t xml:space="preserve">a </w:t>
      </w:r>
      <w:r w:rsidR="00845329">
        <w:rPr>
          <w:rFonts w:eastAsiaTheme="majorEastAsia"/>
        </w:rPr>
        <w:t>probability of success (P</w:t>
      </w:r>
      <w:r w:rsidR="00E46AF7">
        <w:rPr>
          <w:rFonts w:eastAsiaTheme="majorEastAsia"/>
        </w:rPr>
        <w:t>OS</w:t>
      </w:r>
      <w:r w:rsidR="00845329">
        <w:rPr>
          <w:rFonts w:eastAsiaTheme="majorEastAsia"/>
        </w:rPr>
        <w:t>)</w:t>
      </w:r>
      <w:r w:rsidR="00E46AF7">
        <w:rPr>
          <w:rFonts w:eastAsiaTheme="majorEastAsia"/>
        </w:rPr>
        <w:t xml:space="preserve"> </w:t>
      </w:r>
      <w:r w:rsidR="003F5666">
        <w:rPr>
          <w:rFonts w:eastAsiaTheme="majorEastAsia"/>
        </w:rPr>
        <w:t xml:space="preserve">for </w:t>
      </w:r>
      <w:r w:rsidRPr="00135765">
        <w:rPr>
          <w:rFonts w:eastAsiaTheme="majorEastAsia"/>
        </w:rPr>
        <w:t xml:space="preserve">Simufilam </w:t>
      </w:r>
      <w:r w:rsidR="003F5666">
        <w:rPr>
          <w:rFonts w:eastAsiaTheme="majorEastAsia"/>
        </w:rPr>
        <w:t xml:space="preserve">in its Phase III trial to be </w:t>
      </w:r>
      <w:r w:rsidR="00502A2B">
        <w:rPr>
          <w:rFonts w:eastAsiaTheme="majorEastAsia"/>
        </w:rPr>
        <w:t>between 0.00032</w:t>
      </w:r>
      <w:r w:rsidRPr="00135765">
        <w:rPr>
          <w:rFonts w:eastAsiaTheme="majorEastAsia"/>
          <w:i/>
          <w:iCs/>
        </w:rPr>
        <w:t>%</w:t>
      </w:r>
      <w:r w:rsidR="003F5666">
        <w:rPr>
          <w:rFonts w:eastAsiaTheme="majorEastAsia"/>
          <w:i/>
          <w:iCs/>
        </w:rPr>
        <w:t xml:space="preserve"> to 0.00</w:t>
      </w:r>
      <w:r w:rsidR="00A908A9">
        <w:rPr>
          <w:rFonts w:eastAsiaTheme="majorEastAsia"/>
          <w:i/>
          <w:iCs/>
        </w:rPr>
        <w:t>34%</w:t>
      </w:r>
      <w:r w:rsidRPr="00135765">
        <w:rPr>
          <w:rFonts w:eastAsiaTheme="majorEastAsia"/>
        </w:rPr>
        <w:t xml:space="preserve"> chance of success</w:t>
      </w:r>
      <w:r w:rsidR="00A908A9">
        <w:rPr>
          <w:rFonts w:eastAsiaTheme="majorEastAsia"/>
        </w:rPr>
        <w:t xml:space="preserve">, </w:t>
      </w:r>
      <w:r w:rsidR="00A908A9" w:rsidRPr="00A908A9">
        <w:rPr>
          <w:rFonts w:eastAsiaTheme="majorEastAsia"/>
        </w:rPr>
        <w:t>indicating a high statistical likelihood of failure. While these numbers may support a strategy of shorting the stock, it’s important to acknowledge the inherent unpredictability in drug development, which can sometimes defy statistical odds.</w:t>
      </w:r>
    </w:p>
    <w:p w14:paraId="1FED5C6F" w14:textId="77777777" w:rsidR="00A908A9" w:rsidRDefault="00A908A9" w:rsidP="00135765">
      <w:pPr>
        <w:spacing w:line="360" w:lineRule="auto"/>
        <w:jc w:val="both"/>
        <w:rPr>
          <w:rFonts w:eastAsiaTheme="majorEastAsia"/>
        </w:rPr>
      </w:pPr>
    </w:p>
    <w:p w14:paraId="6CD1D588" w14:textId="095DFB05" w:rsidR="00D41076" w:rsidRPr="00135765" w:rsidRDefault="00135765" w:rsidP="00135765">
      <w:pPr>
        <w:spacing w:line="360" w:lineRule="auto"/>
        <w:jc w:val="both"/>
        <w:rPr>
          <w:rFonts w:eastAsiaTheme="majorEastAsia"/>
        </w:rPr>
      </w:pPr>
      <w:r w:rsidRPr="00135765">
        <w:rPr>
          <w:rFonts w:eastAsiaTheme="majorEastAsia"/>
        </w:rPr>
        <w:t xml:space="preserve">Currently, Cassava Sciences is valued at a market cap of </w:t>
      </w:r>
      <w:r w:rsidRPr="00135765">
        <w:rPr>
          <w:rFonts w:eastAsiaTheme="majorEastAsia"/>
          <w:i/>
          <w:iCs/>
        </w:rPr>
        <w:t>$1.39 billion,</w:t>
      </w:r>
      <w:r w:rsidRPr="00135765">
        <w:rPr>
          <w:rFonts w:eastAsiaTheme="majorEastAsia"/>
        </w:rPr>
        <w:t xml:space="preserve"> a figure heavily contingent upon the prospective success of Simufilam. As we anticipate </w:t>
      </w:r>
      <w:r w:rsidR="00F36E2D">
        <w:rPr>
          <w:rFonts w:eastAsiaTheme="majorEastAsia"/>
        </w:rPr>
        <w:t>an</w:t>
      </w:r>
      <w:r w:rsidRPr="00135765">
        <w:rPr>
          <w:rFonts w:eastAsiaTheme="majorEastAsia"/>
        </w:rPr>
        <w:t xml:space="preserve"> inevitable failure </w:t>
      </w:r>
      <w:r w:rsidR="00F36E2D">
        <w:rPr>
          <w:rFonts w:eastAsiaTheme="majorEastAsia"/>
        </w:rPr>
        <w:t>of</w:t>
      </w:r>
      <w:r w:rsidRPr="00135765">
        <w:rPr>
          <w:rFonts w:eastAsiaTheme="majorEastAsia"/>
        </w:rPr>
        <w:t xml:space="preserve"> </w:t>
      </w:r>
      <w:r w:rsidR="004F02C0">
        <w:rPr>
          <w:rFonts w:eastAsiaTheme="majorEastAsia"/>
        </w:rPr>
        <w:t>the</w:t>
      </w:r>
      <w:r w:rsidRPr="00135765">
        <w:rPr>
          <w:rFonts w:eastAsiaTheme="majorEastAsia"/>
        </w:rPr>
        <w:t xml:space="preserve"> Phase III trials</w:t>
      </w:r>
      <w:r w:rsidR="00F36E2D">
        <w:rPr>
          <w:rFonts w:eastAsiaTheme="majorEastAsia"/>
        </w:rPr>
        <w:t xml:space="preserve"> -</w:t>
      </w:r>
      <w:r w:rsidRPr="00135765">
        <w:rPr>
          <w:rFonts w:eastAsiaTheme="majorEastAsia"/>
        </w:rPr>
        <w:t xml:space="preserve"> expected </w:t>
      </w:r>
      <w:r w:rsidR="00F36E2D">
        <w:rPr>
          <w:rFonts w:eastAsiaTheme="majorEastAsia"/>
        </w:rPr>
        <w:t xml:space="preserve">for </w:t>
      </w:r>
      <w:r w:rsidRPr="00135765">
        <w:rPr>
          <w:rFonts w:eastAsiaTheme="majorEastAsia"/>
        </w:rPr>
        <w:t>Q4 2024</w:t>
      </w:r>
      <w:r w:rsidR="00D41076">
        <w:rPr>
          <w:rFonts w:eastAsiaTheme="majorEastAsia"/>
        </w:rPr>
        <w:t>.</w:t>
      </w:r>
    </w:p>
    <w:p w14:paraId="2BB96A9B" w14:textId="77777777" w:rsidR="00D9661B" w:rsidRDefault="00D9661B" w:rsidP="00135765">
      <w:pPr>
        <w:spacing w:line="360" w:lineRule="auto"/>
        <w:jc w:val="both"/>
        <w:rPr>
          <w:rFonts w:eastAsiaTheme="majorEastAsia"/>
        </w:rPr>
      </w:pPr>
    </w:p>
    <w:p w14:paraId="0434AC87" w14:textId="55F2E5C2" w:rsidR="00850606" w:rsidRDefault="00135765" w:rsidP="00135765">
      <w:pPr>
        <w:spacing w:line="360" w:lineRule="auto"/>
        <w:jc w:val="both"/>
        <w:rPr>
          <w:rFonts w:eastAsiaTheme="majorEastAsia"/>
        </w:rPr>
      </w:pPr>
      <w:r w:rsidRPr="00135765">
        <w:rPr>
          <w:rFonts w:eastAsiaTheme="majorEastAsia"/>
        </w:rPr>
        <w:t>Post-failure, we project that Cassava</w:t>
      </w:r>
      <w:r w:rsidR="00D41076">
        <w:rPr>
          <w:rFonts w:eastAsiaTheme="majorEastAsia"/>
        </w:rPr>
        <w:t xml:space="preserve"> Science’</w:t>
      </w:r>
      <w:r w:rsidRPr="00135765">
        <w:rPr>
          <w:rFonts w:eastAsiaTheme="majorEastAsia"/>
        </w:rPr>
        <w:t xml:space="preserve"> stock will adjust to trade at or near its cash reserves. According to their </w:t>
      </w:r>
      <w:hyperlink r:id="rId9" w:anchor="bs">
        <w:r w:rsidR="28F83CC7" w:rsidRPr="28F83CC7">
          <w:rPr>
            <w:rStyle w:val="Hyperlink"/>
            <w:rFonts w:eastAsiaTheme="majorEastAsia"/>
            <w:i/>
            <w:iCs/>
          </w:rPr>
          <w:t>Q2 2024 10-Q filing</w:t>
        </w:r>
      </w:hyperlink>
      <w:r w:rsidR="28F83CC7" w:rsidRPr="28F83CC7">
        <w:rPr>
          <w:rFonts w:eastAsiaTheme="majorEastAsia"/>
          <w:i/>
          <w:iCs/>
        </w:rPr>
        <w:t>,</w:t>
      </w:r>
      <w:r w:rsidR="28F83CC7" w:rsidRPr="28F83CC7">
        <w:rPr>
          <w:rFonts w:eastAsiaTheme="majorEastAsia"/>
        </w:rPr>
        <w:t xml:space="preserve"> the company reported </w:t>
      </w:r>
      <w:r w:rsidR="28F83CC7" w:rsidRPr="28F83CC7">
        <w:rPr>
          <w:rFonts w:eastAsiaTheme="majorEastAsia"/>
          <w:i/>
          <w:iCs/>
        </w:rPr>
        <w:t xml:space="preserve">$207.3 million </w:t>
      </w:r>
      <w:r w:rsidR="28F83CC7" w:rsidRPr="28F83CC7">
        <w:rPr>
          <w:rFonts w:eastAsiaTheme="majorEastAsia"/>
        </w:rPr>
        <w:t xml:space="preserve">in cash. </w:t>
      </w:r>
      <w:r w:rsidRPr="00135765">
        <w:rPr>
          <w:rFonts w:eastAsiaTheme="majorEastAsia"/>
        </w:rPr>
        <w:t xml:space="preserve">However, factoring in the </w:t>
      </w:r>
      <w:r w:rsidRPr="00135765">
        <w:rPr>
          <w:rFonts w:eastAsiaTheme="majorEastAsia"/>
          <w:i/>
          <w:iCs/>
        </w:rPr>
        <w:t>$40 million</w:t>
      </w:r>
      <w:r w:rsidRPr="00135765">
        <w:rPr>
          <w:rFonts w:eastAsiaTheme="majorEastAsia"/>
        </w:rPr>
        <w:t xml:space="preserve"> settlement with the SEC, we estimate their current cash position to be approximately </w:t>
      </w:r>
      <w:r w:rsidRPr="00135765">
        <w:rPr>
          <w:rFonts w:eastAsiaTheme="majorEastAsia"/>
          <w:i/>
          <w:iCs/>
        </w:rPr>
        <w:t>$167.3 million</w:t>
      </w:r>
      <w:r w:rsidRPr="00135765">
        <w:rPr>
          <w:rFonts w:eastAsiaTheme="majorEastAsia"/>
        </w:rPr>
        <w:t>.</w:t>
      </w:r>
      <w:r w:rsidR="007C4532">
        <w:rPr>
          <w:rFonts w:eastAsiaTheme="majorEastAsia"/>
        </w:rPr>
        <w:t xml:space="preserve"> </w:t>
      </w:r>
      <w:r w:rsidR="6C3AA7C5" w:rsidRPr="6C3AA7C5">
        <w:rPr>
          <w:rFonts w:eastAsiaTheme="majorEastAsia"/>
        </w:rPr>
        <w:t xml:space="preserve">Additionally, in their </w:t>
      </w:r>
      <w:hyperlink r:id="rId10">
        <w:r w:rsidR="6C3AA7C5" w:rsidRPr="6C3AA7C5">
          <w:rPr>
            <w:rStyle w:val="Hyperlink"/>
            <w:rFonts w:eastAsiaTheme="majorEastAsia"/>
            <w:i/>
            <w:iCs/>
          </w:rPr>
          <w:t>last press release</w:t>
        </w:r>
      </w:hyperlink>
      <w:r w:rsidR="003A683A">
        <w:rPr>
          <w:rFonts w:eastAsiaTheme="majorEastAsia"/>
        </w:rPr>
        <w:t>, Cassava Sciences</w:t>
      </w:r>
      <w:r w:rsidR="002A6D32">
        <w:rPr>
          <w:rFonts w:eastAsiaTheme="majorEastAsia"/>
        </w:rPr>
        <w:t xml:space="preserve"> projected </w:t>
      </w:r>
      <w:r w:rsidR="002A6D32" w:rsidRPr="002A6D32">
        <w:rPr>
          <w:rFonts w:eastAsiaTheme="majorEastAsia"/>
        </w:rPr>
        <w:t xml:space="preserve">a net cash use of </w:t>
      </w:r>
      <w:r w:rsidR="002A6D32" w:rsidRPr="001A21B9">
        <w:rPr>
          <w:rFonts w:eastAsiaTheme="majorEastAsia"/>
          <w:i/>
          <w:iCs/>
        </w:rPr>
        <w:t>$80 to $90 million</w:t>
      </w:r>
      <w:r w:rsidR="002A6D32" w:rsidRPr="002A6D32">
        <w:rPr>
          <w:rFonts w:eastAsiaTheme="majorEastAsia"/>
        </w:rPr>
        <w:t xml:space="preserve"> for the second half of 2024, including the </w:t>
      </w:r>
      <w:r w:rsidR="002A6D32" w:rsidRPr="001A21B9">
        <w:rPr>
          <w:rFonts w:eastAsiaTheme="majorEastAsia"/>
          <w:i/>
          <w:iCs/>
        </w:rPr>
        <w:t>$40 million</w:t>
      </w:r>
      <w:r w:rsidR="002A6D32" w:rsidRPr="002A6D32">
        <w:rPr>
          <w:rFonts w:eastAsiaTheme="majorEastAsia"/>
        </w:rPr>
        <w:t xml:space="preserve"> settlement. This would leave them with an estimated cash balance between </w:t>
      </w:r>
      <w:r w:rsidR="002A6D32" w:rsidRPr="001A21B9">
        <w:rPr>
          <w:rFonts w:eastAsiaTheme="majorEastAsia"/>
          <w:i/>
          <w:iCs/>
        </w:rPr>
        <w:t>$117 and $127 million</w:t>
      </w:r>
      <w:r w:rsidR="002A6D32" w:rsidRPr="002A6D32">
        <w:rPr>
          <w:rFonts w:eastAsiaTheme="majorEastAsia"/>
        </w:rPr>
        <w:t xml:space="preserve"> by year-end.</w:t>
      </w:r>
      <w:r w:rsidRPr="00135765">
        <w:rPr>
          <w:rFonts w:eastAsiaTheme="majorEastAsia"/>
        </w:rPr>
        <w:t xml:space="preserve"> </w:t>
      </w:r>
    </w:p>
    <w:p w14:paraId="5B74FC80" w14:textId="77777777" w:rsidR="00850606" w:rsidRDefault="00850606" w:rsidP="00135765">
      <w:pPr>
        <w:spacing w:line="360" w:lineRule="auto"/>
        <w:jc w:val="both"/>
        <w:rPr>
          <w:rFonts w:eastAsiaTheme="majorEastAsia"/>
        </w:rPr>
      </w:pPr>
    </w:p>
    <w:p w14:paraId="2D1C427F" w14:textId="35B10A82" w:rsidR="00135765" w:rsidRPr="00135765" w:rsidRDefault="00135765" w:rsidP="00135765">
      <w:pPr>
        <w:spacing w:line="360" w:lineRule="auto"/>
        <w:jc w:val="both"/>
        <w:rPr>
          <w:rFonts w:eastAsiaTheme="majorEastAsia"/>
        </w:rPr>
      </w:pPr>
      <w:r w:rsidRPr="00135765">
        <w:rPr>
          <w:rFonts w:eastAsiaTheme="majorEastAsia"/>
        </w:rPr>
        <w:t>Consequently,</w:t>
      </w:r>
      <w:r w:rsidR="007C4532">
        <w:rPr>
          <w:rFonts w:eastAsiaTheme="majorEastAsia"/>
        </w:rPr>
        <w:t xml:space="preserve"> </w:t>
      </w:r>
      <w:r w:rsidR="230405ED" w:rsidRPr="230405ED">
        <w:rPr>
          <w:rFonts w:eastAsiaTheme="majorEastAsia"/>
        </w:rPr>
        <w:t>when computing the</w:t>
      </w:r>
      <w:r w:rsidRPr="00135765">
        <w:rPr>
          <w:rFonts w:eastAsiaTheme="majorEastAsia"/>
        </w:rPr>
        <w:t xml:space="preserve"> anticipated collapse, the company’s valuation is likely to be restricted to its cash holdings, if not less, due to the inevitable mass sell-off.</w:t>
      </w:r>
      <w:r w:rsidR="00850606">
        <w:rPr>
          <w:rFonts w:eastAsiaTheme="majorEastAsia"/>
        </w:rPr>
        <w:t xml:space="preserve"> </w:t>
      </w:r>
      <w:r w:rsidRPr="00135765">
        <w:rPr>
          <w:rFonts w:eastAsiaTheme="majorEastAsia"/>
        </w:rPr>
        <w:t xml:space="preserve">Based on these considerations, we predict that the share price will </w:t>
      </w:r>
      <w:r w:rsidR="0052731D">
        <w:rPr>
          <w:rFonts w:eastAsiaTheme="majorEastAsia"/>
        </w:rPr>
        <w:t>drop</w:t>
      </w:r>
      <w:r w:rsidRPr="00135765">
        <w:rPr>
          <w:rFonts w:eastAsiaTheme="majorEastAsia"/>
        </w:rPr>
        <w:t xml:space="preserve"> from </w:t>
      </w:r>
      <w:r w:rsidRPr="00135765">
        <w:rPr>
          <w:rFonts w:eastAsiaTheme="majorEastAsia"/>
          <w:i/>
          <w:iCs/>
        </w:rPr>
        <w:t>$28.98</w:t>
      </w:r>
      <w:r w:rsidRPr="00135765">
        <w:rPr>
          <w:rFonts w:eastAsiaTheme="majorEastAsia"/>
        </w:rPr>
        <w:t xml:space="preserve"> to </w:t>
      </w:r>
      <w:r w:rsidR="0052731D">
        <w:rPr>
          <w:rFonts w:eastAsiaTheme="majorEastAsia"/>
        </w:rPr>
        <w:t xml:space="preserve">a range </w:t>
      </w:r>
      <w:r w:rsidRPr="00135765">
        <w:rPr>
          <w:rFonts w:eastAsiaTheme="majorEastAsia"/>
        </w:rPr>
        <w:t xml:space="preserve">approximately </w:t>
      </w:r>
      <w:r w:rsidRPr="00135765">
        <w:rPr>
          <w:rFonts w:eastAsiaTheme="majorEastAsia"/>
          <w:i/>
          <w:iCs/>
        </w:rPr>
        <w:t>$3.49</w:t>
      </w:r>
      <w:r w:rsidR="0052731D">
        <w:rPr>
          <w:rFonts w:eastAsiaTheme="majorEastAsia"/>
          <w:i/>
          <w:iCs/>
        </w:rPr>
        <w:t xml:space="preserve"> to </w:t>
      </w:r>
      <w:r w:rsidR="00586189">
        <w:rPr>
          <w:rFonts w:eastAsiaTheme="majorEastAsia"/>
          <w:i/>
          <w:iCs/>
        </w:rPr>
        <w:t>$1.94</w:t>
      </w:r>
      <w:r w:rsidR="00090E65">
        <w:rPr>
          <w:rFonts w:eastAsiaTheme="majorEastAsia"/>
        </w:rPr>
        <w:t xml:space="preserve"> -</w:t>
      </w:r>
      <w:r w:rsidRPr="00135765">
        <w:rPr>
          <w:rFonts w:eastAsiaTheme="majorEastAsia"/>
        </w:rPr>
        <w:t xml:space="preserve"> reflecting the market's recalibration to the company's cash value in the aftermath of Simufilam's failure.</w:t>
      </w:r>
    </w:p>
    <w:p w14:paraId="773D9E6E" w14:textId="77777777" w:rsidR="00135765" w:rsidRPr="001836F4" w:rsidRDefault="00135765" w:rsidP="00F84A37">
      <w:pPr>
        <w:spacing w:line="360" w:lineRule="auto"/>
        <w:jc w:val="both"/>
        <w:rPr>
          <w:rFonts w:eastAsiaTheme="majorEastAsia"/>
        </w:rPr>
      </w:pPr>
    </w:p>
    <w:p w14:paraId="5D4117E6" w14:textId="77777777" w:rsidR="00254CFF" w:rsidRPr="001836F4" w:rsidRDefault="00254CFF" w:rsidP="00F84A37">
      <w:pPr>
        <w:spacing w:line="360" w:lineRule="auto"/>
        <w:jc w:val="both"/>
        <w:rPr>
          <w:rFonts w:eastAsiaTheme="majorEastAsia"/>
        </w:rPr>
      </w:pPr>
    </w:p>
    <w:p w14:paraId="0B523805" w14:textId="0B2AFFA8" w:rsidR="00D655F0" w:rsidRPr="001836F4" w:rsidRDefault="00D655F0" w:rsidP="00F84A37">
      <w:pPr>
        <w:spacing w:line="360" w:lineRule="auto"/>
        <w:jc w:val="both"/>
        <w:rPr>
          <w:rFonts w:eastAsiaTheme="majorEastAsia"/>
        </w:rPr>
      </w:pPr>
    </w:p>
    <w:p w14:paraId="281E341C" w14:textId="6DE3EA3A" w:rsidR="005936E4" w:rsidRPr="004324A2" w:rsidRDefault="5183A6D9" w:rsidP="5183A6D9">
      <w:pPr>
        <w:pStyle w:val="Heading1"/>
        <w:spacing w:line="360" w:lineRule="auto"/>
        <w:jc w:val="both"/>
        <w:rPr>
          <w:rFonts w:ascii="Times New Roman" w:hAnsi="Times New Roman" w:cs="Times New Roman"/>
          <w:b/>
          <w:bCs/>
          <w:color w:val="auto"/>
        </w:rPr>
      </w:pPr>
      <w:bookmarkStart w:id="3" w:name="_Toc1189032822"/>
      <w:r w:rsidRPr="5183A6D9">
        <w:rPr>
          <w:rFonts w:ascii="Times New Roman" w:hAnsi="Times New Roman" w:cs="Times New Roman"/>
          <w:b/>
          <w:bCs/>
          <w:color w:val="auto"/>
        </w:rPr>
        <w:lastRenderedPageBreak/>
        <w:t>The Intersection of Risk, Knowledge, and Uncertainty in Biotech Shorting</w:t>
      </w:r>
      <w:bookmarkEnd w:id="3"/>
    </w:p>
    <w:p w14:paraId="29C1D9D5" w14:textId="73CD44A1" w:rsidR="005936E4" w:rsidRPr="001836F4" w:rsidRDefault="005936E4" w:rsidP="00262E7F">
      <w:pPr>
        <w:spacing w:line="360" w:lineRule="auto"/>
        <w:jc w:val="both"/>
      </w:pPr>
      <w:r w:rsidRPr="001836F4">
        <w:t xml:space="preserve">Short selling is more than just a financial </w:t>
      </w:r>
      <w:r w:rsidR="7E5FC9D6">
        <w:t>strategy, it</w:t>
      </w:r>
      <w:r w:rsidRPr="001836F4">
        <w:t xml:space="preserve"> is a complex engagement </w:t>
      </w:r>
      <w:r w:rsidR="76DCA085">
        <w:t xml:space="preserve">that </w:t>
      </w:r>
      <w:r w:rsidR="31F27F54">
        <w:t>involves</w:t>
      </w:r>
      <w:r w:rsidR="4AE4589F">
        <w:t xml:space="preserve"> risk</w:t>
      </w:r>
      <w:r w:rsidRPr="001836F4">
        <w:t>, uncertainty, and the limits of human knowledge. Unlike traditional investments</w:t>
      </w:r>
      <w:r w:rsidR="0C3E5FCA">
        <w:t xml:space="preserve"> -</w:t>
      </w:r>
      <w:r w:rsidRPr="001836F4">
        <w:t xml:space="preserve"> where one assumes a company’s growth and success </w:t>
      </w:r>
      <w:r w:rsidR="0C3E5FCA">
        <w:t>-</w:t>
      </w:r>
      <w:r w:rsidR="7C7CCFBB">
        <w:t xml:space="preserve"> </w:t>
      </w:r>
      <w:r w:rsidRPr="001836F4">
        <w:t xml:space="preserve">shorting </w:t>
      </w:r>
      <w:r w:rsidR="28EF94FE">
        <w:t>relies</w:t>
      </w:r>
      <w:r w:rsidRPr="001836F4">
        <w:t xml:space="preserve"> on failure. This entails an intricate interplay between what is known, what is speculated, and what is inherently uncertain. When applied to a </w:t>
      </w:r>
      <w:r w:rsidR="1B615E5D">
        <w:t>biotechnology</w:t>
      </w:r>
      <w:r w:rsidRPr="001836F4">
        <w:t xml:space="preserve"> company</w:t>
      </w:r>
      <w:r w:rsidR="6F8B2B7E">
        <w:t xml:space="preserve"> -</w:t>
      </w:r>
      <w:r w:rsidRPr="001836F4">
        <w:t xml:space="preserve"> where success or failure hinges on the unpredictable results of scientific trials</w:t>
      </w:r>
      <w:r w:rsidR="6F8B2B7E">
        <w:t xml:space="preserve"> -</w:t>
      </w:r>
      <w:r w:rsidRPr="001836F4">
        <w:t xml:space="preserve"> the act of shorting </w:t>
      </w:r>
      <w:r w:rsidR="25627A40" w:rsidRPr="001836F4">
        <w:t xml:space="preserve">a company </w:t>
      </w:r>
      <w:r w:rsidRPr="001836F4">
        <w:t>becomes even more complex. The unknowns are magnified by the complex</w:t>
      </w:r>
      <w:r w:rsidR="6F8B2B7E">
        <w:t xml:space="preserve"> and </w:t>
      </w:r>
      <w:r w:rsidRPr="001836F4">
        <w:t>volatile nature of drug development</w:t>
      </w:r>
      <w:r w:rsidR="6F8B2B7E">
        <w:t xml:space="preserve"> -</w:t>
      </w:r>
      <w:r w:rsidRPr="001836F4">
        <w:t xml:space="preserve"> where scientific discovery intersects with market speculation. The rational investor must carefully navigate these murky waters, balancing risk and reward while confronting the fundamental limitations of human knowledge.</w:t>
      </w:r>
    </w:p>
    <w:p w14:paraId="0CCE9B0C" w14:textId="5B344071" w:rsidR="005936E4" w:rsidRPr="001836F4" w:rsidRDefault="005936E4" w:rsidP="00262E7F">
      <w:pPr>
        <w:spacing w:line="360" w:lineRule="auto"/>
        <w:jc w:val="both"/>
      </w:pPr>
    </w:p>
    <w:p w14:paraId="50B587A4" w14:textId="22FBE9EE" w:rsidR="005936E4" w:rsidRPr="001836F4" w:rsidRDefault="005936E4" w:rsidP="00262E7F">
      <w:pPr>
        <w:spacing w:line="360" w:lineRule="auto"/>
        <w:jc w:val="both"/>
      </w:pPr>
      <w:r w:rsidRPr="001836F4">
        <w:t xml:space="preserve">In this </w:t>
      </w:r>
      <w:r w:rsidR="00137BA0" w:rsidRPr="001836F4">
        <w:t>paper</w:t>
      </w:r>
      <w:r w:rsidRPr="001836F4">
        <w:t xml:space="preserve">, we explore the rationale behind shorting Cassava Sciences based on </w:t>
      </w:r>
      <w:r w:rsidR="10743F60">
        <w:t>the predicted</w:t>
      </w:r>
      <w:r w:rsidRPr="001836F4">
        <w:t xml:space="preserve"> failure of its Phase </w:t>
      </w:r>
      <w:r w:rsidR="116FD53E" w:rsidRPr="001836F4">
        <w:t>III</w:t>
      </w:r>
      <w:r w:rsidRPr="001836F4">
        <w:t xml:space="preserve"> clinical </w:t>
      </w:r>
      <w:r w:rsidR="05DF1F4C">
        <w:t>trials.</w:t>
      </w:r>
      <w:r w:rsidRPr="001836F4">
        <w:t xml:space="preserve"> Our approach will be grounded in a careful analysis of the scientific and </w:t>
      </w:r>
      <w:r w:rsidR="008067D2" w:rsidRPr="001836F4">
        <w:t>non-scientific</w:t>
      </w:r>
      <w:r w:rsidRPr="001836F4">
        <w:t xml:space="preserve"> factors at play, but first, we must acknowledge the deeper questions that underpin such a decision. These include how we come to know what we know, how we assess risk, and how we cope with uncertainty when engaging with the unknown. By exploring these questions, we aim to set the tone for a rigorous analysis that not only explains why we believe </w:t>
      </w:r>
      <w:r w:rsidR="62DB9DB9" w:rsidRPr="001836F4">
        <w:t xml:space="preserve">that the </w:t>
      </w:r>
      <w:r w:rsidR="62DB9DB9" w:rsidRPr="001836F4">
        <w:rPr>
          <w:i/>
        </w:rPr>
        <w:t>Rethink</w:t>
      </w:r>
      <w:r w:rsidRPr="001836F4">
        <w:rPr>
          <w:i/>
        </w:rPr>
        <w:t>.Alz’s</w:t>
      </w:r>
      <w:r w:rsidRPr="001836F4">
        <w:t xml:space="preserve"> trial is </w:t>
      </w:r>
      <w:r w:rsidR="3DD9661D">
        <w:t xml:space="preserve">highly </w:t>
      </w:r>
      <w:r w:rsidR="0521AD5C">
        <w:t>probable to</w:t>
      </w:r>
      <w:r w:rsidR="3DD9661D">
        <w:t xml:space="preserve"> fail.</w:t>
      </w:r>
    </w:p>
    <w:p w14:paraId="0E4AFC19" w14:textId="77777777" w:rsidR="00AB5673" w:rsidRDefault="00AB5673" w:rsidP="00262E7F">
      <w:pPr>
        <w:pStyle w:val="Heading4"/>
        <w:spacing w:line="360" w:lineRule="auto"/>
        <w:jc w:val="both"/>
        <w:rPr>
          <w:rFonts w:cs="Times New Roman"/>
          <w:color w:val="auto"/>
        </w:rPr>
      </w:pPr>
    </w:p>
    <w:p w14:paraId="5F2170EC" w14:textId="5CFA6D96" w:rsidR="005936E4" w:rsidRPr="001836F4" w:rsidRDefault="5183A6D9" w:rsidP="00262E7F">
      <w:pPr>
        <w:pStyle w:val="Heading4"/>
        <w:spacing w:line="360" w:lineRule="auto"/>
        <w:jc w:val="both"/>
        <w:rPr>
          <w:rFonts w:cs="Times New Roman"/>
          <w:color w:val="auto"/>
        </w:rPr>
      </w:pPr>
      <w:bookmarkStart w:id="4" w:name="_Toc530029824"/>
      <w:r w:rsidRPr="5183A6D9">
        <w:rPr>
          <w:rFonts w:cs="Times New Roman"/>
          <w:color w:val="auto"/>
        </w:rPr>
        <w:t>What Do I Know, and How Do I Know it?</w:t>
      </w:r>
      <w:bookmarkEnd w:id="4"/>
    </w:p>
    <w:p w14:paraId="20F5FF7A" w14:textId="47763799" w:rsidR="005936E4" w:rsidRPr="001836F4" w:rsidRDefault="005936E4" w:rsidP="00262E7F">
      <w:pPr>
        <w:spacing w:line="360" w:lineRule="auto"/>
        <w:jc w:val="both"/>
      </w:pPr>
      <w:r w:rsidRPr="001836F4">
        <w:t xml:space="preserve">At the </w:t>
      </w:r>
      <w:r w:rsidR="00B22F5A" w:rsidRPr="001836F4">
        <w:t>center</w:t>
      </w:r>
      <w:r w:rsidRPr="001836F4">
        <w:t xml:space="preserve"> of any decision to short a stock lies the question of knowledge. How do we know that a company's drug will </w:t>
      </w:r>
      <w:r w:rsidR="6444E868" w:rsidRPr="001836F4">
        <w:t xml:space="preserve">most </w:t>
      </w:r>
      <w:r w:rsidR="4CFAE8A3" w:rsidRPr="001836F4">
        <w:t>probably</w:t>
      </w:r>
      <w:r w:rsidR="1546199B" w:rsidRPr="001836F4">
        <w:t xml:space="preserve"> </w:t>
      </w:r>
      <w:r w:rsidRPr="001836F4">
        <w:t xml:space="preserve">fail its clinical trial? More specifically, what kind of evidence do we rely on to make such a prediction, and how confident can we be in the reliability of this evidence? </w:t>
      </w:r>
    </w:p>
    <w:p w14:paraId="1856BAD2" w14:textId="2D74B792" w:rsidR="005936E4" w:rsidRPr="001836F4" w:rsidRDefault="005936E4" w:rsidP="00262E7F">
      <w:pPr>
        <w:spacing w:line="360" w:lineRule="auto"/>
        <w:jc w:val="both"/>
      </w:pPr>
    </w:p>
    <w:p w14:paraId="76268A27" w14:textId="660730A2" w:rsidR="005936E4" w:rsidRPr="001836F4" w:rsidRDefault="005936E4" w:rsidP="00262E7F">
      <w:pPr>
        <w:spacing w:line="360" w:lineRule="auto"/>
        <w:jc w:val="both"/>
      </w:pPr>
      <w:r w:rsidRPr="001836F4">
        <w:t xml:space="preserve">Shorting is, in many ways, an epistemological exercise. The investor is betting that </w:t>
      </w:r>
      <w:r w:rsidR="5A7D0FA5" w:rsidRPr="001836F4">
        <w:t>his knowledge</w:t>
      </w:r>
      <w:r w:rsidRPr="001836F4">
        <w:t xml:space="preserve"> about the </w:t>
      </w:r>
      <w:r w:rsidR="5350DCEC">
        <w:t xml:space="preserve">future - based on </w:t>
      </w:r>
      <w:r w:rsidRPr="001836F4">
        <w:t>the interpretation of data, trends, and probabilities</w:t>
      </w:r>
      <w:r w:rsidR="5350DCEC">
        <w:t xml:space="preserve"> - </w:t>
      </w:r>
      <w:r w:rsidRPr="001836F4">
        <w:t xml:space="preserve">is more accurate </w:t>
      </w:r>
      <w:r w:rsidRPr="001836F4">
        <w:lastRenderedPageBreak/>
        <w:t>than the market’s current assessment. However, in a field like biotechnology, where uncertainty is pervasive, the limits of what we can know are profound. Drug development is a complex process, and even the well-informed experts often struggle to predict the outcomes of clinical trials.</w:t>
      </w:r>
      <w:r w:rsidR="00262E7F" w:rsidRPr="001836F4">
        <w:t xml:space="preserve"> </w:t>
      </w:r>
      <w:r w:rsidRPr="001836F4">
        <w:t xml:space="preserve">In making the decision to short a </w:t>
      </w:r>
      <w:r w:rsidR="1AD0E62F" w:rsidRPr="001836F4">
        <w:t>biotechnology</w:t>
      </w:r>
      <w:r w:rsidRPr="001836F4">
        <w:t xml:space="preserve"> company, it is essential to ask whether the prediction of failure is based on solid evidence or mere speculation. Scientific data, trial results, historical trends, and </w:t>
      </w:r>
      <w:r w:rsidR="60657F39">
        <w:t>experts’</w:t>
      </w:r>
      <w:r w:rsidRPr="001836F4">
        <w:t xml:space="preserve"> opinions all contribute to forming a well-reasoned prediction</w:t>
      </w:r>
      <w:r w:rsidR="29A19B04">
        <w:t xml:space="preserve"> </w:t>
      </w:r>
      <w:r w:rsidR="1DC689DF">
        <w:t>– acknowledging that each</w:t>
      </w:r>
      <w:r w:rsidRPr="001836F4">
        <w:t xml:space="preserve"> piece of evidence carries varying degrees of reliability.</w:t>
      </w:r>
    </w:p>
    <w:p w14:paraId="4D0C260A" w14:textId="77777777" w:rsidR="00262E7F" w:rsidRPr="001836F4" w:rsidRDefault="00262E7F" w:rsidP="00262E7F">
      <w:pPr>
        <w:spacing w:line="360" w:lineRule="auto"/>
        <w:jc w:val="both"/>
      </w:pPr>
    </w:p>
    <w:p w14:paraId="3F8EE16B" w14:textId="651E48B6" w:rsidR="005936E4" w:rsidRPr="001836F4" w:rsidRDefault="005936E4" w:rsidP="00EB10F6">
      <w:pPr>
        <w:pStyle w:val="ListParagraph"/>
        <w:numPr>
          <w:ilvl w:val="0"/>
          <w:numId w:val="33"/>
        </w:numPr>
        <w:spacing w:line="360" w:lineRule="auto"/>
        <w:jc w:val="both"/>
      </w:pPr>
      <w:r w:rsidRPr="001836F4">
        <w:rPr>
          <w:b/>
          <w:bCs/>
        </w:rPr>
        <w:t>Known Factors</w:t>
      </w:r>
      <w:r w:rsidRPr="001836F4">
        <w:t xml:space="preserve">: Known factors are the concrete, verifiable data points that can inform a rational decision. These include the results of earlier clinical trials (Phase </w:t>
      </w:r>
      <w:r w:rsidR="1AD0E62F" w:rsidRPr="001836F4">
        <w:t>I</w:t>
      </w:r>
      <w:r w:rsidRPr="001836F4">
        <w:t xml:space="preserve"> and Phase </w:t>
      </w:r>
      <w:r w:rsidR="1AD0E62F" w:rsidRPr="001836F4">
        <w:t>II</w:t>
      </w:r>
      <w:r w:rsidRPr="001836F4">
        <w:t xml:space="preserve">), the company’s history, the strength of its scientific approach, and the expertise of its research team. If the Phase </w:t>
      </w:r>
      <w:r w:rsidR="1AD0E62F" w:rsidRPr="001836F4">
        <w:t>II</w:t>
      </w:r>
      <w:r w:rsidRPr="001836F4">
        <w:t xml:space="preserve"> trial showed lackluster efficacy or raised safety concerns, these are clear indicators that the Phase </w:t>
      </w:r>
      <w:r w:rsidR="1AD0E62F" w:rsidRPr="001836F4">
        <w:t>III</w:t>
      </w:r>
      <w:r w:rsidRPr="001836F4">
        <w:t xml:space="preserve"> trial might face significant hurdles.</w:t>
      </w:r>
    </w:p>
    <w:p w14:paraId="676AAB66" w14:textId="5CA295FB" w:rsidR="005936E4" w:rsidRPr="001836F4" w:rsidRDefault="005936E4" w:rsidP="00262E7F">
      <w:pPr>
        <w:pStyle w:val="ListParagraph"/>
        <w:spacing w:line="360" w:lineRule="auto"/>
        <w:jc w:val="both"/>
      </w:pPr>
    </w:p>
    <w:p w14:paraId="023E469E" w14:textId="464CA02E" w:rsidR="005936E4" w:rsidRPr="001836F4" w:rsidRDefault="005936E4" w:rsidP="00EB10F6">
      <w:pPr>
        <w:pStyle w:val="ListParagraph"/>
        <w:numPr>
          <w:ilvl w:val="0"/>
          <w:numId w:val="33"/>
        </w:numPr>
        <w:spacing w:line="360" w:lineRule="auto"/>
        <w:jc w:val="both"/>
      </w:pPr>
      <w:r w:rsidRPr="001836F4">
        <w:rPr>
          <w:b/>
          <w:bCs/>
        </w:rPr>
        <w:t>Unknown Factors</w:t>
      </w:r>
      <w:r w:rsidRPr="001836F4">
        <w:t>: However, the unknowns are just as important to consider. What are the limits of your knowledge? Are there variables in the trial design, patient population, or regulatory process that could affect the outcome in ways you cannot foresee? In biotechnology, unpredictable biological responses, regulatory shifts, or even patient recruitment issues can all change the course of a trial. These unknown factors represent a major risk, and an investor must acknowledge the inherent limits of what can be known.</w:t>
      </w:r>
    </w:p>
    <w:p w14:paraId="2A27D7B8" w14:textId="46EBC7B2" w:rsidR="005936E4" w:rsidRPr="001836F4" w:rsidRDefault="005936E4" w:rsidP="00262E7F">
      <w:pPr>
        <w:spacing w:line="360" w:lineRule="auto"/>
        <w:jc w:val="both"/>
      </w:pPr>
    </w:p>
    <w:p w14:paraId="558B69CA" w14:textId="3ADC0B93" w:rsidR="005936E4" w:rsidRPr="001836F4" w:rsidRDefault="5183A6D9" w:rsidP="00262E7F">
      <w:pPr>
        <w:pStyle w:val="Heading4"/>
        <w:spacing w:line="360" w:lineRule="auto"/>
        <w:rPr>
          <w:rFonts w:cs="Times New Roman"/>
          <w:color w:val="auto"/>
        </w:rPr>
      </w:pPr>
      <w:bookmarkStart w:id="5" w:name="_Toc646506144"/>
      <w:r w:rsidRPr="5183A6D9">
        <w:rPr>
          <w:rFonts w:cs="Times New Roman"/>
          <w:color w:val="auto"/>
        </w:rPr>
        <w:t>How To Evaluate Scientific Risk?</w:t>
      </w:r>
      <w:bookmarkEnd w:id="5"/>
    </w:p>
    <w:p w14:paraId="61BA5791" w14:textId="4E68CEFF" w:rsidR="00717529" w:rsidRPr="001836F4" w:rsidRDefault="005936E4" w:rsidP="00262E7F">
      <w:pPr>
        <w:spacing w:line="360" w:lineRule="auto"/>
        <w:jc w:val="both"/>
      </w:pPr>
      <w:r w:rsidRPr="001836F4">
        <w:t xml:space="preserve">Risk evaluation in science, particularly in drug development, is inherently </w:t>
      </w:r>
      <w:r w:rsidR="26C5999B">
        <w:t xml:space="preserve">associated with </w:t>
      </w:r>
      <w:r w:rsidRPr="001836F4">
        <w:t>uncertainty. Clinical trials are probabilistic by nature</w:t>
      </w:r>
      <w:r w:rsidR="26C5999B">
        <w:t xml:space="preserve"> </w:t>
      </w:r>
      <w:r w:rsidR="24FBF934">
        <w:t xml:space="preserve">- </w:t>
      </w:r>
      <w:r w:rsidRPr="001836F4">
        <w:t xml:space="preserve">success is never guaranteed, and failure is often more likely than </w:t>
      </w:r>
      <w:r w:rsidR="00717529" w:rsidRPr="001836F4">
        <w:t>success</w:t>
      </w:r>
      <w:r w:rsidRPr="001836F4">
        <w:t xml:space="preserve">. </w:t>
      </w:r>
      <w:r w:rsidR="4E68188F" w:rsidRPr="001836F4">
        <w:t>Predicting</w:t>
      </w:r>
      <w:r w:rsidRPr="001836F4">
        <w:t xml:space="preserve"> a </w:t>
      </w:r>
      <w:r w:rsidR="4E68188F" w:rsidRPr="001836F4">
        <w:t>decline in the stock’s price</w:t>
      </w:r>
      <w:r w:rsidRPr="001836F4">
        <w:t xml:space="preserve"> based on a clinical trial’s expected failure is to engage directly with this risk, attempting to quantify and predict it </w:t>
      </w:r>
      <w:r w:rsidR="553D4BEE">
        <w:t>-</w:t>
      </w:r>
      <w:r w:rsidR="5817E937">
        <w:t xml:space="preserve"> </w:t>
      </w:r>
      <w:r w:rsidRPr="001836F4">
        <w:t>based on available data. But how does one evaluate this risk with any degree of certainty?</w:t>
      </w:r>
    </w:p>
    <w:p w14:paraId="4DD2B633" w14:textId="0712A92E" w:rsidR="005936E4" w:rsidRPr="001836F4" w:rsidRDefault="005936E4" w:rsidP="00262E7F">
      <w:pPr>
        <w:spacing w:line="360" w:lineRule="auto"/>
        <w:jc w:val="both"/>
      </w:pPr>
      <w:r w:rsidRPr="001836F4">
        <w:t>Shorting is not merely a question of whether a stock will decline</w:t>
      </w:r>
      <w:r w:rsidR="41D905CA">
        <w:t>;</w:t>
      </w:r>
      <w:r w:rsidR="553D4BEE">
        <w:t xml:space="preserve"> it</w:t>
      </w:r>
      <w:r w:rsidRPr="001836F4">
        <w:t xml:space="preserve"> involves </w:t>
      </w:r>
      <w:r w:rsidR="553D4BEE">
        <w:t xml:space="preserve">an </w:t>
      </w:r>
      <w:r w:rsidRPr="001836F4">
        <w:t xml:space="preserve">understanding </w:t>
      </w:r>
      <w:r w:rsidR="553D4BEE">
        <w:t xml:space="preserve">of </w:t>
      </w:r>
      <w:r w:rsidRPr="001836F4">
        <w:t xml:space="preserve">the specific risks associated with predicting </w:t>
      </w:r>
      <w:r w:rsidR="553D4BEE">
        <w:t xml:space="preserve">a </w:t>
      </w:r>
      <w:r w:rsidRPr="001836F4">
        <w:t>failure. These risks are both statistical and market</w:t>
      </w:r>
      <w:r w:rsidR="1059C5B1">
        <w:t xml:space="preserve"> </w:t>
      </w:r>
      <w:r w:rsidRPr="001836F4">
        <w:t>driven</w:t>
      </w:r>
      <w:r w:rsidR="1059C5B1">
        <w:t>. Any</w:t>
      </w:r>
      <w:r w:rsidRPr="001836F4">
        <w:t xml:space="preserve"> rational investor must carefully weigh them before making a decision.</w:t>
      </w:r>
    </w:p>
    <w:p w14:paraId="78F02ABA" w14:textId="77777777" w:rsidR="00717529" w:rsidRPr="001836F4" w:rsidRDefault="00717529" w:rsidP="00262E7F">
      <w:pPr>
        <w:spacing w:line="360" w:lineRule="auto"/>
        <w:jc w:val="both"/>
      </w:pPr>
    </w:p>
    <w:p w14:paraId="27A4958D" w14:textId="02027A0C" w:rsidR="005936E4" w:rsidRPr="001836F4" w:rsidRDefault="005936E4" w:rsidP="00EB10F6">
      <w:pPr>
        <w:pStyle w:val="ListParagraph"/>
        <w:numPr>
          <w:ilvl w:val="0"/>
          <w:numId w:val="34"/>
        </w:numPr>
        <w:spacing w:line="360" w:lineRule="auto"/>
        <w:jc w:val="both"/>
      </w:pPr>
      <w:r w:rsidRPr="001836F4">
        <w:rPr>
          <w:b/>
          <w:bCs/>
        </w:rPr>
        <w:t>Statistical Uncertainty</w:t>
      </w:r>
      <w:r w:rsidRPr="001836F4">
        <w:t xml:space="preserve">: Clinical trials, especially in Phase </w:t>
      </w:r>
      <w:r w:rsidR="1AD0E62F" w:rsidRPr="001836F4">
        <w:t>III</w:t>
      </w:r>
      <w:r w:rsidRPr="001836F4">
        <w:t xml:space="preserve">, are inherently unpredictable. Even if earlier trials showed mixed or negative results, </w:t>
      </w:r>
      <w:r w:rsidR="1AD0E62F" w:rsidRPr="001836F4">
        <w:t>a chance</w:t>
      </w:r>
      <w:r w:rsidRPr="001836F4">
        <w:t xml:space="preserve"> remains </w:t>
      </w:r>
      <w:r w:rsidR="1AD0E62F" w:rsidRPr="001836F4">
        <w:t xml:space="preserve">- </w:t>
      </w:r>
      <w:r w:rsidRPr="001836F4">
        <w:t>however slim</w:t>
      </w:r>
      <w:r w:rsidR="1AD0E62F" w:rsidRPr="001836F4">
        <w:t xml:space="preserve"> -</w:t>
      </w:r>
      <w:r w:rsidR="426EE512">
        <w:t xml:space="preserve"> </w:t>
      </w:r>
      <w:r w:rsidRPr="001836F4">
        <w:t>that the drug could succeed. Statistical uncertainty comes into play when considering how likely it is for the drug to clear its efficacy and safety benchmarks. For example, the FDA might approve a drug that shows only marginal improvement over existing treatments, or the company might adjust trial endpoints in a way that favors approval. How do you assess this statistical uncertainty, and what probability do you assign to the trial’s success versus failure?</w:t>
      </w:r>
    </w:p>
    <w:p w14:paraId="7009FF96" w14:textId="51CED363" w:rsidR="005936E4" w:rsidRPr="001836F4" w:rsidRDefault="005936E4" w:rsidP="00262E7F">
      <w:pPr>
        <w:pStyle w:val="ListParagraph"/>
        <w:spacing w:line="360" w:lineRule="auto"/>
        <w:jc w:val="both"/>
      </w:pPr>
    </w:p>
    <w:p w14:paraId="4A9F14A1" w14:textId="635F306F" w:rsidR="005936E4" w:rsidRPr="001836F4" w:rsidRDefault="005936E4" w:rsidP="00EB10F6">
      <w:pPr>
        <w:pStyle w:val="ListParagraph"/>
        <w:numPr>
          <w:ilvl w:val="0"/>
          <w:numId w:val="34"/>
        </w:numPr>
        <w:spacing w:line="360" w:lineRule="auto"/>
        <w:jc w:val="both"/>
      </w:pPr>
      <w:r w:rsidRPr="001836F4">
        <w:rPr>
          <w:b/>
          <w:bCs/>
        </w:rPr>
        <w:t>Market Risk</w:t>
      </w:r>
      <w:r w:rsidRPr="001836F4">
        <w:t xml:space="preserve">: In addition to statistical uncertainty, there is the risk that even if the trial fails, market dynamics might prevent the stock from falling as expected. </w:t>
      </w:r>
      <w:r w:rsidR="1AD0E62F" w:rsidRPr="001836F4">
        <w:t>Biotechnology</w:t>
      </w:r>
      <w:r w:rsidRPr="001836F4">
        <w:t xml:space="preserve"> stocks are notoriously volatile, and </w:t>
      </w:r>
      <w:r w:rsidR="1AD0E62F" w:rsidRPr="001836F4">
        <w:t>investor’s</w:t>
      </w:r>
      <w:r w:rsidRPr="001836F4">
        <w:t xml:space="preserve"> sentiment can swing dramatically in response to news</w:t>
      </w:r>
      <w:r w:rsidR="4A11405F">
        <w:t xml:space="preserve"> </w:t>
      </w:r>
      <w:r w:rsidRPr="001836F4">
        <w:t>even if the underlying scientific results remain unchanged. What if the company announces a partnership, secures additional funding, or pivots to a different strategy after a trial failure? These are all risks that could undermine the expected rewards of a short position.</w:t>
      </w:r>
    </w:p>
    <w:p w14:paraId="53E73722" w14:textId="77140789" w:rsidR="005936E4" w:rsidRPr="001836F4" w:rsidRDefault="005936E4" w:rsidP="00262E7F">
      <w:pPr>
        <w:spacing w:line="360" w:lineRule="auto"/>
        <w:jc w:val="both"/>
      </w:pPr>
    </w:p>
    <w:p w14:paraId="683AFA9A" w14:textId="1FBA978E" w:rsidR="005936E4" w:rsidRPr="001836F4" w:rsidRDefault="5183A6D9" w:rsidP="00717529">
      <w:pPr>
        <w:pStyle w:val="Heading4"/>
        <w:spacing w:line="360" w:lineRule="auto"/>
        <w:rPr>
          <w:rFonts w:cs="Times New Roman"/>
          <w:color w:val="auto"/>
        </w:rPr>
      </w:pPr>
      <w:bookmarkStart w:id="6" w:name="_Toc1508353964"/>
      <w:r w:rsidRPr="5183A6D9">
        <w:rPr>
          <w:rFonts w:cs="Times New Roman"/>
          <w:color w:val="auto"/>
        </w:rPr>
        <w:t>How Confident Can I Be in My Knowledge and Reasoning?</w:t>
      </w:r>
      <w:bookmarkEnd w:id="6"/>
    </w:p>
    <w:p w14:paraId="39ACCB53" w14:textId="3B54D1FD" w:rsidR="005936E4" w:rsidRPr="001836F4" w:rsidRDefault="005936E4" w:rsidP="00262E7F">
      <w:pPr>
        <w:spacing w:line="360" w:lineRule="auto"/>
        <w:jc w:val="both"/>
      </w:pPr>
      <w:r w:rsidRPr="001836F4">
        <w:t xml:space="preserve">After evaluating the </w:t>
      </w:r>
      <w:r w:rsidR="13174897">
        <w:t>evidence</w:t>
      </w:r>
      <w:r w:rsidRPr="001836F4">
        <w:t xml:space="preserve"> and risks, the next question is one of confidence. How sure are you that your prediction is correct? In epistemology, the concept of </w:t>
      </w:r>
      <w:r w:rsidRPr="001836F4">
        <w:rPr>
          <w:i/>
          <w:iCs/>
        </w:rPr>
        <w:t>epistemic justification</w:t>
      </w:r>
      <w:r w:rsidRPr="001836F4">
        <w:t xml:space="preserve"> refers to the degree to which a belief is supported by evidence and reasoning. Shorting a stock is a high-risk proposition, and thus requires a high degree of epistemic justification.</w:t>
      </w:r>
    </w:p>
    <w:p w14:paraId="43B072E0" w14:textId="77777777" w:rsidR="00717529" w:rsidRPr="001836F4" w:rsidRDefault="00717529" w:rsidP="00262E7F">
      <w:pPr>
        <w:spacing w:line="360" w:lineRule="auto"/>
        <w:jc w:val="both"/>
      </w:pPr>
    </w:p>
    <w:p w14:paraId="3500FFC7" w14:textId="5025506D" w:rsidR="005936E4" w:rsidRPr="001836F4" w:rsidRDefault="005936E4" w:rsidP="00262E7F">
      <w:pPr>
        <w:spacing w:line="360" w:lineRule="auto"/>
        <w:jc w:val="both"/>
      </w:pPr>
      <w:r w:rsidRPr="001836F4">
        <w:t>Confidence in an investment decision must stem from a well-rounded understanding of both the evidence and the risks. It requires rigorous due diligence and a willingness to confront the limits of your knowledge. Have you thoroughly analyzed the scientific literature? Do you understand the drug’s mechanism of action, the trial’s design, and the regulatory landscape? If so, you may feel justified in your decision to short</w:t>
      </w:r>
      <w:r w:rsidR="2D359D1E" w:rsidRPr="001836F4">
        <w:t xml:space="preserve"> a stock.</w:t>
      </w:r>
      <w:r w:rsidRPr="001836F4">
        <w:t xml:space="preserve"> However, even with thorough research, confidence </w:t>
      </w:r>
      <w:r w:rsidRPr="001836F4">
        <w:lastRenderedPageBreak/>
        <w:t>should be tempered by the recognition that uncertainty is an inherent part of both science and investing.</w:t>
      </w:r>
    </w:p>
    <w:p w14:paraId="026139DB" w14:textId="247BDC3D" w:rsidR="005936E4" w:rsidRPr="001836F4" w:rsidRDefault="005936E4" w:rsidP="00262E7F">
      <w:pPr>
        <w:spacing w:line="360" w:lineRule="auto"/>
        <w:jc w:val="both"/>
      </w:pPr>
    </w:p>
    <w:p w14:paraId="66F541C0" w14:textId="4F9D3406" w:rsidR="005936E4" w:rsidRPr="001836F4" w:rsidRDefault="5183A6D9" w:rsidP="00717529">
      <w:pPr>
        <w:pStyle w:val="Heading4"/>
        <w:spacing w:line="360" w:lineRule="auto"/>
        <w:rPr>
          <w:rFonts w:cs="Times New Roman"/>
          <w:color w:val="auto"/>
        </w:rPr>
      </w:pPr>
      <w:bookmarkStart w:id="7" w:name="_Toc1327069139"/>
      <w:r w:rsidRPr="5183A6D9">
        <w:rPr>
          <w:rFonts w:cs="Times New Roman"/>
          <w:color w:val="auto"/>
        </w:rPr>
        <w:t>What Am I Not Seeing?</w:t>
      </w:r>
      <w:bookmarkEnd w:id="7"/>
    </w:p>
    <w:p w14:paraId="69E84F9F" w14:textId="37F55EC3" w:rsidR="005936E4" w:rsidRPr="001836F4" w:rsidRDefault="005936E4" w:rsidP="00262E7F">
      <w:pPr>
        <w:spacing w:line="360" w:lineRule="auto"/>
        <w:jc w:val="both"/>
      </w:pPr>
      <w:r w:rsidRPr="001836F4">
        <w:t xml:space="preserve">One of the most dangerous traps in investing is the failure to account for hidden risks. These are the factors that you might not initially consider but could dramatically affect the outcome of your short position. Identifying hidden risks requires a combination of </w:t>
      </w:r>
      <w:r w:rsidR="1933C922">
        <w:t>both</w:t>
      </w:r>
      <w:r w:rsidR="6BCC42E6">
        <w:t xml:space="preserve"> </w:t>
      </w:r>
      <w:r w:rsidRPr="001836F4">
        <w:t>skepticism and foresight</w:t>
      </w:r>
      <w:r w:rsidR="1933C922">
        <w:t>. As</w:t>
      </w:r>
      <w:r w:rsidRPr="001836F4">
        <w:t xml:space="preserve"> well as the humility to acknowledge that no prediction can be entirely foolproof.</w:t>
      </w:r>
    </w:p>
    <w:p w14:paraId="7F489671" w14:textId="77777777" w:rsidR="00717529" w:rsidRPr="001836F4" w:rsidRDefault="00717529" w:rsidP="00262E7F">
      <w:pPr>
        <w:spacing w:line="360" w:lineRule="auto"/>
        <w:jc w:val="both"/>
      </w:pPr>
    </w:p>
    <w:p w14:paraId="104374AF" w14:textId="0D3214B5" w:rsidR="005936E4" w:rsidRPr="001836F4" w:rsidRDefault="005936E4" w:rsidP="00262E7F">
      <w:pPr>
        <w:spacing w:line="360" w:lineRule="auto"/>
        <w:jc w:val="both"/>
      </w:pPr>
      <w:r w:rsidRPr="001836F4">
        <w:t xml:space="preserve">Hidden risks in biotechnology might include unexpected regulatory decisions, off-label drug use, or even public relations campaigns that shift </w:t>
      </w:r>
      <w:r w:rsidR="7B1ACF5E">
        <w:t>investors’</w:t>
      </w:r>
      <w:r w:rsidRPr="001836F4">
        <w:t xml:space="preserve"> sentiment. Moreover, there is always the possibility of unforeseen scientific developments</w:t>
      </w:r>
      <w:r w:rsidR="2D359D1E" w:rsidRPr="001836F4">
        <w:t xml:space="preserve"> - </w:t>
      </w:r>
      <w:r w:rsidRPr="001836F4">
        <w:t xml:space="preserve">such as new data that suddenly changes the landscape of the clinical trial. While shorting assumes that failure is likely, hidden risks remind us that the future </w:t>
      </w:r>
      <w:r w:rsidR="3CD00BE8">
        <w:t>cannot be known. Does</w:t>
      </w:r>
      <w:r w:rsidRPr="001836F4">
        <w:t xml:space="preserve"> the company have </w:t>
      </w:r>
      <w:r w:rsidR="3CD00BE8">
        <w:t xml:space="preserve">a </w:t>
      </w:r>
      <w:r w:rsidRPr="001836F4">
        <w:t xml:space="preserve">contingency </w:t>
      </w:r>
      <w:r w:rsidR="3CD00BE8">
        <w:t>plan</w:t>
      </w:r>
      <w:r w:rsidRPr="001836F4">
        <w:t xml:space="preserve"> that you haven’t considered? Is there a possibility that a competitor’s failure could suddenly make this company’s drug more valuable? These are just some of the hidden risks that </w:t>
      </w:r>
      <w:r w:rsidR="4B70EB65">
        <w:t>must</w:t>
      </w:r>
      <w:r w:rsidRPr="001836F4">
        <w:t xml:space="preserve"> be accounted for.</w:t>
      </w:r>
    </w:p>
    <w:p w14:paraId="06E022F6" w14:textId="7AD2B322" w:rsidR="005936E4" w:rsidRPr="001836F4" w:rsidRDefault="005936E4" w:rsidP="00262E7F">
      <w:pPr>
        <w:spacing w:line="360" w:lineRule="auto"/>
        <w:jc w:val="both"/>
      </w:pPr>
    </w:p>
    <w:p w14:paraId="5FA9F27C" w14:textId="18CD4CF8" w:rsidR="005936E4" w:rsidRPr="001836F4" w:rsidRDefault="5183A6D9" w:rsidP="00717529">
      <w:pPr>
        <w:pStyle w:val="Heading4"/>
        <w:spacing w:line="360" w:lineRule="auto"/>
        <w:rPr>
          <w:rFonts w:cs="Times New Roman"/>
          <w:color w:val="auto"/>
        </w:rPr>
      </w:pPr>
      <w:bookmarkStart w:id="8" w:name="_Toc1433151808"/>
      <w:r w:rsidRPr="5183A6D9">
        <w:rPr>
          <w:rFonts w:cs="Times New Roman"/>
          <w:color w:val="auto"/>
        </w:rPr>
        <w:t>How Do I Know for Sure?</w:t>
      </w:r>
      <w:bookmarkEnd w:id="8"/>
    </w:p>
    <w:p w14:paraId="15C864F4" w14:textId="6DE85AA6" w:rsidR="005936E4" w:rsidRPr="001836F4" w:rsidRDefault="005936E4" w:rsidP="00262E7F">
      <w:pPr>
        <w:spacing w:line="360" w:lineRule="auto"/>
        <w:jc w:val="both"/>
      </w:pPr>
      <w:r w:rsidRPr="001836F4">
        <w:t xml:space="preserve">Skepticism, the philosophical stance that questions the possibility of certainty, plays an essential role in any serious investment </w:t>
      </w:r>
      <w:r w:rsidR="372EDE1E">
        <w:t>decision.</w:t>
      </w:r>
      <w:r w:rsidRPr="001836F4">
        <w:t xml:space="preserve"> While shorting is often seen as a bold move, it should be grounded in a deep understanding of the inherent uncertainty of the future. No matter how well-reasoned a prediction may be, it is crucial to ask: how </w:t>
      </w:r>
      <w:r w:rsidR="2D393398">
        <w:t xml:space="preserve">can </w:t>
      </w:r>
      <w:r w:rsidR="0BAADEEA">
        <w:t>we know</w:t>
      </w:r>
      <w:r w:rsidRPr="001836F4">
        <w:t xml:space="preserve"> this for sure? </w:t>
      </w:r>
    </w:p>
    <w:p w14:paraId="46878861" w14:textId="77777777" w:rsidR="00717529" w:rsidRPr="001836F4" w:rsidRDefault="00717529" w:rsidP="00262E7F">
      <w:pPr>
        <w:spacing w:line="360" w:lineRule="auto"/>
        <w:jc w:val="both"/>
      </w:pPr>
    </w:p>
    <w:p w14:paraId="43D59951" w14:textId="78ED5E85" w:rsidR="005936E4" w:rsidRPr="001836F4" w:rsidRDefault="005936E4" w:rsidP="00EB10F6">
      <w:pPr>
        <w:pStyle w:val="ListParagraph"/>
        <w:numPr>
          <w:ilvl w:val="0"/>
          <w:numId w:val="35"/>
        </w:numPr>
        <w:spacing w:line="360" w:lineRule="auto"/>
        <w:jc w:val="both"/>
      </w:pPr>
      <w:r w:rsidRPr="001836F4">
        <w:rPr>
          <w:b/>
          <w:bCs/>
        </w:rPr>
        <w:t>Due Diligence</w:t>
      </w:r>
      <w:r w:rsidRPr="001836F4">
        <w:t>: To mitigate the uncertainty, due diligence is key. This includes not only analyzing the available data but actively seeking out alternative perspectives. Have you consulted experts in the field? Have you explored the possibility that your interpretation of the data is flawed or incomplete? Rigorous due diligence is not just about gathering information</w:t>
      </w:r>
      <w:r w:rsidR="2D359D1E" w:rsidRPr="001836F4">
        <w:t xml:space="preserve">, </w:t>
      </w:r>
      <w:r w:rsidRPr="001836F4">
        <w:t>it’s about challenging your assumptions and actively looking for counterarguments.</w:t>
      </w:r>
    </w:p>
    <w:p w14:paraId="74678680" w14:textId="162D36B3" w:rsidR="005936E4" w:rsidRPr="001836F4" w:rsidRDefault="005936E4" w:rsidP="00262E7F">
      <w:pPr>
        <w:pStyle w:val="ListParagraph"/>
        <w:spacing w:line="360" w:lineRule="auto"/>
        <w:jc w:val="both"/>
      </w:pPr>
    </w:p>
    <w:p w14:paraId="429FC0AE" w14:textId="54351670" w:rsidR="005936E4" w:rsidRPr="001836F4" w:rsidRDefault="005936E4" w:rsidP="00EB10F6">
      <w:pPr>
        <w:pStyle w:val="ListParagraph"/>
        <w:numPr>
          <w:ilvl w:val="0"/>
          <w:numId w:val="35"/>
        </w:numPr>
        <w:spacing w:line="360" w:lineRule="auto"/>
        <w:jc w:val="both"/>
      </w:pPr>
      <w:r w:rsidRPr="001836F4">
        <w:rPr>
          <w:b/>
          <w:bCs/>
        </w:rPr>
        <w:lastRenderedPageBreak/>
        <w:t>Probability, Not Certainty</w:t>
      </w:r>
      <w:r w:rsidRPr="001836F4">
        <w:t>: The goal is not to achieve certainty</w:t>
      </w:r>
      <w:r w:rsidR="276C78EC">
        <w:t xml:space="preserve"> - </w:t>
      </w:r>
      <w:r w:rsidRPr="001836F4">
        <w:t>this is impossible</w:t>
      </w:r>
      <w:r w:rsidR="1980067E">
        <w:t xml:space="preserve">, as </w:t>
      </w:r>
      <w:r w:rsidR="567ABC27">
        <w:t>anything</w:t>
      </w:r>
      <w:r w:rsidR="1980067E">
        <w:t xml:space="preserve"> is</w:t>
      </w:r>
      <w:r w:rsidRPr="001836F4">
        <w:t xml:space="preserve"> </w:t>
      </w:r>
      <w:r w:rsidR="7AF3F8A3">
        <w:t>possible</w:t>
      </w:r>
      <w:r w:rsidR="276C78EC">
        <w:t xml:space="preserve"> - </w:t>
      </w:r>
      <w:r w:rsidRPr="001836F4">
        <w:t xml:space="preserve">especially in a field as </w:t>
      </w:r>
      <w:r w:rsidR="3D8838B3">
        <w:t xml:space="preserve">interconnected and complex </w:t>
      </w:r>
      <w:r w:rsidR="567ABC27">
        <w:t xml:space="preserve">as the </w:t>
      </w:r>
      <w:r w:rsidR="3D8838B3">
        <w:t>life sciences.</w:t>
      </w:r>
      <w:r w:rsidRPr="001836F4">
        <w:t xml:space="preserve"> Instead, the goal is to make the most informed, rational decision based on the probabilities. A Phase </w:t>
      </w:r>
      <w:r w:rsidR="2D359D1E" w:rsidRPr="001836F4">
        <w:t>III</w:t>
      </w:r>
      <w:r w:rsidRPr="001836F4">
        <w:t xml:space="preserve"> trial has inherent risks, but the question is whether the probability of failure is high enough to justify the risk of shorting the stock. The investor must balance the evidence and ask, probabilistically, whether the expected outcome justifies </w:t>
      </w:r>
      <w:r w:rsidR="2EFCCABA">
        <w:t>his position.</w:t>
      </w:r>
    </w:p>
    <w:p w14:paraId="05AFA782" w14:textId="215F9CDB" w:rsidR="005936E4" w:rsidRPr="001836F4" w:rsidRDefault="005936E4" w:rsidP="00262E7F">
      <w:pPr>
        <w:spacing w:line="360" w:lineRule="auto"/>
        <w:jc w:val="both"/>
      </w:pPr>
    </w:p>
    <w:p w14:paraId="3EB9E6F7" w14:textId="777BDA6A" w:rsidR="005936E4" w:rsidRPr="001836F4" w:rsidRDefault="5183A6D9" w:rsidP="00717529">
      <w:pPr>
        <w:pStyle w:val="Heading4"/>
        <w:spacing w:line="360" w:lineRule="auto"/>
        <w:rPr>
          <w:rFonts w:cs="Times New Roman"/>
          <w:color w:val="auto"/>
        </w:rPr>
      </w:pPr>
      <w:bookmarkStart w:id="9" w:name="_Toc862137310"/>
      <w:r w:rsidRPr="5183A6D9">
        <w:rPr>
          <w:rFonts w:cs="Times New Roman"/>
          <w:color w:val="auto"/>
        </w:rPr>
        <w:t>Could My Assumptions Be Wrong?</w:t>
      </w:r>
      <w:bookmarkEnd w:id="9"/>
    </w:p>
    <w:p w14:paraId="7CDE692B" w14:textId="0FCCDE20" w:rsidR="005936E4" w:rsidRPr="001836F4" w:rsidRDefault="005936E4" w:rsidP="00262E7F">
      <w:pPr>
        <w:spacing w:line="360" w:lineRule="auto"/>
        <w:jc w:val="both"/>
      </w:pPr>
      <w:r w:rsidRPr="001836F4">
        <w:t xml:space="preserve">Fallibilism, the philosophical principle that acknowledges the possibility of error in all human beliefs, is critical in </w:t>
      </w:r>
      <w:r w:rsidR="1FE047F4">
        <w:t>investment decisions.</w:t>
      </w:r>
      <w:r w:rsidRPr="001836F4">
        <w:t xml:space="preserve"> Even the most well-researched, well-reasoned predictions can be wrong. Recognizing this fact is not a sign of weakness but of intellectual maturity and preparedness.</w:t>
      </w:r>
    </w:p>
    <w:p w14:paraId="1B5FD0D7" w14:textId="77777777" w:rsidR="00B27267" w:rsidRPr="001836F4" w:rsidRDefault="00B27267" w:rsidP="00262E7F">
      <w:pPr>
        <w:spacing w:line="360" w:lineRule="auto"/>
        <w:jc w:val="both"/>
      </w:pPr>
    </w:p>
    <w:p w14:paraId="7B7595D9" w14:textId="26816526" w:rsidR="005936E4" w:rsidRPr="001836F4" w:rsidRDefault="005936E4" w:rsidP="00262E7F">
      <w:pPr>
        <w:spacing w:line="360" w:lineRule="auto"/>
        <w:jc w:val="both"/>
      </w:pPr>
      <w:r w:rsidRPr="001836F4">
        <w:t xml:space="preserve">In any short position, it is vital to confront the possibility that your assumptions could be flawed. Have you made sure to consider alternative viewpoints? Have you actively sought </w:t>
      </w:r>
      <w:r w:rsidR="2D359D1E" w:rsidRPr="001836F4">
        <w:t>counterevidence</w:t>
      </w:r>
      <w:r w:rsidRPr="001836F4">
        <w:t xml:space="preserve"> that might weaken your thesis? Fallibilism encourages investors to remain open to new information and to be willing to change course if the evidence shifts. </w:t>
      </w:r>
      <w:r w:rsidR="2D359D1E" w:rsidRPr="001836F4">
        <w:t>This</w:t>
      </w:r>
      <w:r w:rsidRPr="001836F4">
        <w:t xml:space="preserve"> means </w:t>
      </w:r>
      <w:r w:rsidR="2D359D1E" w:rsidRPr="001836F4">
        <w:t>that one must remain</w:t>
      </w:r>
      <w:r w:rsidRPr="001836F4">
        <w:t xml:space="preserve"> vigilant </w:t>
      </w:r>
      <w:r w:rsidR="2D359D1E" w:rsidRPr="001836F4">
        <w:t>about</w:t>
      </w:r>
      <w:r w:rsidRPr="001836F4">
        <w:t xml:space="preserve"> any new developments that could affect the outcome of the trial or the stock’s performance.</w:t>
      </w:r>
    </w:p>
    <w:p w14:paraId="69029027" w14:textId="652E71A2" w:rsidR="005936E4" w:rsidRPr="001836F4" w:rsidRDefault="005936E4" w:rsidP="00262E7F">
      <w:pPr>
        <w:spacing w:line="360" w:lineRule="auto"/>
        <w:jc w:val="both"/>
      </w:pPr>
    </w:p>
    <w:p w14:paraId="65977075" w14:textId="0DEAB711" w:rsidR="005936E4" w:rsidRPr="001836F4" w:rsidRDefault="005936E4" w:rsidP="00EB10F6">
      <w:pPr>
        <w:pStyle w:val="ListParagraph"/>
        <w:numPr>
          <w:ilvl w:val="0"/>
          <w:numId w:val="36"/>
        </w:numPr>
        <w:spacing w:line="360" w:lineRule="auto"/>
        <w:jc w:val="both"/>
      </w:pPr>
      <w:r w:rsidRPr="001836F4">
        <w:rPr>
          <w:b/>
          <w:bCs/>
        </w:rPr>
        <w:t xml:space="preserve">Seeking </w:t>
      </w:r>
      <w:r w:rsidR="2D359D1E" w:rsidRPr="001836F4">
        <w:rPr>
          <w:b/>
          <w:bCs/>
        </w:rPr>
        <w:t>Counterevidence</w:t>
      </w:r>
      <w:r w:rsidRPr="001836F4">
        <w:t xml:space="preserve">: A key part of this process is actively seeking </w:t>
      </w:r>
      <w:r w:rsidR="2D359D1E" w:rsidRPr="001836F4">
        <w:t>counterevidence.</w:t>
      </w:r>
      <w:r w:rsidRPr="001836F4">
        <w:t xml:space="preserve"> This might involve reading analyses that take a more optimistic view of the drug’s chances</w:t>
      </w:r>
      <w:r w:rsidR="2D359D1E" w:rsidRPr="001836F4">
        <w:t>,</w:t>
      </w:r>
      <w:r w:rsidRPr="001836F4">
        <w:t xml:space="preserve"> or consulting experts who believe the trial could succeed. By engaging with opposing views, you can refine your thesis and ensure that your assumptions are as robust as possible.</w:t>
      </w:r>
    </w:p>
    <w:p w14:paraId="7DC22380" w14:textId="5C8F6807" w:rsidR="005936E4" w:rsidRPr="001836F4" w:rsidRDefault="005936E4" w:rsidP="00262E7F">
      <w:pPr>
        <w:spacing w:line="360" w:lineRule="auto"/>
        <w:jc w:val="both"/>
      </w:pPr>
    </w:p>
    <w:p w14:paraId="1BD8E508" w14:textId="59180427" w:rsidR="005936E4" w:rsidRPr="001836F4" w:rsidRDefault="5183A6D9" w:rsidP="0029404D">
      <w:pPr>
        <w:pStyle w:val="Heading4"/>
        <w:spacing w:line="360" w:lineRule="auto"/>
        <w:rPr>
          <w:rFonts w:cs="Times New Roman"/>
          <w:color w:val="auto"/>
        </w:rPr>
      </w:pPr>
      <w:bookmarkStart w:id="10" w:name="_Toc713326093"/>
      <w:r w:rsidRPr="5183A6D9">
        <w:rPr>
          <w:rFonts w:cs="Times New Roman"/>
          <w:color w:val="auto"/>
        </w:rPr>
        <w:t>Key Takeaways</w:t>
      </w:r>
      <w:bookmarkEnd w:id="10"/>
    </w:p>
    <w:p w14:paraId="6AD71D60" w14:textId="05300067" w:rsidR="005936E4" w:rsidRPr="001836F4" w:rsidRDefault="005936E4" w:rsidP="00262E7F">
      <w:pPr>
        <w:spacing w:line="360" w:lineRule="auto"/>
        <w:jc w:val="both"/>
      </w:pPr>
      <w:r w:rsidRPr="001836F4">
        <w:t xml:space="preserve">Shorting a </w:t>
      </w:r>
      <w:r w:rsidR="2D359D1E" w:rsidRPr="001836F4">
        <w:t>biotechnology</w:t>
      </w:r>
      <w:r w:rsidRPr="001836F4">
        <w:t xml:space="preserve"> company’s stock based on the anticipated failure of its Phase </w:t>
      </w:r>
      <w:r w:rsidR="2D359D1E" w:rsidRPr="001836F4">
        <w:t>III</w:t>
      </w:r>
      <w:r w:rsidRPr="001836F4">
        <w:t xml:space="preserve"> clinical trial is a high-risk, high-reward strategy that demands careful reflection. At its core, this decision involves engaging with the unknown</w:t>
      </w:r>
      <w:r w:rsidR="2D359D1E" w:rsidRPr="001836F4">
        <w:t xml:space="preserve"> - </w:t>
      </w:r>
      <w:r w:rsidRPr="001836F4">
        <w:t>evaluating scientific risk</w:t>
      </w:r>
      <w:r w:rsidR="2D359D1E" w:rsidRPr="001836F4">
        <w:t xml:space="preserve"> -</w:t>
      </w:r>
      <w:r w:rsidRPr="001836F4">
        <w:t xml:space="preserve"> confronting the limits of knowledge and weighing uncertainty. By asking critical questions about what we know, how we </w:t>
      </w:r>
      <w:r w:rsidRPr="001836F4">
        <w:lastRenderedPageBreak/>
        <w:t>evaluate risk, and how confident we are in our predictions, we can approach shorting with a greater sense of intellectual rigor and preparedness.</w:t>
      </w:r>
    </w:p>
    <w:p w14:paraId="598ED1ED" w14:textId="2BA13D59" w:rsidR="005936E4" w:rsidRPr="001836F4" w:rsidRDefault="005936E4" w:rsidP="00262E7F">
      <w:pPr>
        <w:spacing w:line="360" w:lineRule="auto"/>
        <w:jc w:val="both"/>
      </w:pPr>
    </w:p>
    <w:p w14:paraId="7026C486" w14:textId="373287AC" w:rsidR="005936E4" w:rsidRPr="001836F4" w:rsidRDefault="005936E4" w:rsidP="00262E7F">
      <w:pPr>
        <w:spacing w:line="360" w:lineRule="auto"/>
        <w:jc w:val="both"/>
      </w:pPr>
      <w:r w:rsidRPr="001836F4">
        <w:t xml:space="preserve">In the pages that follow, we will build on this foundation by delving into the scientific rationale behind our prediction that </w:t>
      </w:r>
      <w:r w:rsidR="00E70A7A" w:rsidRPr="001836F4">
        <w:t>C</w:t>
      </w:r>
      <w:r w:rsidR="00925665" w:rsidRPr="001836F4">
        <w:t>assava</w:t>
      </w:r>
      <w:r w:rsidR="003165F5" w:rsidRPr="001836F4">
        <w:t xml:space="preserve"> </w:t>
      </w:r>
      <w:r w:rsidR="2D359D1E" w:rsidRPr="001836F4">
        <w:t>Sciences’</w:t>
      </w:r>
      <w:r w:rsidR="003165F5" w:rsidRPr="001836F4">
        <w:t xml:space="preserve"> </w:t>
      </w:r>
      <w:r w:rsidR="153BF956">
        <w:t>Phase</w:t>
      </w:r>
      <w:r w:rsidR="003165F5" w:rsidRPr="001836F4">
        <w:t xml:space="preserve"> III </w:t>
      </w:r>
      <w:r w:rsidR="153BF956">
        <w:t>trials</w:t>
      </w:r>
      <w:r w:rsidR="003165F5" w:rsidRPr="001836F4">
        <w:t xml:space="preserve"> for Simufilam</w:t>
      </w:r>
      <w:r w:rsidRPr="001836F4">
        <w:t xml:space="preserve"> </w:t>
      </w:r>
      <w:r w:rsidR="153BF956">
        <w:t>are</w:t>
      </w:r>
      <w:r w:rsidRPr="001836F4">
        <w:t xml:space="preserve"> </w:t>
      </w:r>
      <w:r w:rsidR="2D359D1E" w:rsidRPr="001836F4">
        <w:t>most probable</w:t>
      </w:r>
      <w:r w:rsidRPr="001836F4">
        <w:t xml:space="preserve"> to fail. Through a careful examination of the data, trial design, and market conditions, we aim to provide a reasoned justification for </w:t>
      </w:r>
      <w:r w:rsidR="2D359D1E" w:rsidRPr="001836F4">
        <w:t>our view -</w:t>
      </w:r>
      <w:r w:rsidRPr="001836F4">
        <w:t xml:space="preserve"> all while keeping in mind the broader uncertainties that define the world of biotechnology investment.</w:t>
      </w:r>
    </w:p>
    <w:p w14:paraId="1A4E44C3" w14:textId="2B5F2841" w:rsidR="005936E4" w:rsidRPr="001836F4" w:rsidRDefault="005936E4" w:rsidP="005936E4"/>
    <w:p w14:paraId="46D41E24" w14:textId="77777777" w:rsidR="005936E4" w:rsidRPr="001836F4" w:rsidRDefault="005936E4" w:rsidP="005936E4">
      <w:pPr>
        <w:rPr>
          <w:rFonts w:eastAsiaTheme="majorEastAsia"/>
        </w:rPr>
      </w:pPr>
    </w:p>
    <w:p w14:paraId="40A766AB" w14:textId="77777777" w:rsidR="00F84A37" w:rsidRPr="001836F4" w:rsidRDefault="00F84A37" w:rsidP="00F84A37">
      <w:pPr>
        <w:spacing w:line="360" w:lineRule="auto"/>
        <w:jc w:val="both"/>
        <w:rPr>
          <w:rFonts w:eastAsiaTheme="majorEastAsia"/>
        </w:rPr>
      </w:pPr>
    </w:p>
    <w:p w14:paraId="10E4DA79" w14:textId="77777777" w:rsidR="00055F33" w:rsidRPr="001836F4" w:rsidRDefault="00055F33" w:rsidP="00F84A37">
      <w:pPr>
        <w:spacing w:line="360" w:lineRule="auto"/>
        <w:jc w:val="both"/>
        <w:rPr>
          <w:rFonts w:eastAsiaTheme="majorEastAsia"/>
        </w:rPr>
      </w:pPr>
    </w:p>
    <w:p w14:paraId="498F65C6" w14:textId="52DB4F72" w:rsidR="005539E5" w:rsidRPr="001836F4" w:rsidRDefault="5183A6D9" w:rsidP="5183A6D9">
      <w:pPr>
        <w:pStyle w:val="Heading1"/>
        <w:rPr>
          <w:rFonts w:ascii="Times New Roman" w:eastAsia="Times New Roman" w:hAnsi="Times New Roman" w:cs="Times New Roman"/>
          <w:b/>
          <w:bCs/>
          <w:color w:val="auto"/>
        </w:rPr>
      </w:pPr>
      <w:bookmarkStart w:id="11" w:name="_Toc319552562"/>
      <w:r w:rsidRPr="5183A6D9">
        <w:rPr>
          <w:rFonts w:ascii="Times New Roman" w:eastAsia="Times New Roman" w:hAnsi="Times New Roman" w:cs="Times New Roman"/>
          <w:b/>
          <w:bCs/>
          <w:color w:val="auto"/>
        </w:rPr>
        <w:t>Key Reasons Why We Are Shorting Cassava Sciences:</w:t>
      </w:r>
      <w:bookmarkEnd w:id="11"/>
    </w:p>
    <w:p w14:paraId="7075003D" w14:textId="77777777" w:rsidR="003F34AA" w:rsidRPr="001836F4" w:rsidRDefault="003F34AA" w:rsidP="00F84A37">
      <w:pPr>
        <w:pStyle w:val="ListParagraph"/>
        <w:spacing w:line="360" w:lineRule="auto"/>
        <w:jc w:val="both"/>
      </w:pPr>
    </w:p>
    <w:p w14:paraId="40C699DB" w14:textId="77777777" w:rsidR="003F34AA" w:rsidRPr="001836F4" w:rsidRDefault="003F34AA" w:rsidP="00EB10F6">
      <w:pPr>
        <w:pStyle w:val="ListParagraph"/>
        <w:numPr>
          <w:ilvl w:val="0"/>
          <w:numId w:val="21"/>
        </w:numPr>
        <w:spacing w:line="360" w:lineRule="auto"/>
        <w:jc w:val="both"/>
      </w:pPr>
      <w:r w:rsidRPr="001836F4">
        <w:rPr>
          <w:b/>
          <w:bCs/>
        </w:rPr>
        <w:t>Scientific facts contradict the company’s claims.</w:t>
      </w:r>
      <w:r w:rsidRPr="001836F4">
        <w:t xml:space="preserve"> </w:t>
      </w:r>
    </w:p>
    <w:p w14:paraId="66836ABD" w14:textId="26520F63" w:rsidR="003F34AA" w:rsidRPr="001836F4" w:rsidRDefault="00FE7D2F" w:rsidP="00F84A37">
      <w:pPr>
        <w:pStyle w:val="ListParagraph"/>
        <w:spacing w:line="360" w:lineRule="auto"/>
        <w:jc w:val="both"/>
      </w:pPr>
      <w:r w:rsidRPr="001836F4">
        <w:t>Physiochemistry properties</w:t>
      </w:r>
      <w:r w:rsidR="000A3E0D" w:rsidRPr="001836F4">
        <w:t>,</w:t>
      </w:r>
      <w:r w:rsidR="003F34AA" w:rsidRPr="001836F4">
        <w:t xml:space="preserve"> protein-protein interactions, and other critical factors indicate that Simufilam's efficacy is unlikely.</w:t>
      </w:r>
    </w:p>
    <w:p w14:paraId="1BF9F3F0" w14:textId="77777777" w:rsidR="00493122" w:rsidRPr="001836F4" w:rsidRDefault="00493122" w:rsidP="00F84A37">
      <w:pPr>
        <w:spacing w:line="360" w:lineRule="auto"/>
        <w:jc w:val="both"/>
        <w:rPr>
          <w:u w:val="single"/>
        </w:rPr>
      </w:pPr>
    </w:p>
    <w:p w14:paraId="1B261FE5" w14:textId="5F1B59CD" w:rsidR="007B0222" w:rsidRPr="001836F4" w:rsidRDefault="00FD21A0" w:rsidP="00EB10F6">
      <w:pPr>
        <w:pStyle w:val="ListParagraph"/>
        <w:numPr>
          <w:ilvl w:val="0"/>
          <w:numId w:val="21"/>
        </w:numPr>
        <w:spacing w:line="360" w:lineRule="auto"/>
        <w:jc w:val="both"/>
      </w:pPr>
      <w:r w:rsidRPr="001836F4">
        <w:rPr>
          <w:b/>
          <w:bCs/>
        </w:rPr>
        <w:t>Simufilam's mechanism of action lacks robust scientific support.</w:t>
      </w:r>
      <w:r w:rsidRPr="001836F4">
        <w:t xml:space="preserve"> </w:t>
      </w:r>
    </w:p>
    <w:p w14:paraId="38252F52" w14:textId="7F31235A" w:rsidR="00FD21A0" w:rsidRPr="001836F4" w:rsidRDefault="00FD21A0" w:rsidP="00F84A37">
      <w:pPr>
        <w:pStyle w:val="ListParagraph"/>
        <w:spacing w:line="360" w:lineRule="auto"/>
        <w:jc w:val="both"/>
      </w:pPr>
      <w:r w:rsidRPr="001836F4">
        <w:t>The drug's purported action on FLNA to restore the function of nicotinic acetylcholine receptors (nAChRs) and reduce toxic amyloid-beta (Aβ) oligomer signaling is theoretically appealing but lacks validation in independent peer-reviewed studies.</w:t>
      </w:r>
    </w:p>
    <w:p w14:paraId="10555684" w14:textId="77777777" w:rsidR="00FD21A0" w:rsidRPr="001836F4" w:rsidRDefault="00FD21A0" w:rsidP="00F84A37">
      <w:pPr>
        <w:spacing w:line="360" w:lineRule="auto"/>
        <w:jc w:val="both"/>
      </w:pPr>
    </w:p>
    <w:p w14:paraId="0E4DA9A8" w14:textId="77777777" w:rsidR="007B0222" w:rsidRPr="001836F4" w:rsidRDefault="00FD21A0" w:rsidP="00EB10F6">
      <w:pPr>
        <w:numPr>
          <w:ilvl w:val="0"/>
          <w:numId w:val="20"/>
        </w:numPr>
        <w:spacing w:line="360" w:lineRule="auto"/>
        <w:jc w:val="both"/>
      </w:pPr>
      <w:r w:rsidRPr="001836F4">
        <w:rPr>
          <w:b/>
          <w:bCs/>
        </w:rPr>
        <w:t>The central hypothesis is speculative and controversial.</w:t>
      </w:r>
      <w:r w:rsidRPr="001836F4">
        <w:t xml:space="preserve"> </w:t>
      </w:r>
    </w:p>
    <w:p w14:paraId="2303E250" w14:textId="5BECF71F" w:rsidR="006A0C8D" w:rsidRPr="001836F4" w:rsidRDefault="153BF956" w:rsidP="153BF956">
      <w:pPr>
        <w:spacing w:line="360" w:lineRule="auto"/>
        <w:ind w:left="720"/>
        <w:jc w:val="both"/>
      </w:pPr>
      <w:r>
        <w:t>Cassava Sciences’</w:t>
      </w:r>
      <w:r w:rsidR="006A0C8D" w:rsidRPr="001836F4">
        <w:t xml:space="preserve"> central theory that modulating FLNA can significantly alter the course of A</w:t>
      </w:r>
      <w:r w:rsidR="00E421D1" w:rsidRPr="001836F4">
        <w:t xml:space="preserve">D </w:t>
      </w:r>
      <w:r w:rsidR="006A0C8D" w:rsidRPr="001836F4">
        <w:t>is not grounded in well-established AD pathophysiology. This unproven hypothesis forms the basis for Simufilam</w:t>
      </w:r>
      <w:r>
        <w:t>;</w:t>
      </w:r>
      <w:r w:rsidR="006A0C8D" w:rsidRPr="001836F4">
        <w:t xml:space="preserve"> </w:t>
      </w:r>
      <w:r w:rsidR="00A71787" w:rsidRPr="001836F4">
        <w:t>however</w:t>
      </w:r>
      <w:r>
        <w:t>,</w:t>
      </w:r>
      <w:r w:rsidR="006A0C8D" w:rsidRPr="001836F4">
        <w:t xml:space="preserve"> without substantial support from broader scientific research, it remains highly questionable</w:t>
      </w:r>
    </w:p>
    <w:p w14:paraId="734B3D86" w14:textId="593E6453" w:rsidR="153BF956" w:rsidRDefault="153BF956" w:rsidP="153BF956">
      <w:pPr>
        <w:spacing w:line="360" w:lineRule="auto"/>
        <w:ind w:left="720"/>
        <w:jc w:val="both"/>
      </w:pPr>
    </w:p>
    <w:p w14:paraId="339C020A" w14:textId="5DA1E9E2" w:rsidR="007B0222" w:rsidRPr="001836F4" w:rsidRDefault="001938A8" w:rsidP="00EB10F6">
      <w:pPr>
        <w:numPr>
          <w:ilvl w:val="0"/>
          <w:numId w:val="20"/>
        </w:numPr>
        <w:spacing w:line="360" w:lineRule="auto"/>
        <w:jc w:val="both"/>
      </w:pPr>
      <w:r w:rsidRPr="001836F4">
        <w:rPr>
          <w:b/>
          <w:bCs/>
        </w:rPr>
        <w:lastRenderedPageBreak/>
        <w:t>Clinical trial results have been insufficient</w:t>
      </w:r>
      <w:r w:rsidR="005A5698" w:rsidRPr="001836F4">
        <w:rPr>
          <w:b/>
          <w:bCs/>
        </w:rPr>
        <w:t>,</w:t>
      </w:r>
      <w:r w:rsidRPr="001836F4">
        <w:rPr>
          <w:b/>
          <w:bCs/>
        </w:rPr>
        <w:t xml:space="preserve"> inconsistent</w:t>
      </w:r>
      <w:r w:rsidR="005A5698" w:rsidRPr="001836F4">
        <w:rPr>
          <w:b/>
          <w:bCs/>
        </w:rPr>
        <w:t xml:space="preserve">, </w:t>
      </w:r>
      <w:r w:rsidRPr="001836F4">
        <w:rPr>
          <w:b/>
          <w:bCs/>
        </w:rPr>
        <w:t>and plagued by methodological concerns</w:t>
      </w:r>
      <w:r w:rsidR="00FD21A0" w:rsidRPr="001836F4">
        <w:rPr>
          <w:b/>
          <w:bCs/>
        </w:rPr>
        <w:t>.</w:t>
      </w:r>
      <w:r w:rsidR="00FD21A0" w:rsidRPr="001836F4">
        <w:t xml:space="preserve"> </w:t>
      </w:r>
    </w:p>
    <w:p w14:paraId="76A79121" w14:textId="44C46FF1" w:rsidR="00FD21A0" w:rsidRPr="001836F4" w:rsidRDefault="00FD21A0" w:rsidP="00F84A37">
      <w:pPr>
        <w:spacing w:line="360" w:lineRule="auto"/>
        <w:ind w:left="720"/>
        <w:jc w:val="both"/>
      </w:pPr>
      <w:r w:rsidRPr="001836F4">
        <w:t xml:space="preserve">The clinical trials conducted thus far </w:t>
      </w:r>
      <w:r w:rsidR="00997CB4" w:rsidRPr="001836F4">
        <w:t xml:space="preserve">regarding </w:t>
      </w:r>
      <w:r w:rsidRPr="001836F4">
        <w:t>Simufilam have been marked by methodological issues and concerns about data integrity.</w:t>
      </w:r>
    </w:p>
    <w:p w14:paraId="6D323EC2" w14:textId="77777777" w:rsidR="00FD21A0" w:rsidRPr="001836F4" w:rsidRDefault="00FD21A0" w:rsidP="00F84A37">
      <w:pPr>
        <w:spacing w:line="360" w:lineRule="auto"/>
        <w:jc w:val="both"/>
      </w:pPr>
    </w:p>
    <w:p w14:paraId="6CBBE946" w14:textId="5DC2E367" w:rsidR="007B0222" w:rsidRPr="001836F4" w:rsidRDefault="00FD21A0" w:rsidP="00EB10F6">
      <w:pPr>
        <w:numPr>
          <w:ilvl w:val="0"/>
          <w:numId w:val="20"/>
        </w:numPr>
        <w:spacing w:line="360" w:lineRule="auto"/>
        <w:jc w:val="both"/>
      </w:pPr>
      <w:r w:rsidRPr="001836F4">
        <w:rPr>
          <w:b/>
          <w:bCs/>
        </w:rPr>
        <w:t>Alzheimer’s disease drug development has a high failure rate</w:t>
      </w:r>
      <w:r w:rsidR="00C40F4B" w:rsidRPr="001836F4">
        <w:rPr>
          <w:b/>
          <w:bCs/>
        </w:rPr>
        <w:t>.</w:t>
      </w:r>
    </w:p>
    <w:p w14:paraId="15779322" w14:textId="161CB98E" w:rsidR="00FD21A0" w:rsidRPr="001836F4" w:rsidRDefault="00C40F4B" w:rsidP="00F84A37">
      <w:pPr>
        <w:spacing w:line="360" w:lineRule="auto"/>
        <w:ind w:left="720"/>
        <w:jc w:val="both"/>
      </w:pPr>
      <w:r w:rsidRPr="001836F4">
        <w:t>W</w:t>
      </w:r>
      <w:r w:rsidR="00FD21A0" w:rsidRPr="001836F4">
        <w:t>ith over 9</w:t>
      </w:r>
      <w:r w:rsidR="000A6F7C">
        <w:t>8</w:t>
      </w:r>
      <w:r w:rsidR="00FD21A0" w:rsidRPr="001836F4">
        <w:t xml:space="preserve">% of </w:t>
      </w:r>
      <w:r w:rsidR="000A6F7C">
        <w:t xml:space="preserve">AD </w:t>
      </w:r>
      <w:r w:rsidR="00FD21A0" w:rsidRPr="001836F4">
        <w:t>drug candidates failing in clinical trials over the past decades. Simufilam shows no exceptional data that suggests it will break this trend.</w:t>
      </w:r>
      <w:r w:rsidR="00234BC3" w:rsidRPr="001836F4">
        <w:t xml:space="preserve"> The drug’s unproven mechanism and </w:t>
      </w:r>
      <w:r w:rsidR="5D119E19" w:rsidRPr="001836F4">
        <w:t>its</w:t>
      </w:r>
      <w:r w:rsidR="00234BC3" w:rsidRPr="001836F4">
        <w:t xml:space="preserve"> questionable </w:t>
      </w:r>
      <w:r w:rsidR="5D119E19" w:rsidRPr="001836F4">
        <w:t>clinical and preclinical</w:t>
      </w:r>
      <w:r w:rsidR="00234BC3" w:rsidRPr="001836F4">
        <w:t xml:space="preserve"> results</w:t>
      </w:r>
      <w:r w:rsidR="5D119E19" w:rsidRPr="001836F4">
        <w:t xml:space="preserve"> regarding the SEC’s report </w:t>
      </w:r>
      <w:r w:rsidR="153BF956">
        <w:t>are to be factored in when computing its prospects.</w:t>
      </w:r>
    </w:p>
    <w:p w14:paraId="4D292A68" w14:textId="77777777" w:rsidR="00FD21A0" w:rsidRPr="001836F4" w:rsidRDefault="00FD21A0" w:rsidP="00F84A37">
      <w:pPr>
        <w:spacing w:line="360" w:lineRule="auto"/>
        <w:jc w:val="both"/>
      </w:pPr>
    </w:p>
    <w:p w14:paraId="04866D60" w14:textId="202F4518" w:rsidR="00C40F4B" w:rsidRPr="001836F4" w:rsidRDefault="153BF956" w:rsidP="00EB10F6">
      <w:pPr>
        <w:numPr>
          <w:ilvl w:val="0"/>
          <w:numId w:val="20"/>
        </w:numPr>
        <w:spacing w:line="360" w:lineRule="auto"/>
        <w:jc w:val="both"/>
        <w:rPr>
          <w:b/>
          <w:bCs/>
        </w:rPr>
      </w:pPr>
      <w:r w:rsidRPr="153BF956">
        <w:rPr>
          <w:b/>
          <w:bCs/>
        </w:rPr>
        <w:t>Cassava Sciences’</w:t>
      </w:r>
      <w:r w:rsidR="002417DE" w:rsidRPr="001836F4">
        <w:rPr>
          <w:b/>
          <w:bCs/>
        </w:rPr>
        <w:t xml:space="preserve"> market valuation is inflated by speculative science. </w:t>
      </w:r>
    </w:p>
    <w:p w14:paraId="21275033" w14:textId="093C284E" w:rsidR="00FD21A0" w:rsidRPr="001836F4" w:rsidRDefault="008B0CB0" w:rsidP="00F84A37">
      <w:pPr>
        <w:spacing w:line="360" w:lineRule="auto"/>
        <w:ind w:left="720"/>
        <w:jc w:val="both"/>
      </w:pPr>
      <w:r w:rsidRPr="001836F4">
        <w:t>Investor enthusiasm for Simufilam is based on a speculative and unverified scientific premise, leading to an overvaluation of Cassava’s stock.</w:t>
      </w:r>
    </w:p>
    <w:p w14:paraId="65094B61" w14:textId="77777777" w:rsidR="0029404D" w:rsidRPr="001836F4" w:rsidRDefault="0029404D" w:rsidP="00F84A37">
      <w:pPr>
        <w:spacing w:line="360" w:lineRule="auto"/>
        <w:ind w:left="720"/>
        <w:jc w:val="both"/>
      </w:pPr>
    </w:p>
    <w:p w14:paraId="2B5C9F8F" w14:textId="77777777" w:rsidR="0029404D" w:rsidRPr="001836F4" w:rsidRDefault="0029404D" w:rsidP="00F84A37">
      <w:pPr>
        <w:spacing w:line="360" w:lineRule="auto"/>
        <w:ind w:left="720"/>
        <w:jc w:val="both"/>
      </w:pPr>
    </w:p>
    <w:p w14:paraId="44DB82F6" w14:textId="77777777" w:rsidR="00210F8D" w:rsidRPr="001836F4" w:rsidRDefault="00210F8D" w:rsidP="00F84A37">
      <w:pPr>
        <w:spacing w:line="360" w:lineRule="auto"/>
        <w:ind w:left="720"/>
        <w:jc w:val="both"/>
        <w:rPr>
          <w:b/>
          <w:bCs/>
        </w:rPr>
      </w:pPr>
    </w:p>
    <w:p w14:paraId="6348CB08" w14:textId="7D1866C2" w:rsidR="00FD21A0" w:rsidRPr="001836F4" w:rsidRDefault="5183A6D9" w:rsidP="5183A6D9">
      <w:pPr>
        <w:pStyle w:val="Heading1"/>
        <w:rPr>
          <w:rFonts w:ascii="Times New Roman" w:eastAsia="Times New Roman" w:hAnsi="Times New Roman" w:cs="Times New Roman"/>
          <w:b/>
          <w:bCs/>
          <w:color w:val="auto"/>
        </w:rPr>
      </w:pPr>
      <w:bookmarkStart w:id="12" w:name="_Toc534556654"/>
      <w:r w:rsidRPr="5183A6D9">
        <w:rPr>
          <w:rFonts w:ascii="Times New Roman" w:eastAsia="Times New Roman" w:hAnsi="Times New Roman" w:cs="Times New Roman"/>
          <w:b/>
          <w:bCs/>
          <w:color w:val="auto"/>
        </w:rPr>
        <w:t>Overview of Cassava Sciences and Simufilam</w:t>
      </w:r>
      <w:bookmarkEnd w:id="12"/>
    </w:p>
    <w:p w14:paraId="2574A4A7" w14:textId="679BCB70" w:rsidR="2C795418" w:rsidRDefault="2C795418" w:rsidP="2C795418">
      <w:pPr>
        <w:spacing w:line="360" w:lineRule="auto"/>
        <w:jc w:val="both"/>
      </w:pPr>
      <w:r>
        <w:t xml:space="preserve">Cassava Sciences was founded in 1998 under the name </w:t>
      </w:r>
      <w:r w:rsidRPr="48236DE0">
        <w:rPr>
          <w:i/>
        </w:rPr>
        <w:t>Pain Therapeutics</w:t>
      </w:r>
      <w:r>
        <w:t>, initially focused on pain management treatments. However, after a series of failures, including multiple FDA rejections of its painkiller product</w:t>
      </w:r>
      <w:r w:rsidR="00561E5A">
        <w:t>s</w:t>
      </w:r>
      <w:r w:rsidR="00DF477E">
        <w:t xml:space="preserve"> Remoxy</w:t>
      </w:r>
      <w:r w:rsidR="00561E5A">
        <w:t xml:space="preserve"> </w:t>
      </w:r>
      <w:r w:rsidR="00561E5A" w:rsidRPr="00561E5A">
        <w:t>(</w:t>
      </w:r>
      <w:hyperlink r:id="rId11" w:history="1">
        <w:r w:rsidR="00561E5A" w:rsidRPr="00561E5A">
          <w:rPr>
            <w:rStyle w:val="Hyperlink"/>
          </w:rPr>
          <w:t>Terry, 2018</w:t>
        </w:r>
      </w:hyperlink>
      <w:r w:rsidR="00561E5A" w:rsidRPr="00561E5A">
        <w:t>)</w:t>
      </w:r>
      <w:r>
        <w:t>, the company shifted its focus to neurodegenerative diseases, particularly AD, in 2017</w:t>
      </w:r>
      <w:r w:rsidR="00FD6F32">
        <w:t xml:space="preserve"> </w:t>
      </w:r>
      <w:r w:rsidR="00FD6F32" w:rsidRPr="00FD6F32">
        <w:t>(</w:t>
      </w:r>
      <w:hyperlink r:id="rId12" w:history="1">
        <w:r w:rsidR="00FD6F32" w:rsidRPr="00FD6F32">
          <w:rPr>
            <w:rStyle w:val="Hyperlink"/>
          </w:rPr>
          <w:t>Terry, 2018</w:t>
        </w:r>
      </w:hyperlink>
      <w:r w:rsidR="00FD6F32" w:rsidRPr="00FD6F32">
        <w:t>)</w:t>
      </w:r>
      <w:r>
        <w:t>.</w:t>
      </w:r>
    </w:p>
    <w:p w14:paraId="14BB8841" w14:textId="77777777" w:rsidR="005E5B9E" w:rsidRPr="001836F4" w:rsidRDefault="005E5B9E" w:rsidP="00F84A37">
      <w:pPr>
        <w:spacing w:line="360" w:lineRule="auto"/>
        <w:jc w:val="both"/>
      </w:pPr>
    </w:p>
    <w:p w14:paraId="756E72B5" w14:textId="42966E1A" w:rsidR="00740A61" w:rsidRPr="001836F4" w:rsidRDefault="005E5B9E" w:rsidP="00F84A37">
      <w:pPr>
        <w:spacing w:line="360" w:lineRule="auto"/>
        <w:jc w:val="both"/>
      </w:pPr>
      <w:r w:rsidRPr="001836F4">
        <w:t xml:space="preserve">Simufilam, </w:t>
      </w:r>
      <w:r w:rsidR="005B0FF2" w:rsidRPr="001836F4">
        <w:t xml:space="preserve">Cassava </w:t>
      </w:r>
      <w:r w:rsidR="005E2222" w:rsidRPr="001836F4">
        <w:t>Sciences’</w:t>
      </w:r>
      <w:r w:rsidRPr="001836F4">
        <w:t xml:space="preserve"> flagship product for AD, </w:t>
      </w:r>
      <w:r w:rsidR="1EB5EFA6">
        <w:t xml:space="preserve">shares the </w:t>
      </w:r>
      <w:r w:rsidR="005B0FF2" w:rsidRPr="001836F4">
        <w:t>same</w:t>
      </w:r>
      <w:r w:rsidRPr="001836F4">
        <w:t xml:space="preserve"> </w:t>
      </w:r>
      <w:r w:rsidR="65204040">
        <w:t>target</w:t>
      </w:r>
      <w:r w:rsidR="001E1C7E" w:rsidRPr="001836F4">
        <w:t xml:space="preserve"> established</w:t>
      </w:r>
      <w:r w:rsidR="00512FA6" w:rsidRPr="001836F4">
        <w:t xml:space="preserve"> by </w:t>
      </w:r>
      <w:r w:rsidRPr="001836F4">
        <w:t>Dr. Hoau-Yan Wang</w:t>
      </w:r>
      <w:r w:rsidR="48236DE0">
        <w:t xml:space="preserve"> for </w:t>
      </w:r>
      <w:r w:rsidR="00BD5394" w:rsidRPr="001836F4">
        <w:t>N</w:t>
      </w:r>
      <w:r w:rsidRPr="001836F4">
        <w:t>aloxone</w:t>
      </w:r>
      <w:r w:rsidR="1EB5EFA6">
        <w:t xml:space="preserve"> (</w:t>
      </w:r>
      <w:r w:rsidR="0C833D87">
        <w:t>VAKGL).</w:t>
      </w:r>
      <w:r w:rsidR="00BD5394" w:rsidRPr="001836F4">
        <w:t xml:space="preserve"> </w:t>
      </w:r>
      <w:r w:rsidR="5D119E19" w:rsidRPr="001836F4">
        <w:t xml:space="preserve">Simufilam and </w:t>
      </w:r>
      <w:r w:rsidR="1A3D48D2">
        <w:t>Naloxone both</w:t>
      </w:r>
      <w:r w:rsidR="5D119E19" w:rsidRPr="001836F4">
        <w:t xml:space="preserve"> have a similar – if not identical –</w:t>
      </w:r>
      <w:r w:rsidR="48236DE0">
        <w:t xml:space="preserve"> </w:t>
      </w:r>
      <w:r w:rsidR="1B756038">
        <w:t>target,</w:t>
      </w:r>
      <w:r w:rsidR="5D119E19" w:rsidRPr="001836F4">
        <w:t xml:space="preserve"> the scaffolding protein FLNA. Cassava</w:t>
      </w:r>
      <w:r w:rsidR="005E2222" w:rsidRPr="001836F4">
        <w:t xml:space="preserve"> </w:t>
      </w:r>
      <w:r w:rsidR="48236DE0">
        <w:t xml:space="preserve">Sciences </w:t>
      </w:r>
      <w:r w:rsidR="005E2222" w:rsidRPr="001836F4">
        <w:t xml:space="preserve">now </w:t>
      </w:r>
      <w:r w:rsidR="5D119E19" w:rsidRPr="001836F4">
        <w:t>claims</w:t>
      </w:r>
      <w:r w:rsidR="005E2222" w:rsidRPr="001836F4">
        <w:t xml:space="preserve"> that misfolded FLNA contributes to Alzheimer's pathology.</w:t>
      </w:r>
    </w:p>
    <w:p w14:paraId="01F06519" w14:textId="77777777" w:rsidR="005E2222" w:rsidRPr="001836F4" w:rsidRDefault="005E2222" w:rsidP="00F84A37">
      <w:pPr>
        <w:spacing w:line="360" w:lineRule="auto"/>
        <w:jc w:val="both"/>
      </w:pPr>
    </w:p>
    <w:p w14:paraId="372DF216" w14:textId="7A18C16C" w:rsidR="005D6CEF" w:rsidRPr="001836F4" w:rsidRDefault="005E5B9E" w:rsidP="00F84A37">
      <w:pPr>
        <w:spacing w:line="360" w:lineRule="auto"/>
        <w:jc w:val="both"/>
      </w:pPr>
      <w:r w:rsidRPr="001836F4">
        <w:t xml:space="preserve">In 2019, to reflect this shift in focus the company rebranded as </w:t>
      </w:r>
      <w:r w:rsidRPr="001836F4">
        <w:rPr>
          <w:i/>
        </w:rPr>
        <w:t>Cassava Sciences</w:t>
      </w:r>
      <w:r w:rsidRPr="001836F4">
        <w:t>. Simufilam is now positioned as a novel treatment for AD</w:t>
      </w:r>
      <w:r w:rsidR="00AA0A6B">
        <w:t xml:space="preserve"> </w:t>
      </w:r>
      <w:r w:rsidR="00AA0A6B" w:rsidRPr="00AA0A6B">
        <w:t>(</w:t>
      </w:r>
      <w:hyperlink r:id="rId13" w:history="1">
        <w:r w:rsidR="00AA0A6B" w:rsidRPr="00013AA1">
          <w:rPr>
            <w:rStyle w:val="Hyperlink"/>
            <w:i/>
            <w:iCs/>
          </w:rPr>
          <w:t>PTIE 8-K 20190327</w:t>
        </w:r>
        <w:r w:rsidR="00AA0A6B" w:rsidRPr="00013AA1">
          <w:rPr>
            <w:rStyle w:val="Hyperlink"/>
          </w:rPr>
          <w:t xml:space="preserve">, </w:t>
        </w:r>
        <w:r w:rsidR="0042722B" w:rsidRPr="00013AA1">
          <w:rPr>
            <w:rStyle w:val="Hyperlink"/>
          </w:rPr>
          <w:t>2019</w:t>
        </w:r>
      </w:hyperlink>
      <w:r w:rsidR="00AA0A6B" w:rsidRPr="00AA0A6B">
        <w:t>)</w:t>
      </w:r>
      <w:r w:rsidR="5D119E19" w:rsidRPr="001836F4">
        <w:t>.</w:t>
      </w:r>
    </w:p>
    <w:p w14:paraId="42EF53EB" w14:textId="77777777" w:rsidR="00116E8C" w:rsidRPr="001836F4" w:rsidRDefault="00116E8C" w:rsidP="00F84A37">
      <w:pPr>
        <w:spacing w:line="360" w:lineRule="auto"/>
        <w:jc w:val="both"/>
        <w:rPr>
          <w:b/>
          <w:bCs/>
        </w:rPr>
      </w:pPr>
    </w:p>
    <w:p w14:paraId="6EC35424" w14:textId="77777777" w:rsidR="00F3045D" w:rsidRPr="001836F4" w:rsidRDefault="00F3045D" w:rsidP="00F84A37">
      <w:pPr>
        <w:spacing w:line="360" w:lineRule="auto"/>
        <w:jc w:val="both"/>
        <w:rPr>
          <w:b/>
          <w:bCs/>
        </w:rPr>
      </w:pPr>
    </w:p>
    <w:p w14:paraId="17CAB0B1" w14:textId="77777777" w:rsidR="00F3045D" w:rsidRPr="001836F4" w:rsidRDefault="00F3045D" w:rsidP="00F84A37">
      <w:pPr>
        <w:spacing w:line="360" w:lineRule="auto"/>
        <w:jc w:val="both"/>
        <w:rPr>
          <w:b/>
          <w:bCs/>
        </w:rPr>
      </w:pPr>
    </w:p>
    <w:p w14:paraId="37273F56" w14:textId="77777777" w:rsidR="007B5137" w:rsidRPr="001836F4" w:rsidRDefault="5183A6D9" w:rsidP="5183A6D9">
      <w:pPr>
        <w:pStyle w:val="Heading2"/>
        <w:spacing w:line="360" w:lineRule="auto"/>
        <w:rPr>
          <w:rFonts w:ascii="Times New Roman" w:hAnsi="Times New Roman" w:cs="Times New Roman"/>
          <w:b/>
          <w:bCs/>
          <w:color w:val="auto"/>
        </w:rPr>
      </w:pPr>
      <w:bookmarkStart w:id="13" w:name="_Toc1739044869"/>
      <w:r w:rsidRPr="5183A6D9">
        <w:rPr>
          <w:rFonts w:ascii="Times New Roman" w:hAnsi="Times New Roman" w:cs="Times New Roman"/>
          <w:b/>
          <w:bCs/>
          <w:color w:val="auto"/>
        </w:rPr>
        <w:t>Simufilam's Proposed Mechanism of Action</w:t>
      </w:r>
      <w:bookmarkEnd w:id="13"/>
    </w:p>
    <w:p w14:paraId="77B5A972" w14:textId="61308D0F" w:rsidR="007B5137" w:rsidRPr="001836F4" w:rsidRDefault="007B5137" w:rsidP="00F84A37">
      <w:pPr>
        <w:spacing w:line="360" w:lineRule="auto"/>
        <w:jc w:val="both"/>
      </w:pPr>
      <w:r w:rsidRPr="001836F4">
        <w:t>Cassava Sciences claims that Simufilam works by targeting FLNA</w:t>
      </w:r>
      <w:r w:rsidR="5D119E19" w:rsidRPr="001836F4">
        <w:t>,</w:t>
      </w:r>
      <w:r w:rsidRPr="001836F4">
        <w:t xml:space="preserve"> a scaffolding protein that plays a role in various cellular processes, including the regulation of the cytoskeleton and cell signaling. According to Cassava</w:t>
      </w:r>
      <w:r w:rsidR="5D119E19" w:rsidRPr="001836F4">
        <w:t xml:space="preserve"> </w:t>
      </w:r>
      <w:r w:rsidR="48236DE0">
        <w:t xml:space="preserve">Sciences </w:t>
      </w:r>
      <w:r w:rsidR="5D119E19" w:rsidRPr="001836F4">
        <w:t>-</w:t>
      </w:r>
      <w:r w:rsidRPr="001836F4">
        <w:t xml:space="preserve"> in A</w:t>
      </w:r>
      <w:r w:rsidR="005E2222" w:rsidRPr="001836F4">
        <w:t>D</w:t>
      </w:r>
      <w:r w:rsidR="5D119E19" w:rsidRPr="001836F4">
        <w:t xml:space="preserve"> -</w:t>
      </w:r>
      <w:r w:rsidRPr="001836F4">
        <w:t xml:space="preserve"> FLNA becomes misfolded</w:t>
      </w:r>
      <w:r w:rsidR="5D119E19" w:rsidRPr="001836F4">
        <w:t xml:space="preserve"> causing a disruption of</w:t>
      </w:r>
      <w:r w:rsidRPr="001836F4">
        <w:t xml:space="preserve"> its normal role and contributing to pathological signaling</w:t>
      </w:r>
      <w:r w:rsidR="00793DAB">
        <w:t xml:space="preserve"> (</w:t>
      </w:r>
      <w:hyperlink r:id="rId14">
        <w:r w:rsidR="6DB55A84" w:rsidRPr="6DB55A84">
          <w:rPr>
            <w:rStyle w:val="Hyperlink"/>
          </w:rPr>
          <w:t>Cassava Sciences, 2024</w:t>
        </w:r>
      </w:hyperlink>
      <w:r w:rsidR="00784A24">
        <w:t xml:space="preserve">). </w:t>
      </w:r>
      <w:r w:rsidRPr="001836F4">
        <w:t xml:space="preserve">Specifically, Cassava </w:t>
      </w:r>
      <w:r w:rsidR="47DCF5D9">
        <w:t>Sciences</w:t>
      </w:r>
      <w:r w:rsidR="6DB55A84">
        <w:t xml:space="preserve"> </w:t>
      </w:r>
      <w:r w:rsidRPr="001836F4">
        <w:t xml:space="preserve">posits that misfolded FLNA enhances the interaction between </w:t>
      </w:r>
      <w:r w:rsidR="48236DE0">
        <w:t>Amyloid beta (</w:t>
      </w:r>
      <w:r w:rsidRPr="001836F4">
        <w:t>Aβ</w:t>
      </w:r>
      <w:r w:rsidR="48236DE0">
        <w:t>)</w:t>
      </w:r>
      <w:r w:rsidRPr="001836F4">
        <w:t xml:space="preserve"> oligomers and the α7 nicotinic acetylcholine receptor (nAChR), thereby amplifying the neurotoxic effects of Aβ</w:t>
      </w:r>
      <w:r w:rsidR="00B51D30">
        <w:t xml:space="preserve"> </w:t>
      </w:r>
      <w:r w:rsidR="00FC3BDC">
        <w:t>(</w:t>
      </w:r>
      <w:hyperlink r:id="rId15">
        <w:r w:rsidR="6DB55A84" w:rsidRPr="6DB55A84">
          <w:rPr>
            <w:rStyle w:val="Hyperlink"/>
          </w:rPr>
          <w:t>CTAD 2023 Poster Presentation</w:t>
        </w:r>
      </w:hyperlink>
      <w:r w:rsidR="6DB55A84">
        <w:t>).</w:t>
      </w:r>
      <w:r w:rsidRPr="001836F4">
        <w:t xml:space="preserve"> Simufilam is supposed to restore the normal structure of FLNA, reduce pathological signaling via nAChRs, and improve cognitive function.</w:t>
      </w:r>
      <w:r w:rsidR="5D119E19" w:rsidRPr="001836F4">
        <w:t xml:space="preserve"> Cassava also claims that Simufilam suppress overactive mammalian target of rapamycin (mTOR)</w:t>
      </w:r>
      <w:r w:rsidR="000A1E58">
        <w:t xml:space="preserve"> (</w:t>
      </w:r>
      <w:hyperlink r:id="rId16">
        <w:r w:rsidR="6DB55A84" w:rsidRPr="6DB55A84">
          <w:rPr>
            <w:rStyle w:val="Hyperlink"/>
          </w:rPr>
          <w:t>Press Release, 2023</w:t>
        </w:r>
      </w:hyperlink>
      <w:r w:rsidR="6DB55A84">
        <w:t>), (</w:t>
      </w:r>
      <w:hyperlink r:id="rId17">
        <w:r w:rsidR="6DB55A84" w:rsidRPr="6DB55A84">
          <w:rPr>
            <w:rStyle w:val="Hyperlink"/>
          </w:rPr>
          <w:t>Wang et al., 2023</w:t>
        </w:r>
      </w:hyperlink>
      <w:r w:rsidR="6DB55A84">
        <w:t xml:space="preserve">). </w:t>
      </w:r>
    </w:p>
    <w:p w14:paraId="0F326723" w14:textId="77777777" w:rsidR="007B5137" w:rsidRPr="001836F4" w:rsidRDefault="007B5137" w:rsidP="00F84A37">
      <w:pPr>
        <w:spacing w:line="360" w:lineRule="auto"/>
        <w:jc w:val="both"/>
      </w:pPr>
    </w:p>
    <w:p w14:paraId="399A1A53" w14:textId="08FD74B2" w:rsidR="00FD21A0" w:rsidRPr="001836F4" w:rsidRDefault="007B5137" w:rsidP="00F84A37">
      <w:pPr>
        <w:spacing w:line="360" w:lineRule="auto"/>
        <w:jc w:val="both"/>
      </w:pPr>
      <w:r w:rsidRPr="001836F4">
        <w:t xml:space="preserve">This mechanism </w:t>
      </w:r>
      <w:r w:rsidR="5D119E19" w:rsidRPr="001836F4">
        <w:t>seems</w:t>
      </w:r>
      <w:r w:rsidRPr="001836F4">
        <w:t xml:space="preserve"> appealing because it provides an alternative approach to targeting Aβ directly, focusing instead on a downstream modulator of Aβ toxicity. However, there are several key issues with this hypothesis and the proposed action of Simufilam that warrant a closer examination.</w:t>
      </w:r>
    </w:p>
    <w:p w14:paraId="19B38D96" w14:textId="77777777" w:rsidR="00FD21A0" w:rsidRPr="001836F4" w:rsidRDefault="00FD21A0" w:rsidP="00F84A37">
      <w:pPr>
        <w:spacing w:line="360" w:lineRule="auto"/>
        <w:jc w:val="both"/>
      </w:pPr>
    </w:p>
    <w:p w14:paraId="2225A8BA" w14:textId="77777777" w:rsidR="00D93676" w:rsidRPr="001836F4" w:rsidRDefault="00D93676" w:rsidP="00F84A37">
      <w:pPr>
        <w:spacing w:line="360" w:lineRule="auto"/>
        <w:jc w:val="both"/>
      </w:pPr>
    </w:p>
    <w:p w14:paraId="0261F549" w14:textId="77777777" w:rsidR="00F3045D" w:rsidRPr="001836F4" w:rsidRDefault="00F3045D" w:rsidP="00F84A37">
      <w:pPr>
        <w:spacing w:line="360" w:lineRule="auto"/>
        <w:jc w:val="both"/>
      </w:pPr>
    </w:p>
    <w:p w14:paraId="5295051C" w14:textId="38B4738B" w:rsidR="00D93676" w:rsidRPr="001836F4" w:rsidRDefault="5183A6D9" w:rsidP="5183A6D9">
      <w:pPr>
        <w:pStyle w:val="Heading1"/>
        <w:rPr>
          <w:rFonts w:ascii="Times New Roman" w:eastAsia="Times New Roman" w:hAnsi="Times New Roman" w:cs="Times New Roman"/>
          <w:b/>
          <w:bCs/>
          <w:color w:val="auto"/>
        </w:rPr>
      </w:pPr>
      <w:bookmarkStart w:id="14" w:name="_Toc554401941"/>
      <w:r w:rsidRPr="5183A6D9">
        <w:rPr>
          <w:rFonts w:ascii="Times New Roman" w:eastAsia="Times New Roman" w:hAnsi="Times New Roman" w:cs="Times New Roman"/>
          <w:b/>
          <w:bCs/>
          <w:color w:val="auto"/>
        </w:rPr>
        <w:t>Scientific Factors Proving Simufilam Will Most Likely Fail</w:t>
      </w:r>
      <w:bookmarkEnd w:id="14"/>
    </w:p>
    <w:p w14:paraId="1F842719" w14:textId="7E509F0F" w:rsidR="48236DE0" w:rsidRDefault="48236DE0" w:rsidP="48236DE0">
      <w:pPr>
        <w:spacing w:line="360" w:lineRule="auto"/>
        <w:jc w:val="both"/>
      </w:pPr>
      <w:r>
        <w:t>Several critical scientific factors undermine Simufilam’s proposed mechanism and suggest that it is highly improbable that it will be an effective treatment for AD.</w:t>
      </w:r>
    </w:p>
    <w:p w14:paraId="25F60C07" w14:textId="77777777" w:rsidR="00336E6E" w:rsidRPr="001836F4" w:rsidRDefault="00336E6E" w:rsidP="00F84A37">
      <w:pPr>
        <w:spacing w:line="360" w:lineRule="auto"/>
        <w:jc w:val="both"/>
      </w:pPr>
    </w:p>
    <w:p w14:paraId="7C808790" w14:textId="44DDD005" w:rsidR="00336E6E" w:rsidRPr="001836F4" w:rsidRDefault="00336E6E" w:rsidP="00EB10F6">
      <w:pPr>
        <w:numPr>
          <w:ilvl w:val="0"/>
          <w:numId w:val="22"/>
        </w:numPr>
        <w:spacing w:line="360" w:lineRule="auto"/>
        <w:jc w:val="both"/>
      </w:pPr>
      <w:hyperlink w:anchor="_1._LogP_Value" w:history="1">
        <w:r w:rsidRPr="001836F4">
          <w:rPr>
            <w:rStyle w:val="Hyperlink"/>
            <w:rFonts w:eastAsiaTheme="majorEastAsia"/>
          </w:rPr>
          <w:t>LogP value</w:t>
        </w:r>
      </w:hyperlink>
    </w:p>
    <w:p w14:paraId="69DDA6EE" w14:textId="09DABE50" w:rsidR="00336E6E" w:rsidRPr="001836F4" w:rsidRDefault="00336E6E" w:rsidP="00EB10F6">
      <w:pPr>
        <w:numPr>
          <w:ilvl w:val="0"/>
          <w:numId w:val="22"/>
        </w:numPr>
        <w:spacing w:line="360" w:lineRule="auto"/>
        <w:jc w:val="both"/>
      </w:pPr>
      <w:hyperlink w:anchor="_2._Potential_Problems" w:history="1">
        <w:r w:rsidRPr="001836F4">
          <w:rPr>
            <w:rStyle w:val="Hyperlink"/>
            <w:rFonts w:eastAsiaTheme="majorEastAsia"/>
          </w:rPr>
          <w:t>Potential problem of potency.</w:t>
        </w:r>
      </w:hyperlink>
    </w:p>
    <w:p w14:paraId="7759EFF8" w14:textId="764EA160" w:rsidR="00336E6E" w:rsidRPr="001836F4" w:rsidRDefault="00336E6E" w:rsidP="00EB10F6">
      <w:pPr>
        <w:numPr>
          <w:ilvl w:val="0"/>
          <w:numId w:val="22"/>
        </w:numPr>
        <w:spacing w:line="360" w:lineRule="auto"/>
        <w:jc w:val="both"/>
      </w:pPr>
      <w:hyperlink w:anchor="_3._Protein-Protein_Interactions" w:history="1">
        <w:r w:rsidRPr="001836F4">
          <w:rPr>
            <w:rStyle w:val="Hyperlink"/>
            <w:rFonts w:eastAsiaTheme="majorEastAsia"/>
          </w:rPr>
          <w:t>Protein to protein interaction.</w:t>
        </w:r>
      </w:hyperlink>
    </w:p>
    <w:p w14:paraId="5057F26E" w14:textId="0691D99A" w:rsidR="00336E6E" w:rsidRPr="001836F4" w:rsidRDefault="00336E6E" w:rsidP="00EB10F6">
      <w:pPr>
        <w:numPr>
          <w:ilvl w:val="0"/>
          <w:numId w:val="22"/>
        </w:numPr>
        <w:spacing w:line="360" w:lineRule="auto"/>
        <w:jc w:val="both"/>
      </w:pPr>
      <w:hyperlink w:anchor="_4._Naloxone_Binding" w:history="1">
        <w:r w:rsidRPr="001836F4">
          <w:rPr>
            <w:rStyle w:val="Hyperlink"/>
            <w:rFonts w:eastAsiaTheme="majorEastAsia"/>
          </w:rPr>
          <w:t>Naloxone binding to FLNA (VAKGL peptide in FLNA).</w:t>
        </w:r>
      </w:hyperlink>
    </w:p>
    <w:p w14:paraId="58FC512F" w14:textId="1367E236" w:rsidR="00336E6E" w:rsidRPr="001836F4" w:rsidRDefault="00336E6E" w:rsidP="00EB10F6">
      <w:pPr>
        <w:numPr>
          <w:ilvl w:val="0"/>
          <w:numId w:val="22"/>
        </w:numPr>
        <w:spacing w:line="360" w:lineRule="auto"/>
        <w:jc w:val="both"/>
      </w:pPr>
      <w:hyperlink w:anchor="_5._FLNA_Discords" w:history="1">
        <w:r w:rsidRPr="001836F4">
          <w:rPr>
            <w:rStyle w:val="Hyperlink"/>
            <w:rFonts w:eastAsiaTheme="majorEastAsia"/>
          </w:rPr>
          <w:t>FLNA discords, use in AD and</w:t>
        </w:r>
      </w:hyperlink>
    </w:p>
    <w:p w14:paraId="62C34F24" w14:textId="61377F89" w:rsidR="00336E6E" w:rsidRPr="001836F4" w:rsidRDefault="00336E6E" w:rsidP="00EB10F6">
      <w:pPr>
        <w:numPr>
          <w:ilvl w:val="0"/>
          <w:numId w:val="22"/>
        </w:numPr>
        <w:spacing w:line="360" w:lineRule="auto"/>
        <w:jc w:val="both"/>
      </w:pPr>
      <w:hyperlink w:anchor="_6._Hyperphosphorylation:_Not" w:history="1">
        <w:r w:rsidRPr="001836F4">
          <w:rPr>
            <w:rStyle w:val="Hyperlink"/>
            <w:rFonts w:eastAsiaTheme="majorEastAsia"/>
          </w:rPr>
          <w:t>Hyperphosphorylation- Not a kinase</w:t>
        </w:r>
      </w:hyperlink>
    </w:p>
    <w:p w14:paraId="79BFF476" w14:textId="7BC1807F" w:rsidR="00336E6E" w:rsidRPr="001836F4" w:rsidRDefault="00336E6E" w:rsidP="00EB10F6">
      <w:pPr>
        <w:numPr>
          <w:ilvl w:val="0"/>
          <w:numId w:val="22"/>
        </w:numPr>
        <w:spacing w:line="360" w:lineRule="auto"/>
        <w:jc w:val="both"/>
      </w:pPr>
      <w:hyperlink w:anchor="_7._α7_Nicotinic" w:history="1">
        <w:r w:rsidRPr="001836F4">
          <w:rPr>
            <w:rStyle w:val="Hyperlink"/>
            <w:rFonts w:eastAsiaTheme="majorEastAsia"/>
          </w:rPr>
          <w:t>Alpha 7 already used and failed in AD both inhibited and activated.</w:t>
        </w:r>
      </w:hyperlink>
    </w:p>
    <w:p w14:paraId="541251A5" w14:textId="25BE31E2" w:rsidR="00336E6E" w:rsidRPr="001836F4" w:rsidRDefault="00336E6E" w:rsidP="00EB10F6">
      <w:pPr>
        <w:numPr>
          <w:ilvl w:val="0"/>
          <w:numId w:val="22"/>
        </w:numPr>
        <w:spacing w:line="360" w:lineRule="auto"/>
        <w:jc w:val="both"/>
      </w:pPr>
      <w:hyperlink w:anchor="_8._Aβ42_Toxicity:" w:history="1">
        <w:r w:rsidRPr="001836F4">
          <w:rPr>
            <w:rStyle w:val="Hyperlink"/>
            <w:rFonts w:eastAsiaTheme="majorEastAsia"/>
          </w:rPr>
          <w:t>AB42 toxicity is from too many causes – Lack of Direct Amyloid Clearance and no tau solution.</w:t>
        </w:r>
      </w:hyperlink>
    </w:p>
    <w:p w14:paraId="5DD30DAB" w14:textId="4B693FA2" w:rsidR="00336E6E" w:rsidRPr="001836F4" w:rsidRDefault="5183A6D9" w:rsidP="5183A6D9">
      <w:pPr>
        <w:numPr>
          <w:ilvl w:val="0"/>
          <w:numId w:val="22"/>
        </w:numPr>
        <w:spacing w:line="360" w:lineRule="auto"/>
        <w:jc w:val="both"/>
        <w:rPr>
          <w:rFonts w:eastAsiaTheme="majorEastAsia"/>
        </w:rPr>
      </w:pPr>
      <w:hyperlink w:anchor="_9._Dimebon_Phase">
        <w:r w:rsidRPr="5183A6D9">
          <w:rPr>
            <w:rStyle w:val="Hyperlink"/>
            <w:rFonts w:eastAsiaTheme="majorEastAsia"/>
          </w:rPr>
          <w:t>Dimebone Phase III fail</w:t>
        </w:r>
      </w:hyperlink>
    </w:p>
    <w:p w14:paraId="313C972E" w14:textId="77777777" w:rsidR="00336E6E" w:rsidRPr="001836F4" w:rsidRDefault="00336E6E" w:rsidP="00F84A37">
      <w:pPr>
        <w:spacing w:line="360" w:lineRule="auto"/>
        <w:jc w:val="both"/>
      </w:pPr>
    </w:p>
    <w:p w14:paraId="56106E24" w14:textId="77777777" w:rsidR="00D93676" w:rsidRPr="001836F4" w:rsidRDefault="00D93676" w:rsidP="00F84A37">
      <w:pPr>
        <w:spacing w:line="360" w:lineRule="auto"/>
        <w:jc w:val="both"/>
      </w:pPr>
    </w:p>
    <w:p w14:paraId="630E455E" w14:textId="77777777" w:rsidR="00017998" w:rsidRPr="001836F4" w:rsidRDefault="5183A6D9" w:rsidP="5183A6D9">
      <w:pPr>
        <w:pStyle w:val="Heading2"/>
        <w:rPr>
          <w:rFonts w:ascii="Times New Roman" w:eastAsia="Times New Roman" w:hAnsi="Times New Roman" w:cs="Times New Roman"/>
          <w:b/>
          <w:bCs/>
          <w:color w:val="auto"/>
        </w:rPr>
      </w:pPr>
      <w:bookmarkStart w:id="15" w:name="_1._LogP_Value"/>
      <w:bookmarkStart w:id="16" w:name="_Toc221904482"/>
      <w:bookmarkEnd w:id="15"/>
      <w:r w:rsidRPr="5183A6D9">
        <w:rPr>
          <w:rFonts w:ascii="Times New Roman" w:eastAsia="Times New Roman" w:hAnsi="Times New Roman" w:cs="Times New Roman"/>
          <w:b/>
          <w:bCs/>
          <w:color w:val="auto"/>
        </w:rPr>
        <w:t>1. LogP Value and Drug Bioavailability</w:t>
      </w:r>
      <w:bookmarkEnd w:id="16"/>
    </w:p>
    <w:p w14:paraId="35880B54" w14:textId="613A01CC" w:rsidR="00017998" w:rsidRPr="001836F4" w:rsidRDefault="00017998" w:rsidP="00F84A37">
      <w:pPr>
        <w:spacing w:line="360" w:lineRule="auto"/>
        <w:jc w:val="both"/>
      </w:pPr>
      <w:r w:rsidRPr="001836F4">
        <w:t xml:space="preserve">The </w:t>
      </w:r>
      <w:r w:rsidR="48236DE0">
        <w:t xml:space="preserve">octanol-water partition coefficient </w:t>
      </w:r>
      <w:r w:rsidR="3D3BA926">
        <w:t>(logP</w:t>
      </w:r>
      <w:r w:rsidRPr="001836F4">
        <w:t xml:space="preserve">) value of a drug is a key determinant of its bioavailability, particularly in crossing the blood-brain barrier (BBB). For an </w:t>
      </w:r>
      <w:r w:rsidR="00663E66">
        <w:t>AD</w:t>
      </w:r>
      <w:r w:rsidRPr="001836F4">
        <w:t xml:space="preserve"> drug to be effective, it must efficiently penetrate the brain. Simufilam’s LogP value</w:t>
      </w:r>
      <w:r w:rsidR="18CBCAB4">
        <w:t xml:space="preserve"> - </w:t>
      </w:r>
      <w:r w:rsidRPr="001836F4">
        <w:t>the balance of its hydrophilic and lipophilic properties</w:t>
      </w:r>
      <w:r w:rsidR="18CBCAB4">
        <w:t xml:space="preserve"> - </w:t>
      </w:r>
      <w:r w:rsidRPr="001836F4">
        <w:t>determines whether the drug can adequately reach its target in the brain. If the LogP is too low, it won't cross the BBB, and if too high, it may accumulate in fatty tissues, leading to toxicity or poor brain penetration.</w:t>
      </w:r>
    </w:p>
    <w:p w14:paraId="48AD48CC" w14:textId="77777777" w:rsidR="00346FED" w:rsidRPr="001836F4" w:rsidRDefault="00346FED" w:rsidP="00F84A37">
      <w:pPr>
        <w:spacing w:line="360" w:lineRule="auto"/>
        <w:jc w:val="both"/>
      </w:pPr>
    </w:p>
    <w:p w14:paraId="3C246F08" w14:textId="18A461B2" w:rsidR="005E3C3B" w:rsidRPr="001836F4" w:rsidRDefault="00346FED" w:rsidP="7CC4D4A5">
      <w:pPr>
        <w:spacing w:line="360" w:lineRule="auto"/>
        <w:jc w:val="both"/>
        <w:rPr>
          <w:rFonts w:eastAsiaTheme="majorEastAsia"/>
        </w:rPr>
      </w:pPr>
      <w:r w:rsidRPr="001836F4">
        <w:rPr>
          <w:rFonts w:eastAsiaTheme="majorEastAsia"/>
        </w:rPr>
        <w:t xml:space="preserve">Looking at Simufilam’s properties one thing can directly strike us, </w:t>
      </w:r>
      <w:r w:rsidR="74248463" w:rsidRPr="74248463">
        <w:rPr>
          <w:rFonts w:eastAsiaTheme="majorEastAsia"/>
        </w:rPr>
        <w:t xml:space="preserve">its LogP </w:t>
      </w:r>
      <w:r w:rsidRPr="001836F4">
        <w:rPr>
          <w:rFonts w:eastAsiaTheme="majorEastAsia"/>
        </w:rPr>
        <w:t xml:space="preserve">and half-life </w:t>
      </w:r>
      <w:r w:rsidR="74248463" w:rsidRPr="74248463">
        <w:rPr>
          <w:rFonts w:eastAsiaTheme="majorEastAsia"/>
        </w:rPr>
        <w:t>values.</w:t>
      </w:r>
      <w:r w:rsidRPr="001836F4">
        <w:rPr>
          <w:rFonts w:eastAsiaTheme="majorEastAsia"/>
        </w:rPr>
        <w:t xml:space="preserve"> </w:t>
      </w:r>
      <w:r w:rsidR="6AEC362B" w:rsidRPr="6AEC362B">
        <w:rPr>
          <w:rFonts w:eastAsiaTheme="majorEastAsia"/>
        </w:rPr>
        <w:t>Both</w:t>
      </w:r>
      <w:r w:rsidR="19A43462" w:rsidRPr="19A43462">
        <w:rPr>
          <w:rFonts w:eastAsiaTheme="majorEastAsia"/>
        </w:rPr>
        <w:t xml:space="preserve"> values </w:t>
      </w:r>
      <w:r w:rsidRPr="001836F4">
        <w:rPr>
          <w:rFonts w:eastAsiaTheme="majorEastAsia"/>
        </w:rPr>
        <w:t xml:space="preserve">are critical in the impact and influence of </w:t>
      </w:r>
      <w:r w:rsidR="19A43462" w:rsidRPr="19A43462">
        <w:rPr>
          <w:rFonts w:eastAsiaTheme="majorEastAsia"/>
        </w:rPr>
        <w:t>a</w:t>
      </w:r>
      <w:r w:rsidRPr="001836F4">
        <w:rPr>
          <w:rFonts w:eastAsiaTheme="majorEastAsia"/>
        </w:rPr>
        <w:t xml:space="preserve"> drug </w:t>
      </w:r>
      <w:r w:rsidR="19A43462" w:rsidRPr="19A43462">
        <w:rPr>
          <w:rFonts w:eastAsiaTheme="majorEastAsia"/>
        </w:rPr>
        <w:t xml:space="preserve">and </w:t>
      </w:r>
      <w:r w:rsidRPr="001836F4">
        <w:rPr>
          <w:rFonts w:eastAsiaTheme="majorEastAsia"/>
        </w:rPr>
        <w:t xml:space="preserve">are lacking for Simufilam. With a reported LogP value of 1.1 and a half-life of 4.5 hours </w:t>
      </w:r>
      <w:r w:rsidR="007830DE" w:rsidRPr="001836F4">
        <w:rPr>
          <w:rFonts w:eastAsiaTheme="majorEastAsia"/>
        </w:rPr>
        <w:t>(</w:t>
      </w:r>
      <w:hyperlink r:id="rId18">
        <w:r w:rsidR="3290C418" w:rsidRPr="001836F4">
          <w:rPr>
            <w:rStyle w:val="Hyperlink"/>
            <w:rFonts w:eastAsiaTheme="majorEastAsia"/>
          </w:rPr>
          <w:t>PubChem</w:t>
        </w:r>
      </w:hyperlink>
      <w:r w:rsidR="007830DE" w:rsidRPr="001836F4">
        <w:rPr>
          <w:rFonts w:eastAsiaTheme="majorEastAsia"/>
        </w:rPr>
        <w:t>)</w:t>
      </w:r>
      <w:r w:rsidR="00550A26" w:rsidRPr="001836F4">
        <w:rPr>
          <w:rFonts w:eastAsiaTheme="majorEastAsia"/>
        </w:rPr>
        <w:t xml:space="preserve"> (</w:t>
      </w:r>
      <w:hyperlink r:id="rId19">
        <w:r w:rsidR="3290C418" w:rsidRPr="001836F4">
          <w:rPr>
            <w:rStyle w:val="Hyperlink"/>
            <w:rFonts w:eastAsiaTheme="majorEastAsia"/>
          </w:rPr>
          <w:t>Alzheimer’s Drug Discovery Foundation</w:t>
        </w:r>
      </w:hyperlink>
      <w:r w:rsidR="3290C418" w:rsidRPr="001836F4">
        <w:rPr>
          <w:rFonts w:eastAsiaTheme="majorEastAsia"/>
        </w:rPr>
        <w:t>).</w:t>
      </w:r>
    </w:p>
    <w:p w14:paraId="3CAD2F13" w14:textId="71C0B9FF" w:rsidR="005E3C3B" w:rsidRPr="001836F4" w:rsidRDefault="005E3C3B" w:rsidP="0CBAEF00">
      <w:pPr>
        <w:spacing w:line="360" w:lineRule="auto"/>
        <w:jc w:val="both"/>
        <w:rPr>
          <w:rFonts w:eastAsiaTheme="majorEastAsia"/>
        </w:rPr>
      </w:pPr>
    </w:p>
    <w:p w14:paraId="56B2442C" w14:textId="6700872B" w:rsidR="000C16B2" w:rsidRPr="001836F4" w:rsidRDefault="5183A6D9" w:rsidP="32A7158E">
      <w:pPr>
        <w:pStyle w:val="Heading3"/>
        <w:rPr>
          <w:color w:val="auto"/>
        </w:rPr>
      </w:pPr>
      <w:bookmarkStart w:id="17" w:name="_Toc1097754145"/>
      <w:r w:rsidRPr="5183A6D9">
        <w:rPr>
          <w:color w:val="auto"/>
        </w:rPr>
        <w:t>Focusing on the LogP value, and its Importance in Neurodegenerative Diseases such as AD</w:t>
      </w:r>
      <w:bookmarkEnd w:id="17"/>
    </w:p>
    <w:p w14:paraId="7B92BF18" w14:textId="231B88FD" w:rsidR="000C16B2" w:rsidRPr="001836F4" w:rsidRDefault="6A2151E8" w:rsidP="6A2151E8">
      <w:pPr>
        <w:spacing w:line="360" w:lineRule="auto"/>
        <w:jc w:val="both"/>
        <w:rPr>
          <w:rFonts w:eastAsiaTheme="majorEastAsia"/>
        </w:rPr>
      </w:pPr>
      <w:r w:rsidRPr="6A2151E8">
        <w:rPr>
          <w:rFonts w:eastAsiaTheme="majorEastAsia"/>
        </w:rPr>
        <w:t>The LogP is an important physiochemical parameter that takes account of a drug’s hydrophobicity, and how the drug distributes herself in both an aqueous and lipophilic environment (</w:t>
      </w:r>
      <w:hyperlink r:id="rId20">
        <w:r w:rsidRPr="6A2151E8">
          <w:rPr>
            <w:rStyle w:val="Hyperlink"/>
            <w:rFonts w:eastAsiaTheme="majorEastAsia"/>
          </w:rPr>
          <w:t>Ditzinger et al., 2018</w:t>
        </w:r>
      </w:hyperlink>
      <w:r w:rsidRPr="6A2151E8">
        <w:rPr>
          <w:rFonts w:eastAsiaTheme="majorEastAsia"/>
        </w:rPr>
        <w:t xml:space="preserve">). This provides a view of the drug’s performance and reaction in the following behaviors: membrane permeability, absorption, solubility, distribution, binding, excretion, and CNS penetration. </w:t>
      </w:r>
    </w:p>
    <w:p w14:paraId="4666CE72" w14:textId="77777777" w:rsidR="000C16B2" w:rsidRPr="001836F4" w:rsidRDefault="000C16B2" w:rsidP="00F84A37">
      <w:pPr>
        <w:spacing w:line="360" w:lineRule="auto"/>
        <w:jc w:val="both"/>
        <w:rPr>
          <w:rFonts w:eastAsiaTheme="majorEastAsia"/>
        </w:rPr>
      </w:pPr>
    </w:p>
    <w:p w14:paraId="4460CA3E" w14:textId="2B56A4C0" w:rsidR="000C16B2" w:rsidRPr="001836F4" w:rsidRDefault="00346FED" w:rsidP="00F84A37">
      <w:pPr>
        <w:spacing w:line="360" w:lineRule="auto"/>
        <w:jc w:val="both"/>
        <w:rPr>
          <w:rFonts w:eastAsiaTheme="majorEastAsia"/>
        </w:rPr>
      </w:pPr>
      <w:r w:rsidRPr="001836F4">
        <w:rPr>
          <w:rFonts w:eastAsiaTheme="majorEastAsia"/>
        </w:rPr>
        <w:t>In this instance,</w:t>
      </w:r>
      <w:r w:rsidR="0018452B" w:rsidRPr="001836F4">
        <w:rPr>
          <w:rFonts w:eastAsiaTheme="majorEastAsia"/>
        </w:rPr>
        <w:t xml:space="preserve"> for </w:t>
      </w:r>
      <w:r w:rsidRPr="001836F4">
        <w:rPr>
          <w:rFonts w:eastAsiaTheme="majorEastAsia"/>
        </w:rPr>
        <w:t xml:space="preserve">Simufilam we mostly need to focus on the following behaviors: blood-brain barrier penetration (BBB), absorption, distribution to the brain, lipophilicity levels, </w:t>
      </w:r>
      <w:r w:rsidR="4E68188F" w:rsidRPr="001836F4">
        <w:rPr>
          <w:rFonts w:eastAsiaTheme="majorEastAsia"/>
        </w:rPr>
        <w:t xml:space="preserve">and </w:t>
      </w:r>
      <w:r w:rsidRPr="001836F4">
        <w:rPr>
          <w:rFonts w:eastAsiaTheme="majorEastAsia"/>
        </w:rPr>
        <w:t xml:space="preserve">metabolic stability. </w:t>
      </w:r>
      <w:r w:rsidR="70E80DAF" w:rsidRPr="001836F4">
        <w:rPr>
          <w:rFonts w:eastAsiaTheme="majorEastAsia"/>
        </w:rPr>
        <w:t>Generally, for an oral drug that is aimed to treat neurodegenerative diseases, a LogP between 2 and 3 is considered optimal (</w:t>
      </w:r>
      <w:hyperlink r:id="rId21">
        <w:r w:rsidR="70E80DAF" w:rsidRPr="001836F4">
          <w:rPr>
            <w:rStyle w:val="Hyperlink"/>
            <w:rFonts w:eastAsiaTheme="majorEastAsia"/>
          </w:rPr>
          <w:t>Green, 2024</w:t>
        </w:r>
      </w:hyperlink>
      <w:r w:rsidR="70E80DAF" w:rsidRPr="001836F4">
        <w:rPr>
          <w:rFonts w:eastAsiaTheme="majorEastAsia"/>
        </w:rPr>
        <w:t>) (</w:t>
      </w:r>
      <w:hyperlink r:id="rId22">
        <w:r w:rsidR="70E80DAF" w:rsidRPr="001836F4">
          <w:rPr>
            <w:rStyle w:val="Hyperlink"/>
            <w:rFonts w:eastAsiaTheme="majorEastAsia"/>
          </w:rPr>
          <w:t>Durrant Lab</w:t>
        </w:r>
      </w:hyperlink>
      <w:r w:rsidR="70E80DAF" w:rsidRPr="001836F4">
        <w:rPr>
          <w:rFonts w:eastAsiaTheme="majorEastAsia"/>
        </w:rPr>
        <w:t>).</w:t>
      </w:r>
    </w:p>
    <w:p w14:paraId="181F9E21" w14:textId="77777777" w:rsidR="000C16B2" w:rsidRPr="001836F4" w:rsidRDefault="000C16B2" w:rsidP="00F84A37">
      <w:pPr>
        <w:spacing w:line="360" w:lineRule="auto"/>
        <w:jc w:val="both"/>
        <w:rPr>
          <w:rFonts w:eastAsiaTheme="majorEastAsia"/>
        </w:rPr>
      </w:pPr>
    </w:p>
    <w:p w14:paraId="13D7404B" w14:textId="357D6798" w:rsidR="00D968D6" w:rsidRPr="001836F4" w:rsidRDefault="18CBCAB4" w:rsidP="00F84A37">
      <w:pPr>
        <w:spacing w:line="360" w:lineRule="auto"/>
        <w:jc w:val="both"/>
        <w:rPr>
          <w:rFonts w:eastAsiaTheme="majorEastAsia"/>
        </w:rPr>
      </w:pPr>
      <w:r w:rsidRPr="18CBCAB4">
        <w:rPr>
          <w:rFonts w:eastAsiaTheme="majorEastAsia"/>
        </w:rPr>
        <w:t>Furthermore</w:t>
      </w:r>
      <w:r w:rsidR="00346FED" w:rsidRPr="001836F4">
        <w:rPr>
          <w:rFonts w:eastAsiaTheme="majorEastAsia"/>
        </w:rPr>
        <w:t>, with this low LogP value, Simufilam could have multiple problems, such as poor BBB penetration</w:t>
      </w:r>
      <w:r w:rsidRPr="18CBCAB4">
        <w:rPr>
          <w:rFonts w:eastAsiaTheme="majorEastAsia"/>
        </w:rPr>
        <w:t>. Indeed</w:t>
      </w:r>
      <w:r w:rsidR="4109EF22" w:rsidRPr="4109EF22">
        <w:rPr>
          <w:rFonts w:eastAsiaTheme="majorEastAsia"/>
        </w:rPr>
        <w:t>,</w:t>
      </w:r>
      <w:r w:rsidR="00346FED" w:rsidRPr="001836F4">
        <w:rPr>
          <w:rFonts w:eastAsiaTheme="majorEastAsia"/>
        </w:rPr>
        <w:t xml:space="preserve"> with a value of 1.1</w:t>
      </w:r>
      <w:r w:rsidR="4109EF22" w:rsidRPr="4109EF22">
        <w:rPr>
          <w:rFonts w:eastAsiaTheme="majorEastAsia"/>
        </w:rPr>
        <w:t>,</w:t>
      </w:r>
      <w:r w:rsidR="00346FED" w:rsidRPr="001836F4">
        <w:rPr>
          <w:rFonts w:eastAsiaTheme="majorEastAsia"/>
        </w:rPr>
        <w:t xml:space="preserve"> </w:t>
      </w:r>
      <w:r w:rsidR="43D25C6D" w:rsidRPr="43D25C6D">
        <w:rPr>
          <w:rFonts w:eastAsiaTheme="majorEastAsia"/>
        </w:rPr>
        <w:t>this</w:t>
      </w:r>
      <w:r w:rsidR="00346FED" w:rsidRPr="001836F4">
        <w:rPr>
          <w:rFonts w:eastAsiaTheme="majorEastAsia"/>
        </w:rPr>
        <w:t xml:space="preserve"> indicates that Simufilam is relatively water-soluble</w:t>
      </w:r>
      <w:r w:rsidR="4109EF22" w:rsidRPr="4109EF22">
        <w:rPr>
          <w:rFonts w:eastAsiaTheme="majorEastAsia"/>
        </w:rPr>
        <w:t xml:space="preserve">. While this </w:t>
      </w:r>
      <w:r w:rsidR="00346FED" w:rsidRPr="001836F4">
        <w:rPr>
          <w:rFonts w:eastAsiaTheme="majorEastAsia"/>
        </w:rPr>
        <w:t xml:space="preserve">may help with dissolution in the gastrointestinal tract, it is certainly not </w:t>
      </w:r>
      <w:r w:rsidR="43D25C6D" w:rsidRPr="43D25C6D">
        <w:rPr>
          <w:rFonts w:eastAsiaTheme="majorEastAsia"/>
        </w:rPr>
        <w:t>advantageous</w:t>
      </w:r>
      <w:r w:rsidR="00346FED" w:rsidRPr="001836F4">
        <w:rPr>
          <w:rFonts w:eastAsiaTheme="majorEastAsia"/>
        </w:rPr>
        <w:t xml:space="preserve"> </w:t>
      </w:r>
      <w:r w:rsidR="4109EF22" w:rsidRPr="4109EF22">
        <w:rPr>
          <w:rFonts w:eastAsiaTheme="majorEastAsia"/>
        </w:rPr>
        <w:t>when</w:t>
      </w:r>
      <w:r w:rsidR="00346FED" w:rsidRPr="001836F4">
        <w:rPr>
          <w:rFonts w:eastAsiaTheme="majorEastAsia"/>
        </w:rPr>
        <w:t xml:space="preserve"> crossing the BBB</w:t>
      </w:r>
      <w:r w:rsidR="4109EF22" w:rsidRPr="4109EF22">
        <w:rPr>
          <w:rFonts w:eastAsiaTheme="majorEastAsia"/>
        </w:rPr>
        <w:t>,</w:t>
      </w:r>
      <w:r w:rsidR="00346FED" w:rsidRPr="001836F4">
        <w:rPr>
          <w:rFonts w:eastAsiaTheme="majorEastAsia"/>
        </w:rPr>
        <w:t xml:space="preserve"> as it may encounter difficulties</w:t>
      </w:r>
      <w:r w:rsidR="2CE7C94F" w:rsidRPr="2CE7C94F">
        <w:rPr>
          <w:rFonts w:eastAsiaTheme="majorEastAsia"/>
        </w:rPr>
        <w:t>, as</w:t>
      </w:r>
      <w:r w:rsidR="00346FED" w:rsidRPr="001836F4">
        <w:rPr>
          <w:rFonts w:eastAsiaTheme="majorEastAsia"/>
        </w:rPr>
        <w:t xml:space="preserve"> this membrane is rich in </w:t>
      </w:r>
      <w:r w:rsidR="4109EF22" w:rsidRPr="4109EF22">
        <w:rPr>
          <w:rFonts w:eastAsiaTheme="majorEastAsia"/>
        </w:rPr>
        <w:t xml:space="preserve">lipids. </w:t>
      </w:r>
      <w:r w:rsidR="00346FED" w:rsidRPr="001836F4">
        <w:rPr>
          <w:rFonts w:eastAsiaTheme="majorEastAsia"/>
        </w:rPr>
        <w:t>(</w:t>
      </w:r>
      <w:r w:rsidR="00346FED" w:rsidRPr="001836F4">
        <w:rPr>
          <w:rFonts w:eastAsiaTheme="majorEastAsia"/>
          <w:i/>
          <w:iCs/>
        </w:rPr>
        <w:t>Current Opinion in Molecular Therapeutics</w:t>
      </w:r>
      <w:r w:rsidR="00346FED" w:rsidRPr="001836F4">
        <w:rPr>
          <w:rFonts w:eastAsiaTheme="majorEastAsia"/>
        </w:rPr>
        <w:t xml:space="preserve">, 7(4), 408-413). </w:t>
      </w:r>
    </w:p>
    <w:p w14:paraId="42B58D19" w14:textId="77777777" w:rsidR="00D968D6" w:rsidRPr="001836F4" w:rsidRDefault="00D968D6" w:rsidP="00F84A37">
      <w:pPr>
        <w:spacing w:line="360" w:lineRule="auto"/>
        <w:jc w:val="both"/>
        <w:rPr>
          <w:rFonts w:eastAsiaTheme="majorEastAsia"/>
        </w:rPr>
      </w:pPr>
    </w:p>
    <w:p w14:paraId="75E9C6EE" w14:textId="03F0F16A" w:rsidR="00642CCC" w:rsidRPr="001836F4" w:rsidRDefault="00346FED" w:rsidP="00F84A37">
      <w:pPr>
        <w:spacing w:line="360" w:lineRule="auto"/>
        <w:jc w:val="both"/>
        <w:rPr>
          <w:rFonts w:eastAsiaTheme="majorEastAsia"/>
        </w:rPr>
      </w:pPr>
      <w:r w:rsidRPr="001836F4">
        <w:rPr>
          <w:rFonts w:eastAsiaTheme="majorEastAsia"/>
        </w:rPr>
        <w:t>Simufilam needs to enter the CNS</w:t>
      </w:r>
      <w:r w:rsidR="4109EF22" w:rsidRPr="4109EF22">
        <w:rPr>
          <w:rFonts w:eastAsiaTheme="majorEastAsia"/>
        </w:rPr>
        <w:t xml:space="preserve">; its </w:t>
      </w:r>
      <w:r w:rsidRPr="001836F4">
        <w:rPr>
          <w:rFonts w:eastAsiaTheme="majorEastAsia"/>
        </w:rPr>
        <w:t xml:space="preserve">low LogP value indicates that it is prone to </w:t>
      </w:r>
      <w:r w:rsidR="4109EF22" w:rsidRPr="4109EF22">
        <w:rPr>
          <w:rFonts w:eastAsiaTheme="majorEastAsia"/>
        </w:rPr>
        <w:t xml:space="preserve">having issues </w:t>
      </w:r>
      <w:r w:rsidRPr="001836F4">
        <w:rPr>
          <w:rFonts w:eastAsiaTheme="majorEastAsia"/>
        </w:rPr>
        <w:t xml:space="preserve">crossing this membrane smoothly and </w:t>
      </w:r>
      <w:r w:rsidR="435DD72B" w:rsidRPr="001836F4">
        <w:rPr>
          <w:rFonts w:eastAsiaTheme="majorEastAsia"/>
        </w:rPr>
        <w:t>attaining</w:t>
      </w:r>
      <w:r w:rsidRPr="001836F4">
        <w:rPr>
          <w:rFonts w:eastAsiaTheme="majorEastAsia"/>
        </w:rPr>
        <w:t xml:space="preserve"> the primary site of the disease. As a hydrophilic drug, Simufilam will be at advantage when dissolving in the digestive tract, </w:t>
      </w:r>
      <w:r w:rsidR="1DBB0CA6" w:rsidRPr="001836F4">
        <w:rPr>
          <w:rFonts w:eastAsiaTheme="majorEastAsia"/>
        </w:rPr>
        <w:t xml:space="preserve">as stated previously, </w:t>
      </w:r>
      <w:r w:rsidRPr="001836F4">
        <w:rPr>
          <w:rFonts w:eastAsiaTheme="majorEastAsia"/>
        </w:rPr>
        <w:t>however it could have clear issues with its absorption through the intestinal lining into the bloodstream. This is because lipid membranes</w:t>
      </w:r>
      <w:r w:rsidR="4109EF22" w:rsidRPr="4109EF22">
        <w:rPr>
          <w:rFonts w:eastAsiaTheme="majorEastAsia"/>
        </w:rPr>
        <w:t>,</w:t>
      </w:r>
      <w:r w:rsidRPr="001836F4">
        <w:rPr>
          <w:rFonts w:eastAsiaTheme="majorEastAsia"/>
        </w:rPr>
        <w:t xml:space="preserve"> such as those in intestinal cells</w:t>
      </w:r>
      <w:r w:rsidR="4109EF22" w:rsidRPr="4109EF22">
        <w:rPr>
          <w:rFonts w:eastAsiaTheme="majorEastAsia"/>
        </w:rPr>
        <w:t>,</w:t>
      </w:r>
      <w:r w:rsidRPr="001836F4">
        <w:rPr>
          <w:rFonts w:eastAsiaTheme="majorEastAsia"/>
        </w:rPr>
        <w:t xml:space="preserve"> act as barriers to absorption </w:t>
      </w:r>
      <w:r w:rsidR="00527777" w:rsidRPr="001836F4">
        <w:rPr>
          <w:rFonts w:eastAsiaTheme="majorEastAsia"/>
        </w:rPr>
        <w:t>(</w:t>
      </w:r>
      <w:hyperlink r:id="rId23">
        <w:r w:rsidR="435DD72B" w:rsidRPr="001836F4">
          <w:rPr>
            <w:rStyle w:val="Hyperlink"/>
            <w:rFonts w:eastAsiaTheme="majorEastAsia"/>
          </w:rPr>
          <w:t>Hayton, 1980</w:t>
        </w:r>
      </w:hyperlink>
      <w:r w:rsidR="00527777" w:rsidRPr="001836F4">
        <w:rPr>
          <w:rFonts w:eastAsiaTheme="majorEastAsia"/>
        </w:rPr>
        <w:t>)</w:t>
      </w:r>
      <w:r w:rsidR="00F55BBF" w:rsidRPr="001836F4">
        <w:rPr>
          <w:rFonts w:eastAsiaTheme="majorEastAsia"/>
        </w:rPr>
        <w:t>,</w:t>
      </w:r>
      <w:r w:rsidR="00527777" w:rsidRPr="001836F4">
        <w:rPr>
          <w:rFonts w:eastAsiaTheme="majorEastAsia"/>
        </w:rPr>
        <w:t xml:space="preserve"> </w:t>
      </w:r>
      <w:r w:rsidRPr="001836F4">
        <w:rPr>
          <w:rFonts w:eastAsiaTheme="majorEastAsia"/>
        </w:rPr>
        <w:t xml:space="preserve">and Simufilam lacks </w:t>
      </w:r>
      <w:r w:rsidR="4109EF22" w:rsidRPr="4109EF22">
        <w:rPr>
          <w:rFonts w:eastAsiaTheme="majorEastAsia"/>
        </w:rPr>
        <w:t xml:space="preserve">the </w:t>
      </w:r>
      <w:r w:rsidRPr="001836F4">
        <w:rPr>
          <w:rFonts w:eastAsiaTheme="majorEastAsia"/>
        </w:rPr>
        <w:t xml:space="preserve">lipophilicity </w:t>
      </w:r>
      <w:r w:rsidR="4109EF22" w:rsidRPr="4109EF22">
        <w:rPr>
          <w:rFonts w:eastAsiaTheme="majorEastAsia"/>
        </w:rPr>
        <w:t xml:space="preserve">needed </w:t>
      </w:r>
      <w:r w:rsidRPr="001836F4">
        <w:rPr>
          <w:rFonts w:eastAsiaTheme="majorEastAsia"/>
        </w:rPr>
        <w:t xml:space="preserve">to cross the lipid membranes efficiently. </w:t>
      </w:r>
    </w:p>
    <w:p w14:paraId="1ABF0406" w14:textId="77777777" w:rsidR="00642CCC" w:rsidRPr="001836F4" w:rsidRDefault="00642CCC" w:rsidP="00F84A37">
      <w:pPr>
        <w:spacing w:line="360" w:lineRule="auto"/>
        <w:jc w:val="both"/>
        <w:rPr>
          <w:rFonts w:eastAsiaTheme="majorEastAsia"/>
        </w:rPr>
      </w:pPr>
    </w:p>
    <w:p w14:paraId="31489036" w14:textId="1979B0D9" w:rsidR="00346FED" w:rsidRPr="001836F4" w:rsidRDefault="00DD053C" w:rsidP="00F84A37">
      <w:pPr>
        <w:spacing w:line="360" w:lineRule="auto"/>
        <w:jc w:val="both"/>
        <w:rPr>
          <w:rFonts w:eastAsiaTheme="majorEastAsia"/>
        </w:rPr>
      </w:pPr>
      <w:r w:rsidRPr="001836F4">
        <w:rPr>
          <w:rFonts w:eastAsiaTheme="majorEastAsia"/>
        </w:rPr>
        <w:t>P</w:t>
      </w:r>
      <w:r w:rsidR="00346FED" w:rsidRPr="001836F4">
        <w:rPr>
          <w:rFonts w:eastAsiaTheme="majorEastAsia"/>
        </w:rPr>
        <w:t xml:space="preserve">oor absorption in the </w:t>
      </w:r>
      <w:r w:rsidR="4109EF22" w:rsidRPr="4109EF22">
        <w:rPr>
          <w:rFonts w:eastAsiaTheme="majorEastAsia"/>
        </w:rPr>
        <w:t>bloodstream</w:t>
      </w:r>
      <w:r w:rsidR="00346FED" w:rsidRPr="001836F4">
        <w:rPr>
          <w:rFonts w:eastAsiaTheme="majorEastAsia"/>
        </w:rPr>
        <w:t xml:space="preserve"> could </w:t>
      </w:r>
      <w:r w:rsidR="4109EF22" w:rsidRPr="4109EF22">
        <w:rPr>
          <w:rFonts w:eastAsiaTheme="majorEastAsia"/>
        </w:rPr>
        <w:t xml:space="preserve">have an </w:t>
      </w:r>
      <w:r w:rsidR="00346FED" w:rsidRPr="001836F4">
        <w:rPr>
          <w:rFonts w:eastAsiaTheme="majorEastAsia"/>
        </w:rPr>
        <w:t>impact</w:t>
      </w:r>
      <w:r w:rsidR="4109EF22" w:rsidRPr="4109EF22">
        <w:rPr>
          <w:rFonts w:eastAsiaTheme="majorEastAsia"/>
        </w:rPr>
        <w:t xml:space="preserve"> on</w:t>
      </w:r>
      <w:r w:rsidR="00346FED" w:rsidRPr="001836F4">
        <w:rPr>
          <w:rFonts w:eastAsiaTheme="majorEastAsia"/>
        </w:rPr>
        <w:t xml:space="preserve"> the bioavailability </w:t>
      </w:r>
      <w:r w:rsidR="00D86AEF" w:rsidRPr="001836F4">
        <w:rPr>
          <w:rFonts w:eastAsiaTheme="majorEastAsia"/>
        </w:rPr>
        <w:t>(</w:t>
      </w:r>
      <w:hyperlink r:id="rId24">
        <w:r w:rsidR="1DBB0CA6" w:rsidRPr="001836F4">
          <w:rPr>
            <w:rStyle w:val="Hyperlink"/>
            <w:rFonts w:eastAsiaTheme="majorEastAsia"/>
          </w:rPr>
          <w:t>Price et al., 2023</w:t>
        </w:r>
      </w:hyperlink>
      <w:r w:rsidR="00D86AEF" w:rsidRPr="001836F4">
        <w:rPr>
          <w:rFonts w:eastAsiaTheme="majorEastAsia"/>
        </w:rPr>
        <w:t>)</w:t>
      </w:r>
      <w:r w:rsidR="00346FED" w:rsidRPr="001836F4">
        <w:rPr>
          <w:rFonts w:eastAsiaTheme="majorEastAsia"/>
        </w:rPr>
        <w:t>, meaning that Simufilam would have a low level of success when reaching the CNS</w:t>
      </w:r>
      <w:r w:rsidR="4109EF22" w:rsidRPr="4109EF22">
        <w:rPr>
          <w:rFonts w:eastAsiaTheme="majorEastAsia"/>
        </w:rPr>
        <w:t>;</w:t>
      </w:r>
      <w:r w:rsidR="00346FED" w:rsidRPr="001836F4">
        <w:rPr>
          <w:rFonts w:eastAsiaTheme="majorEastAsia"/>
        </w:rPr>
        <w:t xml:space="preserve"> therefore</w:t>
      </w:r>
      <w:r w:rsidR="4109EF22" w:rsidRPr="4109EF22">
        <w:rPr>
          <w:rFonts w:eastAsiaTheme="majorEastAsia"/>
        </w:rPr>
        <w:t>,</w:t>
      </w:r>
      <w:r w:rsidR="00346FED" w:rsidRPr="001836F4">
        <w:rPr>
          <w:rFonts w:eastAsiaTheme="majorEastAsia"/>
        </w:rPr>
        <w:t xml:space="preserve"> a higher dose </w:t>
      </w:r>
      <w:r w:rsidR="4109EF22" w:rsidRPr="4109EF22">
        <w:rPr>
          <w:rFonts w:eastAsiaTheme="majorEastAsia"/>
        </w:rPr>
        <w:t>of</w:t>
      </w:r>
      <w:r w:rsidR="00346FED" w:rsidRPr="001836F4">
        <w:rPr>
          <w:rFonts w:eastAsiaTheme="majorEastAsia"/>
        </w:rPr>
        <w:t xml:space="preserve"> Simufilam </w:t>
      </w:r>
      <w:r w:rsidR="4109EF22" w:rsidRPr="4109EF22">
        <w:rPr>
          <w:rFonts w:eastAsiaTheme="majorEastAsia"/>
        </w:rPr>
        <w:t xml:space="preserve">would be required </w:t>
      </w:r>
      <w:r w:rsidR="00346FED" w:rsidRPr="001836F4">
        <w:rPr>
          <w:rFonts w:eastAsiaTheme="majorEastAsia"/>
        </w:rPr>
        <w:t xml:space="preserve">to achieve the desired effects. </w:t>
      </w:r>
      <w:r w:rsidR="4109EF22" w:rsidRPr="4109EF22">
        <w:rPr>
          <w:rFonts w:eastAsiaTheme="majorEastAsia"/>
        </w:rPr>
        <w:t>When</w:t>
      </w:r>
      <w:r w:rsidR="00346FED" w:rsidRPr="001836F4">
        <w:rPr>
          <w:rFonts w:eastAsiaTheme="majorEastAsia"/>
        </w:rPr>
        <w:t xml:space="preserve"> Simufilam arrives at the CNS, it will encounter another issue due to its low LogP</w:t>
      </w:r>
      <w:r w:rsidR="4109EF22" w:rsidRPr="4109EF22">
        <w:rPr>
          <w:rFonts w:eastAsiaTheme="majorEastAsia"/>
        </w:rPr>
        <w:t>:</w:t>
      </w:r>
      <w:r w:rsidR="00346FED" w:rsidRPr="001836F4">
        <w:rPr>
          <w:rFonts w:eastAsiaTheme="majorEastAsia"/>
        </w:rPr>
        <w:t xml:space="preserve"> </w:t>
      </w:r>
      <w:r w:rsidR="6C0075DA" w:rsidRPr="6C0075DA">
        <w:rPr>
          <w:rFonts w:eastAsiaTheme="majorEastAsia"/>
        </w:rPr>
        <w:t>its</w:t>
      </w:r>
      <w:r w:rsidR="00346FED" w:rsidRPr="001836F4">
        <w:rPr>
          <w:rFonts w:eastAsiaTheme="majorEastAsia"/>
        </w:rPr>
        <w:t xml:space="preserve"> distribution to the brain. Its hydrophilicity makes it less likely to effectively distribute itself to lipid-rich tissues, such as the brain</w:t>
      </w:r>
      <w:r w:rsidR="002F1032" w:rsidRPr="001836F4">
        <w:rPr>
          <w:rFonts w:eastAsiaTheme="majorEastAsia"/>
        </w:rPr>
        <w:t xml:space="preserve"> (</w:t>
      </w:r>
      <w:hyperlink r:id="rId25">
        <w:r w:rsidR="1DBB0CA6" w:rsidRPr="001836F4">
          <w:rPr>
            <w:rStyle w:val="Hyperlink"/>
          </w:rPr>
          <w:t>Dwibhashyam et al., 2008</w:t>
        </w:r>
      </w:hyperlink>
      <w:r w:rsidR="1DBB0CA6" w:rsidRPr="001836F4">
        <w:rPr>
          <w:rFonts w:eastAsiaTheme="majorEastAsia"/>
        </w:rPr>
        <w:t>). This limited level of distribution could result in a limited,</w:t>
      </w:r>
      <w:r w:rsidR="00346FED" w:rsidRPr="001836F4">
        <w:rPr>
          <w:rFonts w:eastAsiaTheme="majorEastAsia"/>
        </w:rPr>
        <w:t xml:space="preserve"> if </w:t>
      </w:r>
      <w:r w:rsidR="7B2FBA73" w:rsidRPr="7B2FBA73">
        <w:rPr>
          <w:rFonts w:eastAsiaTheme="majorEastAsia"/>
        </w:rPr>
        <w:t xml:space="preserve">not </w:t>
      </w:r>
      <w:r w:rsidR="00346FED" w:rsidRPr="001836F4">
        <w:rPr>
          <w:rFonts w:eastAsiaTheme="majorEastAsia"/>
        </w:rPr>
        <w:t>nonexistent</w:t>
      </w:r>
      <w:r w:rsidR="7B2FBA73" w:rsidRPr="7B2FBA73">
        <w:rPr>
          <w:rFonts w:eastAsiaTheme="majorEastAsia"/>
        </w:rPr>
        <w:t>,</w:t>
      </w:r>
      <w:r w:rsidR="00346FED" w:rsidRPr="001836F4">
        <w:rPr>
          <w:rFonts w:eastAsiaTheme="majorEastAsia"/>
        </w:rPr>
        <w:t xml:space="preserve"> impact of Simufilam on AD</w:t>
      </w:r>
      <w:r w:rsidR="7B2FBA73" w:rsidRPr="7B2FBA73">
        <w:rPr>
          <w:rFonts w:eastAsiaTheme="majorEastAsia"/>
        </w:rPr>
        <w:t>. For this</w:t>
      </w:r>
      <w:r w:rsidR="00346FED" w:rsidRPr="001836F4">
        <w:rPr>
          <w:rFonts w:eastAsiaTheme="majorEastAsia"/>
        </w:rPr>
        <w:t xml:space="preserve"> to be </w:t>
      </w:r>
      <w:r w:rsidR="7B2FBA73" w:rsidRPr="7B2FBA73">
        <w:rPr>
          <w:rFonts w:eastAsiaTheme="majorEastAsia"/>
        </w:rPr>
        <w:t xml:space="preserve">addressed, Simufilam </w:t>
      </w:r>
      <w:r w:rsidR="00346FED" w:rsidRPr="001836F4">
        <w:rPr>
          <w:rFonts w:eastAsiaTheme="majorEastAsia"/>
        </w:rPr>
        <w:t>would need much higher doses</w:t>
      </w:r>
      <w:r w:rsidR="7B2FBA73" w:rsidRPr="7B2FBA73">
        <w:rPr>
          <w:rFonts w:eastAsiaTheme="majorEastAsia"/>
        </w:rPr>
        <w:t>, which</w:t>
      </w:r>
      <w:r w:rsidR="00346FED" w:rsidRPr="001836F4">
        <w:rPr>
          <w:rFonts w:eastAsiaTheme="majorEastAsia"/>
        </w:rPr>
        <w:t xml:space="preserve"> would automatically increase the risk of systemic side effects outside the brain</w:t>
      </w:r>
      <w:r w:rsidR="7B2FBA73" w:rsidRPr="7B2FBA73">
        <w:rPr>
          <w:rFonts w:eastAsiaTheme="majorEastAsia"/>
        </w:rPr>
        <w:t>.</w:t>
      </w:r>
      <w:r w:rsidR="00346FED" w:rsidRPr="001836F4">
        <w:rPr>
          <w:rFonts w:eastAsiaTheme="majorEastAsia"/>
        </w:rPr>
        <w:t xml:space="preserve"> </w:t>
      </w:r>
      <w:r w:rsidR="004C7DDB" w:rsidRPr="001836F4">
        <w:rPr>
          <w:rFonts w:eastAsiaTheme="majorEastAsia"/>
        </w:rPr>
        <w:t>(</w:t>
      </w:r>
      <w:hyperlink r:id="rId26">
        <w:r w:rsidR="1DBB0CA6" w:rsidRPr="001836F4">
          <w:rPr>
            <w:rStyle w:val="Hyperlink"/>
            <w:rFonts w:eastAsiaTheme="majorEastAsia"/>
          </w:rPr>
          <w:t>Coleman et al., 2016</w:t>
        </w:r>
      </w:hyperlink>
      <w:r w:rsidR="1DBB0CA6" w:rsidRPr="001836F4">
        <w:rPr>
          <w:rFonts w:eastAsiaTheme="majorEastAsia"/>
        </w:rPr>
        <w:t>).</w:t>
      </w:r>
      <w:r w:rsidR="004C7DDB" w:rsidRPr="001836F4">
        <w:rPr>
          <w:rFonts w:eastAsiaTheme="majorEastAsia"/>
        </w:rPr>
        <w:t xml:space="preserve"> </w:t>
      </w:r>
      <w:r w:rsidR="00346FED" w:rsidRPr="001836F4">
        <w:rPr>
          <w:rFonts w:eastAsiaTheme="majorEastAsia"/>
        </w:rPr>
        <w:t>If Simufilam is not able to reach a sufficient level of concentration in the CNS then, its ability to treat Alzheimer’s would be severely limited if non-existent. </w:t>
      </w:r>
    </w:p>
    <w:p w14:paraId="2262BBAB" w14:textId="77777777" w:rsidR="00953DC1" w:rsidRPr="001836F4" w:rsidRDefault="00953DC1" w:rsidP="00F84A37">
      <w:pPr>
        <w:spacing w:line="360" w:lineRule="auto"/>
        <w:jc w:val="both"/>
        <w:rPr>
          <w:rFonts w:eastAsiaTheme="majorEastAsia"/>
        </w:rPr>
      </w:pPr>
    </w:p>
    <w:p w14:paraId="6ECA8FD3" w14:textId="1B997BE1" w:rsidR="3DC40CB0" w:rsidRDefault="3DC40CB0" w:rsidP="3DC40CB0">
      <w:pPr>
        <w:spacing w:line="360" w:lineRule="auto"/>
        <w:jc w:val="both"/>
      </w:pPr>
      <w:r w:rsidRPr="3DC40CB0">
        <w:rPr>
          <w:rFonts w:eastAsiaTheme="majorEastAsia"/>
        </w:rPr>
        <w:lastRenderedPageBreak/>
        <w:t>Circling back to the half-life value of 4.5 hours that Simufilam has, its hydrophilic nature makes it prone to quick elimination via the kidneys (</w:t>
      </w:r>
      <w:hyperlink r:id="rId27">
        <w:r w:rsidRPr="3DC40CB0">
          <w:rPr>
            <w:rStyle w:val="Hyperlink"/>
            <w:rFonts w:eastAsiaTheme="majorEastAsia"/>
          </w:rPr>
          <w:t>Garza et al., 2023</w:t>
        </w:r>
      </w:hyperlink>
      <w:r w:rsidRPr="3DC40CB0">
        <w:rPr>
          <w:rFonts w:eastAsiaTheme="majorEastAsia"/>
        </w:rPr>
        <w:t>). This necessitates a recurrent dosing for Simufilam to remain impactful</w:t>
      </w:r>
      <w:r w:rsidR="77CF76BF" w:rsidRPr="77CF76BF">
        <w:rPr>
          <w:rFonts w:eastAsiaTheme="majorEastAsia"/>
        </w:rPr>
        <w:t xml:space="preserve"> - </w:t>
      </w:r>
      <w:r w:rsidRPr="3DC40CB0">
        <w:rPr>
          <w:rFonts w:eastAsiaTheme="majorEastAsia"/>
        </w:rPr>
        <w:t>if it is. This rapid clearance might reduce Simufilam’s efficacy over time.</w:t>
      </w:r>
    </w:p>
    <w:p w14:paraId="2E7040F7" w14:textId="05F4FDC4" w:rsidR="00346FED" w:rsidRPr="001836F4" w:rsidRDefault="00346FED" w:rsidP="00F84A37">
      <w:pPr>
        <w:spacing w:line="360" w:lineRule="auto"/>
        <w:jc w:val="both"/>
      </w:pPr>
    </w:p>
    <w:p w14:paraId="79A5E1BF" w14:textId="1964FBF9" w:rsidR="7D4F9C7F" w:rsidRDefault="5183A6D9" w:rsidP="7FC958CC">
      <w:pPr>
        <w:pStyle w:val="Heading3"/>
        <w:rPr>
          <w:color w:val="auto"/>
        </w:rPr>
      </w:pPr>
      <w:bookmarkStart w:id="18" w:name="_Toc98113195"/>
      <w:r w:rsidRPr="5183A6D9">
        <w:rPr>
          <w:color w:val="auto"/>
        </w:rPr>
        <w:t>Computation and Assessment of a pKa Value for Simufilam</w:t>
      </w:r>
      <w:bookmarkEnd w:id="18"/>
    </w:p>
    <w:p w14:paraId="6A686CF5" w14:textId="59C13868" w:rsidR="009B2AB8" w:rsidRPr="001836F4" w:rsidRDefault="00346FED" w:rsidP="00F84A37">
      <w:pPr>
        <w:spacing w:line="360" w:lineRule="auto"/>
        <w:jc w:val="both"/>
        <w:rPr>
          <w:rFonts w:eastAsiaTheme="majorEastAsia"/>
        </w:rPr>
      </w:pPr>
      <w:r w:rsidRPr="001836F4">
        <w:rPr>
          <w:rFonts w:eastAsiaTheme="majorEastAsia"/>
        </w:rPr>
        <w:t xml:space="preserve">Still, when assessing the LogP of Simufilam and therefore </w:t>
      </w:r>
      <w:r w:rsidR="0C385DC9" w:rsidRPr="0C385DC9">
        <w:rPr>
          <w:rFonts w:eastAsiaTheme="majorEastAsia"/>
        </w:rPr>
        <w:t>its</w:t>
      </w:r>
      <w:r w:rsidRPr="001836F4">
        <w:rPr>
          <w:rFonts w:eastAsiaTheme="majorEastAsia"/>
        </w:rPr>
        <w:t xml:space="preserve"> BBB penetration</w:t>
      </w:r>
      <w:r w:rsidR="0C385DC9" w:rsidRPr="0C385DC9">
        <w:rPr>
          <w:rFonts w:eastAsiaTheme="majorEastAsia"/>
        </w:rPr>
        <w:t>,</w:t>
      </w:r>
      <w:r w:rsidRPr="001836F4">
        <w:rPr>
          <w:rFonts w:eastAsiaTheme="majorEastAsia"/>
        </w:rPr>
        <w:t xml:space="preserve"> it is important to not only consider the LogP value in this evaluation</w:t>
      </w:r>
      <w:r w:rsidR="63F43011" w:rsidRPr="63F43011">
        <w:rPr>
          <w:rFonts w:eastAsiaTheme="majorEastAsia"/>
        </w:rPr>
        <w:t>.</w:t>
      </w:r>
      <w:r w:rsidRPr="001836F4">
        <w:rPr>
          <w:rFonts w:eastAsiaTheme="majorEastAsia"/>
        </w:rPr>
        <w:t xml:space="preserve"> As assessing the pKa value is also a great indicator to evaluate the BBB penetration </w:t>
      </w:r>
      <w:r w:rsidR="001F3D0F" w:rsidRPr="001836F4">
        <w:rPr>
          <w:rFonts w:eastAsiaTheme="majorEastAsia"/>
        </w:rPr>
        <w:t>(</w:t>
      </w:r>
      <w:hyperlink r:id="rId28">
        <w:r w:rsidR="1DBB0CA6" w:rsidRPr="001836F4">
          <w:rPr>
            <w:rStyle w:val="Hyperlink"/>
            <w:rFonts w:eastAsiaTheme="majorEastAsia"/>
          </w:rPr>
          <w:t>Fong, 2016</w:t>
        </w:r>
      </w:hyperlink>
      <w:r w:rsidR="1DBB0CA6" w:rsidRPr="001836F4">
        <w:rPr>
          <w:rFonts w:eastAsiaTheme="majorEastAsia"/>
        </w:rPr>
        <w:t>).</w:t>
      </w:r>
      <w:r w:rsidRPr="001836F4">
        <w:rPr>
          <w:rFonts w:eastAsiaTheme="majorEastAsia"/>
        </w:rPr>
        <w:t xml:space="preserve"> Unfortunately, no pKa value is given for Simufilam on the website </w:t>
      </w:r>
      <w:r w:rsidRPr="001836F4">
        <w:rPr>
          <w:rFonts w:eastAsiaTheme="majorEastAsia"/>
          <w:i/>
          <w:iCs/>
        </w:rPr>
        <w:t xml:space="preserve">PubChem. </w:t>
      </w:r>
      <w:r w:rsidRPr="001836F4">
        <w:rPr>
          <w:rFonts w:eastAsiaTheme="majorEastAsia"/>
        </w:rPr>
        <w:t>A computation of Simufilam’s approximate pKa value is still possible by simply looking at its chemical formula</w:t>
      </w:r>
      <w:r w:rsidR="18538B90" w:rsidRPr="18538B90">
        <w:rPr>
          <w:rFonts w:eastAsiaTheme="majorEastAsia"/>
        </w:rPr>
        <w:t>,</w:t>
      </w:r>
      <w:r w:rsidRPr="001836F4">
        <w:rPr>
          <w:rFonts w:eastAsiaTheme="majorEastAsia"/>
        </w:rPr>
        <w:t xml:space="preserve"> 4-benzyl-8-methyl-1,4,8-</w:t>
      </w:r>
      <w:r w:rsidR="00E87253" w:rsidRPr="001836F4">
        <w:rPr>
          <w:rFonts w:eastAsiaTheme="majorEastAsia"/>
        </w:rPr>
        <w:t>triazaspiro (</w:t>
      </w:r>
      <w:r w:rsidRPr="001836F4">
        <w:t>4.5) decan</w:t>
      </w:r>
      <w:r w:rsidRPr="001836F4">
        <w:rPr>
          <w:rFonts w:eastAsiaTheme="majorEastAsia"/>
        </w:rPr>
        <w:t>-3-one</w:t>
      </w:r>
      <w:r w:rsidR="53C6D6DF" w:rsidRPr="53C6D6DF">
        <w:rPr>
          <w:rFonts w:eastAsiaTheme="majorEastAsia"/>
        </w:rPr>
        <w:t>,</w:t>
      </w:r>
      <w:r w:rsidRPr="001836F4">
        <w:rPr>
          <w:rFonts w:eastAsiaTheme="majorEastAsia"/>
        </w:rPr>
        <w:t xml:space="preserve"> and structure</w:t>
      </w:r>
      <w:r w:rsidR="02978A89" w:rsidRPr="02978A89">
        <w:rPr>
          <w:rFonts w:eastAsiaTheme="majorEastAsia"/>
        </w:rPr>
        <w:t>;</w:t>
      </w:r>
      <w:r w:rsidRPr="001836F4">
        <w:rPr>
          <w:rFonts w:eastAsiaTheme="majorEastAsia"/>
        </w:rPr>
        <w:t xml:space="preserve"> see </w:t>
      </w:r>
      <w:r w:rsidR="00CDCCB6" w:rsidRPr="00CDCCB6">
        <w:rPr>
          <w:rFonts w:eastAsiaTheme="majorEastAsia"/>
          <w:i/>
          <w:iCs/>
        </w:rPr>
        <w:t>Figure</w:t>
      </w:r>
      <w:r w:rsidR="3806E52D" w:rsidRPr="3806E52D">
        <w:rPr>
          <w:rFonts w:eastAsiaTheme="majorEastAsia"/>
          <w:i/>
          <w:iCs/>
        </w:rPr>
        <w:t xml:space="preserve"> 1</w:t>
      </w:r>
      <w:r w:rsidR="3806E52D" w:rsidRPr="3806E52D">
        <w:rPr>
          <w:rFonts w:eastAsiaTheme="majorEastAsia"/>
        </w:rPr>
        <w:t>.</w:t>
      </w:r>
      <w:r w:rsidRPr="001836F4">
        <w:rPr>
          <w:rFonts w:eastAsiaTheme="majorEastAsia"/>
        </w:rPr>
        <w:t xml:space="preserve"> The amines, nitrogen atoms</w:t>
      </w:r>
      <w:r w:rsidR="29B85161" w:rsidRPr="29B85161">
        <w:rPr>
          <w:rFonts w:eastAsiaTheme="majorEastAsia"/>
        </w:rPr>
        <w:t>,</w:t>
      </w:r>
      <w:r w:rsidRPr="001836F4">
        <w:rPr>
          <w:rFonts w:eastAsiaTheme="majorEastAsia"/>
        </w:rPr>
        <w:t xml:space="preserve"> have an averagely high pKa from 8 to 10 </w:t>
      </w:r>
      <w:r w:rsidR="00E60D9B" w:rsidRPr="001836F4">
        <w:rPr>
          <w:rFonts w:eastAsiaTheme="majorEastAsia"/>
        </w:rPr>
        <w:t>(</w:t>
      </w:r>
      <w:hyperlink r:id="rId29">
        <w:r w:rsidR="1DBB0CA6" w:rsidRPr="001836F4">
          <w:rPr>
            <w:rStyle w:val="Hyperlink"/>
            <w:rFonts w:eastAsiaTheme="majorEastAsia"/>
          </w:rPr>
          <w:t>Ashenhurst, 2023</w:t>
        </w:r>
      </w:hyperlink>
      <w:r w:rsidR="1DBB0CA6" w:rsidRPr="001836F4">
        <w:rPr>
          <w:rFonts w:eastAsiaTheme="majorEastAsia"/>
        </w:rPr>
        <w:t>).</w:t>
      </w:r>
      <w:r w:rsidRPr="001836F4">
        <w:rPr>
          <w:rFonts w:eastAsiaTheme="majorEastAsia"/>
        </w:rPr>
        <w:t xml:space="preserve"> The reason for </w:t>
      </w:r>
      <w:r w:rsidR="38DADBCF" w:rsidRPr="38DADBCF">
        <w:rPr>
          <w:rFonts w:eastAsiaTheme="majorEastAsia"/>
        </w:rPr>
        <w:t>this</w:t>
      </w:r>
      <w:r w:rsidRPr="001836F4">
        <w:rPr>
          <w:rFonts w:eastAsiaTheme="majorEastAsia"/>
        </w:rPr>
        <w:t xml:space="preserve"> is that nitrogen atoms are easily protonated</w:t>
      </w:r>
      <w:r w:rsidR="4A33367A" w:rsidRPr="4A33367A">
        <w:rPr>
          <w:rFonts w:eastAsiaTheme="majorEastAsia"/>
        </w:rPr>
        <w:t xml:space="preserve"> due to</w:t>
      </w:r>
      <w:r w:rsidRPr="001836F4">
        <w:rPr>
          <w:rFonts w:eastAsiaTheme="majorEastAsia"/>
        </w:rPr>
        <w:t xml:space="preserve"> their basicity </w:t>
      </w:r>
      <w:r w:rsidR="1DBB0CA6" w:rsidRPr="001836F4">
        <w:rPr>
          <w:rFonts w:eastAsiaTheme="majorEastAsia"/>
        </w:rPr>
        <w:t>level (</w:t>
      </w:r>
      <w:hyperlink r:id="rId30">
        <w:r w:rsidR="1DBB0CA6" w:rsidRPr="001836F4">
          <w:rPr>
            <w:rStyle w:val="Hyperlink"/>
            <w:rFonts w:eastAsiaTheme="majorEastAsia"/>
          </w:rPr>
          <w:t>Lõkov et al.</w:t>
        </w:r>
      </w:hyperlink>
      <w:r w:rsidR="1DBB0CA6" w:rsidRPr="001836F4">
        <w:rPr>
          <w:rFonts w:eastAsiaTheme="majorEastAsia"/>
        </w:rPr>
        <w:t xml:space="preserve">). </w:t>
      </w:r>
    </w:p>
    <w:p w14:paraId="27BBB7A9" w14:textId="62C03B75" w:rsidR="4505D95F" w:rsidRDefault="4505D95F" w:rsidP="4505D95F">
      <w:pPr>
        <w:spacing w:line="360" w:lineRule="auto"/>
        <w:jc w:val="both"/>
        <w:rPr>
          <w:rFonts w:eastAsiaTheme="majorEastAsia"/>
        </w:rPr>
      </w:pPr>
    </w:p>
    <w:p w14:paraId="5139CD69" w14:textId="4AEB7534" w:rsidR="51BCC868" w:rsidRDefault="5AB73162" w:rsidP="51BCC868">
      <w:pPr>
        <w:spacing w:line="360" w:lineRule="auto"/>
        <w:jc w:val="both"/>
        <w:rPr>
          <w:rFonts w:eastAsiaTheme="majorEastAsia"/>
        </w:rPr>
      </w:pPr>
      <w:r>
        <w:rPr>
          <w:noProof/>
        </w:rPr>
        <w:lastRenderedPageBreak/>
        <w:drawing>
          <wp:inline distT="0" distB="0" distL="0" distR="0" wp14:anchorId="3F503C4A" wp14:editId="23E34300">
            <wp:extent cx="4762502" cy="4762502"/>
            <wp:effectExtent l="0" t="0" r="0" b="0"/>
            <wp:docPr id="22065187" name="Picture 22065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762502" cy="4762502"/>
                    </a:xfrm>
                    <a:prstGeom prst="rect">
                      <a:avLst/>
                    </a:prstGeom>
                  </pic:spPr>
                </pic:pic>
              </a:graphicData>
            </a:graphic>
          </wp:inline>
        </w:drawing>
      </w:r>
    </w:p>
    <w:p w14:paraId="73961CE9" w14:textId="6318BD77" w:rsidR="5AB73162" w:rsidRDefault="1D1866B5" w:rsidP="5AB73162">
      <w:pPr>
        <w:spacing w:line="360" w:lineRule="auto"/>
        <w:jc w:val="both"/>
      </w:pPr>
      <w:r w:rsidRPr="1D1866B5">
        <w:rPr>
          <w:b/>
          <w:bCs/>
        </w:rPr>
        <w:t>Figure 1.</w:t>
      </w:r>
      <w:r>
        <w:t xml:space="preserve"> Chemical Structure Depiction of Simufilam (</w:t>
      </w:r>
      <w:hyperlink r:id="rId32" w:anchor="section=2D-Structure">
        <w:r w:rsidRPr="1D1866B5">
          <w:rPr>
            <w:rStyle w:val="Hyperlink"/>
          </w:rPr>
          <w:t>PubChem</w:t>
        </w:r>
      </w:hyperlink>
      <w:r>
        <w:t>).</w:t>
      </w:r>
    </w:p>
    <w:p w14:paraId="580D10FB" w14:textId="03237C15" w:rsidR="45E9B06B" w:rsidRDefault="45E9B06B" w:rsidP="45E9B06B">
      <w:pPr>
        <w:spacing w:line="360" w:lineRule="auto"/>
        <w:jc w:val="both"/>
      </w:pPr>
    </w:p>
    <w:p w14:paraId="52EBE383" w14:textId="3885EC4F" w:rsidR="000D3EEC" w:rsidRPr="001836F4" w:rsidRDefault="00346FED" w:rsidP="00F84A37">
      <w:pPr>
        <w:spacing w:line="360" w:lineRule="auto"/>
        <w:jc w:val="both"/>
        <w:rPr>
          <w:rFonts w:eastAsiaTheme="majorEastAsia"/>
        </w:rPr>
      </w:pPr>
      <w:r w:rsidRPr="001836F4">
        <w:rPr>
          <w:rFonts w:eastAsiaTheme="majorEastAsia"/>
        </w:rPr>
        <w:t>However, when evaluating Simufilam, the nitrogen atoms are included in a rigid spirocyclic system adjacent to a carbonyl group</w:t>
      </w:r>
      <w:r w:rsidR="02B9BE11" w:rsidRPr="02B9BE11">
        <w:rPr>
          <w:rFonts w:eastAsiaTheme="majorEastAsia"/>
        </w:rPr>
        <w:t>;</w:t>
      </w:r>
      <w:r w:rsidRPr="001836F4">
        <w:rPr>
          <w:rFonts w:eastAsiaTheme="majorEastAsia"/>
        </w:rPr>
        <w:t xml:space="preserve"> this leads to an electron</w:t>
      </w:r>
      <w:r w:rsidR="342E102E" w:rsidRPr="342E102E">
        <w:rPr>
          <w:rFonts w:eastAsiaTheme="majorEastAsia"/>
        </w:rPr>
        <w:t xml:space="preserve"> withdrawal</w:t>
      </w:r>
      <w:r w:rsidRPr="001836F4">
        <w:rPr>
          <w:rFonts w:eastAsiaTheme="majorEastAsia"/>
        </w:rPr>
        <w:t xml:space="preserve"> by the carbonyl group </w:t>
      </w:r>
      <w:r w:rsidR="001A110C" w:rsidRPr="001836F4">
        <w:rPr>
          <w:rFonts w:eastAsiaTheme="majorEastAsia"/>
        </w:rPr>
        <w:t>(</w:t>
      </w:r>
      <w:hyperlink r:id="rId33">
        <w:r w:rsidR="02B9BE11" w:rsidRPr="02B9BE11">
          <w:rPr>
            <w:rStyle w:val="Hyperlink"/>
            <w:rFonts w:eastAsiaTheme="majorEastAsia"/>
          </w:rPr>
          <w:t>Contreras et al., 2005</w:t>
        </w:r>
      </w:hyperlink>
      <w:r w:rsidR="001A110C" w:rsidRPr="001836F4">
        <w:rPr>
          <w:rFonts w:eastAsiaTheme="majorEastAsia"/>
        </w:rPr>
        <w:t>)</w:t>
      </w:r>
      <w:r w:rsidRPr="001836F4">
        <w:rPr>
          <w:rFonts w:eastAsiaTheme="majorEastAsia"/>
        </w:rPr>
        <w:t xml:space="preserve">. </w:t>
      </w:r>
      <w:r w:rsidR="47383A36" w:rsidRPr="47383A36">
        <w:rPr>
          <w:rFonts w:eastAsiaTheme="majorEastAsia"/>
        </w:rPr>
        <w:t>The</w:t>
      </w:r>
      <w:r w:rsidRPr="001836F4">
        <w:rPr>
          <w:rFonts w:eastAsiaTheme="majorEastAsia"/>
        </w:rPr>
        <w:t xml:space="preserve"> carbonyl group pulls electron density away from the nitrogen atoms that are close to it. This activity ultimately results in a reduction of the nitrogen </w:t>
      </w:r>
      <w:r w:rsidR="5190224A" w:rsidRPr="5190224A">
        <w:rPr>
          <w:rFonts w:eastAsiaTheme="majorEastAsia"/>
        </w:rPr>
        <w:t>atoms’</w:t>
      </w:r>
      <w:r w:rsidRPr="001836F4">
        <w:rPr>
          <w:rFonts w:eastAsiaTheme="majorEastAsia"/>
        </w:rPr>
        <w:t xml:space="preserve"> basicity and</w:t>
      </w:r>
      <w:r w:rsidR="5190224A" w:rsidRPr="5190224A">
        <w:rPr>
          <w:rFonts w:eastAsiaTheme="majorEastAsia"/>
        </w:rPr>
        <w:t>,</w:t>
      </w:r>
      <w:r w:rsidRPr="001836F4">
        <w:rPr>
          <w:rFonts w:eastAsiaTheme="majorEastAsia"/>
        </w:rPr>
        <w:t xml:space="preserve"> therefore</w:t>
      </w:r>
      <w:r w:rsidR="5190224A" w:rsidRPr="5190224A">
        <w:rPr>
          <w:rFonts w:eastAsiaTheme="majorEastAsia"/>
        </w:rPr>
        <w:t>,</w:t>
      </w:r>
      <w:r w:rsidRPr="001836F4">
        <w:rPr>
          <w:rFonts w:eastAsiaTheme="majorEastAsia"/>
        </w:rPr>
        <w:t xml:space="preserve"> their pKa</w:t>
      </w:r>
      <w:r w:rsidR="6F493E92" w:rsidRPr="6F493E92">
        <w:rPr>
          <w:rFonts w:eastAsiaTheme="majorEastAsia"/>
        </w:rPr>
        <w:t>. Thus</w:t>
      </w:r>
      <w:r w:rsidRPr="001836F4">
        <w:rPr>
          <w:rFonts w:eastAsiaTheme="majorEastAsia"/>
        </w:rPr>
        <w:t xml:space="preserve">, a rough estimation can be </w:t>
      </w:r>
      <w:r w:rsidR="59B4C2CD" w:rsidRPr="59B4C2CD">
        <w:rPr>
          <w:rFonts w:eastAsiaTheme="majorEastAsia"/>
        </w:rPr>
        <w:t>made</w:t>
      </w:r>
      <w:r w:rsidRPr="001836F4">
        <w:rPr>
          <w:rFonts w:eastAsiaTheme="majorEastAsia"/>
        </w:rPr>
        <w:t xml:space="preserve"> for the overall value of Simufilam’s pKa value. </w:t>
      </w:r>
    </w:p>
    <w:p w14:paraId="693FBD61" w14:textId="77777777" w:rsidR="000D3EEC" w:rsidRPr="001836F4" w:rsidRDefault="000D3EEC" w:rsidP="00F84A37">
      <w:pPr>
        <w:spacing w:line="360" w:lineRule="auto"/>
        <w:jc w:val="both"/>
        <w:rPr>
          <w:rFonts w:eastAsiaTheme="majorEastAsia"/>
        </w:rPr>
      </w:pPr>
    </w:p>
    <w:p w14:paraId="2A718D93" w14:textId="71813B20" w:rsidR="000D3EEC" w:rsidRPr="001836F4" w:rsidRDefault="00346FED" w:rsidP="00F84A37">
      <w:pPr>
        <w:spacing w:line="360" w:lineRule="auto"/>
        <w:jc w:val="both"/>
        <w:rPr>
          <w:rFonts w:eastAsiaTheme="majorEastAsia"/>
        </w:rPr>
      </w:pPr>
      <w:r w:rsidRPr="001836F4">
        <w:t>Considering</w:t>
      </w:r>
      <w:r w:rsidRPr="001836F4">
        <w:rPr>
          <w:rFonts w:eastAsiaTheme="majorEastAsia"/>
        </w:rPr>
        <w:t xml:space="preserve"> the electron</w:t>
      </w:r>
      <w:r w:rsidR="7BCF45EC" w:rsidRPr="7BCF45EC">
        <w:rPr>
          <w:rFonts w:eastAsiaTheme="majorEastAsia"/>
        </w:rPr>
        <w:t xml:space="preserve"> withdrawal</w:t>
      </w:r>
      <w:r w:rsidRPr="001836F4">
        <w:rPr>
          <w:rFonts w:eastAsiaTheme="majorEastAsia"/>
        </w:rPr>
        <w:t xml:space="preserve"> mechanism that occurs via the carbonyl group from the nitrogen </w:t>
      </w:r>
      <w:r w:rsidR="33D67622" w:rsidRPr="33D67622">
        <w:rPr>
          <w:rFonts w:eastAsiaTheme="majorEastAsia"/>
        </w:rPr>
        <w:t>atoms</w:t>
      </w:r>
      <w:r w:rsidR="5163E955" w:rsidRPr="5163E955">
        <w:rPr>
          <w:rFonts w:eastAsiaTheme="majorEastAsia"/>
        </w:rPr>
        <w:t>, and</w:t>
      </w:r>
      <w:r w:rsidRPr="001836F4">
        <w:rPr>
          <w:rFonts w:eastAsiaTheme="majorEastAsia"/>
        </w:rPr>
        <w:t xml:space="preserve"> the constrained spirocyclic ring of the nitrogen atoms</w:t>
      </w:r>
      <w:r w:rsidR="5163E955" w:rsidRPr="5163E955">
        <w:rPr>
          <w:rFonts w:eastAsiaTheme="majorEastAsia"/>
        </w:rPr>
        <w:t xml:space="preserve">. The </w:t>
      </w:r>
      <w:r w:rsidRPr="001836F4">
        <w:rPr>
          <w:rFonts w:eastAsiaTheme="majorEastAsia"/>
        </w:rPr>
        <w:t xml:space="preserve">pKa value is likely </w:t>
      </w:r>
      <w:r w:rsidRPr="001836F4">
        <w:rPr>
          <w:rFonts w:eastAsiaTheme="majorEastAsia"/>
        </w:rPr>
        <w:lastRenderedPageBreak/>
        <w:t xml:space="preserve">to range between </w:t>
      </w:r>
      <w:r w:rsidRPr="5163E955">
        <w:rPr>
          <w:rFonts w:eastAsiaTheme="majorEastAsia"/>
          <w:i/>
        </w:rPr>
        <w:t>6</w:t>
      </w:r>
      <w:r w:rsidRPr="001836F4">
        <w:rPr>
          <w:rFonts w:eastAsiaTheme="majorEastAsia"/>
        </w:rPr>
        <w:t xml:space="preserve"> and </w:t>
      </w:r>
      <w:r w:rsidRPr="5163E955">
        <w:rPr>
          <w:rFonts w:eastAsiaTheme="majorEastAsia"/>
          <w:i/>
        </w:rPr>
        <w:t>7</w:t>
      </w:r>
      <w:r w:rsidR="5163E955" w:rsidRPr="5163E955">
        <w:rPr>
          <w:rFonts w:eastAsiaTheme="majorEastAsia"/>
        </w:rPr>
        <w:t>,</w:t>
      </w:r>
      <w:r w:rsidRPr="001836F4">
        <w:rPr>
          <w:rFonts w:eastAsiaTheme="majorEastAsia"/>
        </w:rPr>
        <w:t xml:space="preserve"> and not </w:t>
      </w:r>
      <w:r w:rsidRPr="797BABD4">
        <w:rPr>
          <w:rFonts w:eastAsiaTheme="majorEastAsia"/>
          <w:i/>
        </w:rPr>
        <w:t xml:space="preserve">8 </w:t>
      </w:r>
      <w:r w:rsidRPr="001836F4">
        <w:rPr>
          <w:rFonts w:eastAsiaTheme="majorEastAsia"/>
        </w:rPr>
        <w:t xml:space="preserve">to </w:t>
      </w:r>
      <w:r w:rsidRPr="797BABD4">
        <w:rPr>
          <w:rFonts w:eastAsiaTheme="majorEastAsia"/>
          <w:i/>
        </w:rPr>
        <w:t xml:space="preserve">10 </w:t>
      </w:r>
      <w:r w:rsidRPr="001836F4">
        <w:rPr>
          <w:rFonts w:eastAsiaTheme="majorEastAsia"/>
        </w:rPr>
        <w:t xml:space="preserve">as some might argue. The reason is that </w:t>
      </w:r>
      <w:r w:rsidR="0AF4A5E3" w:rsidRPr="0AF4A5E3">
        <w:rPr>
          <w:rFonts w:eastAsiaTheme="majorEastAsia"/>
        </w:rPr>
        <w:t>this estimation</w:t>
      </w:r>
      <w:r w:rsidRPr="001836F4">
        <w:rPr>
          <w:rFonts w:eastAsiaTheme="majorEastAsia"/>
        </w:rPr>
        <w:t xml:space="preserve"> </w:t>
      </w:r>
      <w:r w:rsidR="4E68188F" w:rsidRPr="001836F4">
        <w:rPr>
          <w:rFonts w:eastAsiaTheme="majorEastAsia"/>
        </w:rPr>
        <w:t>considers</w:t>
      </w:r>
      <w:r w:rsidRPr="001836F4">
        <w:rPr>
          <w:rFonts w:eastAsiaTheme="majorEastAsia"/>
        </w:rPr>
        <w:t xml:space="preserve"> the reaction of nitrogen atoms in this type of environment: </w:t>
      </w:r>
      <w:r w:rsidR="5399FDC1" w:rsidRPr="5399FDC1">
        <w:rPr>
          <w:rFonts w:eastAsiaTheme="majorEastAsia"/>
        </w:rPr>
        <w:t>the CNS</w:t>
      </w:r>
      <w:r w:rsidRPr="001836F4">
        <w:rPr>
          <w:rFonts w:eastAsiaTheme="majorEastAsia"/>
        </w:rPr>
        <w:t xml:space="preserve"> </w:t>
      </w:r>
      <w:r w:rsidR="00444AEF" w:rsidRPr="001836F4">
        <w:rPr>
          <w:rFonts w:eastAsiaTheme="majorEastAsia"/>
        </w:rPr>
        <w:t>(</w:t>
      </w:r>
      <w:hyperlink r:id="rId34">
        <w:r w:rsidR="4E68188F" w:rsidRPr="001836F4">
          <w:rPr>
            <w:rStyle w:val="Hyperlink"/>
            <w:rFonts w:eastAsiaTheme="majorEastAsia"/>
          </w:rPr>
          <w:t>Paulson, 1977</w:t>
        </w:r>
      </w:hyperlink>
      <w:r w:rsidR="00444AEF" w:rsidRPr="001836F4">
        <w:rPr>
          <w:rFonts w:eastAsiaTheme="majorEastAsia"/>
        </w:rPr>
        <w:t>)</w:t>
      </w:r>
      <w:r w:rsidRPr="001836F4">
        <w:rPr>
          <w:rFonts w:eastAsiaTheme="majorEastAsia"/>
        </w:rPr>
        <w:t xml:space="preserve">. </w:t>
      </w:r>
    </w:p>
    <w:p w14:paraId="7A582885" w14:textId="77777777" w:rsidR="000D3EEC" w:rsidRPr="001836F4" w:rsidRDefault="000D3EEC" w:rsidP="00F84A37">
      <w:pPr>
        <w:spacing w:line="360" w:lineRule="auto"/>
        <w:jc w:val="both"/>
        <w:rPr>
          <w:rFonts w:eastAsiaTheme="majorEastAsia"/>
        </w:rPr>
      </w:pPr>
    </w:p>
    <w:p w14:paraId="49B64736" w14:textId="67609EB8" w:rsidR="00543C6C" w:rsidRPr="001836F4" w:rsidRDefault="4214832F" w:rsidP="00F84A37">
      <w:pPr>
        <w:spacing w:line="360" w:lineRule="auto"/>
        <w:jc w:val="both"/>
        <w:rPr>
          <w:rFonts w:eastAsiaTheme="majorEastAsia"/>
        </w:rPr>
      </w:pPr>
      <w:r w:rsidRPr="4214832F">
        <w:rPr>
          <w:rFonts w:eastAsiaTheme="majorEastAsia"/>
        </w:rPr>
        <w:t>The</w:t>
      </w:r>
      <w:r w:rsidR="00346FED" w:rsidRPr="001836F4">
        <w:rPr>
          <w:rFonts w:eastAsiaTheme="majorEastAsia"/>
        </w:rPr>
        <w:t xml:space="preserve"> structural environment of </w:t>
      </w:r>
      <w:r w:rsidR="32F725F6" w:rsidRPr="32F725F6">
        <w:rPr>
          <w:rFonts w:eastAsiaTheme="majorEastAsia"/>
        </w:rPr>
        <w:t xml:space="preserve"> Simufilam’s</w:t>
      </w:r>
      <w:r w:rsidR="00346FED" w:rsidRPr="001836F4">
        <w:rPr>
          <w:rFonts w:eastAsiaTheme="majorEastAsia"/>
        </w:rPr>
        <w:t xml:space="preserve"> nitrogen atoms, where steric hindrance and electron</w:t>
      </w:r>
      <w:r w:rsidRPr="4214832F">
        <w:rPr>
          <w:rFonts w:eastAsiaTheme="majorEastAsia"/>
        </w:rPr>
        <w:t xml:space="preserve"> withdrawal</w:t>
      </w:r>
      <w:r w:rsidR="00346FED" w:rsidRPr="001836F4">
        <w:rPr>
          <w:rFonts w:eastAsiaTheme="majorEastAsia"/>
        </w:rPr>
        <w:t xml:space="preserve"> effects lead to lower basicity. For an efficient BBB penetration, Simufilam should be non-ionized at physiological pH ~</w:t>
      </w:r>
      <w:r w:rsidR="00346FED" w:rsidRPr="58446DCE">
        <w:rPr>
          <w:rFonts w:eastAsiaTheme="majorEastAsia"/>
          <w:i/>
        </w:rPr>
        <w:t>7.4</w:t>
      </w:r>
      <w:r w:rsidR="00346FED" w:rsidRPr="001836F4">
        <w:rPr>
          <w:rFonts w:eastAsiaTheme="majorEastAsia"/>
        </w:rPr>
        <w:t xml:space="preserve"> that would guarantee a maintained level of lipophilicity</w:t>
      </w:r>
      <w:r w:rsidR="00146E52" w:rsidRPr="001836F4">
        <w:rPr>
          <w:rFonts w:eastAsiaTheme="majorEastAsia"/>
        </w:rPr>
        <w:t xml:space="preserve"> (</w:t>
      </w:r>
      <w:hyperlink r:id="rId35">
        <w:r w:rsidR="5399FDC1" w:rsidRPr="5399FDC1">
          <w:rPr>
            <w:rStyle w:val="Hyperlink"/>
            <w:rFonts w:eastAsiaTheme="majorEastAsia"/>
          </w:rPr>
          <w:t>Le, 2022</w:t>
        </w:r>
      </w:hyperlink>
      <w:r w:rsidR="5399FDC1" w:rsidRPr="5399FDC1">
        <w:rPr>
          <w:rFonts w:eastAsiaTheme="majorEastAsia"/>
        </w:rPr>
        <w:t>).</w:t>
      </w:r>
      <w:r w:rsidR="00346FED" w:rsidRPr="001836F4">
        <w:rPr>
          <w:rFonts w:eastAsiaTheme="majorEastAsia"/>
        </w:rPr>
        <w:t xml:space="preserve"> With its </w:t>
      </w:r>
      <w:r w:rsidR="58446DCE" w:rsidRPr="58446DCE">
        <w:rPr>
          <w:rFonts w:eastAsiaTheme="majorEastAsia"/>
        </w:rPr>
        <w:t>estimated</w:t>
      </w:r>
      <w:r w:rsidR="00346FED" w:rsidRPr="001836F4">
        <w:rPr>
          <w:rFonts w:eastAsiaTheme="majorEastAsia"/>
        </w:rPr>
        <w:t xml:space="preserve"> pKa value being around </w:t>
      </w:r>
      <w:r w:rsidR="00346FED" w:rsidRPr="58446DCE">
        <w:rPr>
          <w:rFonts w:eastAsiaTheme="majorEastAsia"/>
          <w:i/>
        </w:rPr>
        <w:t xml:space="preserve">6 </w:t>
      </w:r>
      <w:r w:rsidR="00346FED" w:rsidRPr="001836F4">
        <w:rPr>
          <w:rFonts w:eastAsiaTheme="majorEastAsia"/>
        </w:rPr>
        <w:t xml:space="preserve">or </w:t>
      </w:r>
      <w:r w:rsidR="00346FED" w:rsidRPr="58446DCE">
        <w:rPr>
          <w:rFonts w:eastAsiaTheme="majorEastAsia"/>
          <w:i/>
        </w:rPr>
        <w:t>7</w:t>
      </w:r>
      <w:r w:rsidR="00346FED" w:rsidRPr="001836F4">
        <w:rPr>
          <w:rFonts w:eastAsiaTheme="majorEastAsia"/>
        </w:rPr>
        <w:t xml:space="preserve">, the nitrogen atoms would be partially ionized with a pH value of </w:t>
      </w:r>
      <w:r w:rsidR="00346FED" w:rsidRPr="58446DCE">
        <w:rPr>
          <w:rFonts w:eastAsiaTheme="majorEastAsia"/>
          <w:i/>
        </w:rPr>
        <w:t>7.4</w:t>
      </w:r>
      <w:r w:rsidR="00346FED" w:rsidRPr="001836F4">
        <w:rPr>
          <w:rFonts w:eastAsiaTheme="majorEastAsia"/>
        </w:rPr>
        <w:t xml:space="preserve">. However, Simufilam’s lipophilicity would still be supplemented by the benzyl and methyl groups that compose it. </w:t>
      </w:r>
    </w:p>
    <w:p w14:paraId="77119CCE" w14:textId="77777777" w:rsidR="00543C6C" w:rsidRPr="001836F4" w:rsidRDefault="00543C6C" w:rsidP="00F84A37">
      <w:pPr>
        <w:spacing w:line="360" w:lineRule="auto"/>
        <w:jc w:val="both"/>
        <w:rPr>
          <w:rFonts w:eastAsiaTheme="majorEastAsia"/>
        </w:rPr>
      </w:pPr>
    </w:p>
    <w:p w14:paraId="54740035" w14:textId="0F1DF8B4" w:rsidR="00346FED" w:rsidRPr="001836F4" w:rsidRDefault="00346FED" w:rsidP="00F84A37">
      <w:pPr>
        <w:spacing w:line="360" w:lineRule="auto"/>
        <w:jc w:val="both"/>
      </w:pPr>
      <w:r w:rsidRPr="001836F4">
        <w:rPr>
          <w:rFonts w:eastAsiaTheme="majorEastAsia"/>
        </w:rPr>
        <w:t>Their properties</w:t>
      </w:r>
      <w:r w:rsidR="00393C0A" w:rsidRPr="001836F4">
        <w:rPr>
          <w:rFonts w:eastAsiaTheme="majorEastAsia"/>
        </w:rPr>
        <w:t xml:space="preserve">, along with </w:t>
      </w:r>
      <w:r w:rsidRPr="001836F4">
        <w:rPr>
          <w:rFonts w:eastAsiaTheme="majorEastAsia"/>
        </w:rPr>
        <w:t>Simufilam’s size of ~</w:t>
      </w:r>
      <w:r w:rsidRPr="061547BD">
        <w:rPr>
          <w:rFonts w:eastAsiaTheme="majorEastAsia"/>
          <w:i/>
        </w:rPr>
        <w:t>259</w:t>
      </w:r>
      <w:r w:rsidRPr="001836F4">
        <w:rPr>
          <w:rFonts w:eastAsiaTheme="majorEastAsia"/>
        </w:rPr>
        <w:t xml:space="preserve"> g/mol</w:t>
      </w:r>
      <w:r w:rsidR="5A60F6E7" w:rsidRPr="5A60F6E7">
        <w:rPr>
          <w:rFonts w:eastAsiaTheme="majorEastAsia"/>
        </w:rPr>
        <w:t>,</w:t>
      </w:r>
      <w:r w:rsidRPr="001836F4">
        <w:rPr>
          <w:rFonts w:eastAsiaTheme="majorEastAsia"/>
        </w:rPr>
        <w:t xml:space="preserve"> should</w:t>
      </w:r>
      <w:r w:rsidR="1C9687AE" w:rsidRPr="1C9687AE">
        <w:rPr>
          <w:rFonts w:eastAsiaTheme="majorEastAsia"/>
        </w:rPr>
        <w:t>,</w:t>
      </w:r>
      <w:r w:rsidRPr="001836F4">
        <w:rPr>
          <w:rFonts w:eastAsiaTheme="majorEastAsia"/>
        </w:rPr>
        <w:t xml:space="preserve"> in part</w:t>
      </w:r>
      <w:r w:rsidR="1C9687AE" w:rsidRPr="1C9687AE">
        <w:rPr>
          <w:rFonts w:eastAsiaTheme="majorEastAsia"/>
        </w:rPr>
        <w:t>,</w:t>
      </w:r>
      <w:r w:rsidRPr="001836F4">
        <w:rPr>
          <w:rFonts w:eastAsiaTheme="majorEastAsia"/>
        </w:rPr>
        <w:t xml:space="preserve"> compensate for the partial ionization and therefore </w:t>
      </w:r>
      <w:r w:rsidR="4E68188F" w:rsidRPr="001836F4">
        <w:rPr>
          <w:rFonts w:eastAsiaTheme="majorEastAsia"/>
        </w:rPr>
        <w:t>allow</w:t>
      </w:r>
      <w:r w:rsidRPr="001836F4">
        <w:rPr>
          <w:rFonts w:eastAsiaTheme="majorEastAsia"/>
        </w:rPr>
        <w:t xml:space="preserve"> Simufilam to </w:t>
      </w:r>
      <w:r w:rsidR="6517D855" w:rsidRPr="6517D855">
        <w:rPr>
          <w:rFonts w:eastAsiaTheme="majorEastAsia"/>
        </w:rPr>
        <w:t>achieve</w:t>
      </w:r>
      <w:r w:rsidRPr="001836F4">
        <w:rPr>
          <w:rFonts w:eastAsiaTheme="majorEastAsia"/>
        </w:rPr>
        <w:t xml:space="preserve"> somewhat efficient BBB penetration. Nonetheless, this is all theoretical</w:t>
      </w:r>
      <w:r w:rsidR="2DB22EEC" w:rsidRPr="2DB22EEC">
        <w:rPr>
          <w:rFonts w:eastAsiaTheme="majorEastAsia"/>
        </w:rPr>
        <w:t>,</w:t>
      </w:r>
      <w:r w:rsidRPr="001836F4">
        <w:rPr>
          <w:rFonts w:eastAsiaTheme="majorEastAsia"/>
        </w:rPr>
        <w:t xml:space="preserve"> and only reliable clinical or preclinical data should be trusted </w:t>
      </w:r>
      <w:r w:rsidR="20E36359" w:rsidRPr="20E36359">
        <w:rPr>
          <w:rFonts w:eastAsiaTheme="majorEastAsia"/>
        </w:rPr>
        <w:t xml:space="preserve">regarding </w:t>
      </w:r>
      <w:r w:rsidRPr="001836F4">
        <w:rPr>
          <w:rFonts w:eastAsiaTheme="majorEastAsia"/>
        </w:rPr>
        <w:t xml:space="preserve">the BBB penetration efficiency </w:t>
      </w:r>
      <w:r w:rsidR="20E36359" w:rsidRPr="20E36359">
        <w:rPr>
          <w:rFonts w:eastAsiaTheme="majorEastAsia"/>
        </w:rPr>
        <w:t xml:space="preserve">of </w:t>
      </w:r>
      <w:r w:rsidRPr="001836F4">
        <w:rPr>
          <w:rFonts w:eastAsiaTheme="majorEastAsia"/>
        </w:rPr>
        <w:t>Simufilam.</w:t>
      </w:r>
    </w:p>
    <w:p w14:paraId="08F37681" w14:textId="77777777" w:rsidR="00017998" w:rsidRPr="001836F4" w:rsidRDefault="00017998" w:rsidP="00F84A37">
      <w:pPr>
        <w:spacing w:line="360" w:lineRule="auto"/>
        <w:jc w:val="both"/>
      </w:pPr>
    </w:p>
    <w:p w14:paraId="08714F6A" w14:textId="77777777" w:rsidR="00017998" w:rsidRPr="001836F4" w:rsidRDefault="00017998" w:rsidP="00F84A37">
      <w:pPr>
        <w:spacing w:line="360" w:lineRule="auto"/>
        <w:jc w:val="both"/>
      </w:pPr>
    </w:p>
    <w:p w14:paraId="30E0AA91" w14:textId="18C0D44E" w:rsidR="000C16B2" w:rsidRPr="001836F4" w:rsidRDefault="5183A6D9" w:rsidP="5183A6D9">
      <w:pPr>
        <w:pStyle w:val="Heading2"/>
        <w:rPr>
          <w:rFonts w:ascii="Times New Roman" w:eastAsia="Times New Roman" w:hAnsi="Times New Roman" w:cs="Times New Roman"/>
          <w:b/>
          <w:bCs/>
          <w:color w:val="auto"/>
        </w:rPr>
      </w:pPr>
      <w:bookmarkStart w:id="19" w:name="_2._Potential_Problems"/>
      <w:bookmarkStart w:id="20" w:name="_Toc755785178"/>
      <w:bookmarkEnd w:id="19"/>
      <w:r w:rsidRPr="5183A6D9">
        <w:rPr>
          <w:rFonts w:ascii="Times New Roman" w:eastAsia="Times New Roman" w:hAnsi="Times New Roman" w:cs="Times New Roman"/>
          <w:b/>
          <w:bCs/>
          <w:color w:val="auto"/>
        </w:rPr>
        <w:t>2. Potential Problems with Potency</w:t>
      </w:r>
      <w:bookmarkEnd w:id="20"/>
    </w:p>
    <w:p w14:paraId="1C6301AB" w14:textId="402B9269" w:rsidR="00017998" w:rsidRPr="001836F4" w:rsidRDefault="00F6337F" w:rsidP="00F84A37">
      <w:pPr>
        <w:spacing w:line="360" w:lineRule="auto"/>
        <w:jc w:val="both"/>
        <w:rPr>
          <w:rFonts w:eastAsiaTheme="majorEastAsia"/>
        </w:rPr>
      </w:pPr>
      <w:r w:rsidRPr="001836F4">
        <w:rPr>
          <w:rFonts w:eastAsiaTheme="majorEastAsia"/>
        </w:rPr>
        <w:t xml:space="preserve">Continually, another great indicator for a drug’s success is its potency. When looking at the LogP value, we can hypothesize that its suspected poor bioavailability and poor brain penetration may indicate a clear struggle deficiency to reach an effective concentration at the target site in the CNS </w:t>
      </w:r>
      <w:r w:rsidR="00825ED9" w:rsidRPr="001836F4">
        <w:rPr>
          <w:rFonts w:eastAsiaTheme="majorEastAsia"/>
        </w:rPr>
        <w:t>(</w:t>
      </w:r>
      <w:hyperlink r:id="rId36">
        <w:r w:rsidR="2C5959C6" w:rsidRPr="2C5959C6">
          <w:rPr>
            <w:rStyle w:val="Hyperlink"/>
            <w:rFonts w:eastAsiaTheme="majorEastAsia"/>
          </w:rPr>
          <w:t>Durrant Lab</w:t>
        </w:r>
      </w:hyperlink>
      <w:r w:rsidR="00825ED9" w:rsidRPr="001836F4">
        <w:rPr>
          <w:rFonts w:eastAsiaTheme="majorEastAsia"/>
        </w:rPr>
        <w:t>)</w:t>
      </w:r>
      <w:r w:rsidR="00F64DCA" w:rsidRPr="001836F4">
        <w:rPr>
          <w:rFonts w:eastAsiaTheme="majorEastAsia"/>
        </w:rPr>
        <w:t xml:space="preserve"> (</w:t>
      </w:r>
      <w:hyperlink r:id="rId37">
        <w:r w:rsidR="579AFDF2" w:rsidRPr="579AFDF2">
          <w:rPr>
            <w:rStyle w:val="Hyperlink"/>
            <w:rFonts w:eastAsiaTheme="majorEastAsia"/>
          </w:rPr>
          <w:t>Pajouhesh et al., 2005</w:t>
        </w:r>
      </w:hyperlink>
      <w:r w:rsidR="00F64DCA" w:rsidRPr="001836F4">
        <w:rPr>
          <w:rFonts w:eastAsiaTheme="majorEastAsia"/>
        </w:rPr>
        <w:t>)</w:t>
      </w:r>
      <w:r w:rsidR="008202AA" w:rsidRPr="001836F4">
        <w:rPr>
          <w:rFonts w:eastAsiaTheme="majorEastAsia"/>
        </w:rPr>
        <w:t xml:space="preserve">. </w:t>
      </w:r>
      <w:r w:rsidRPr="001836F4">
        <w:rPr>
          <w:rFonts w:eastAsiaTheme="majorEastAsia"/>
        </w:rPr>
        <w:t>This would indicate a low level of potency for Simufilam</w:t>
      </w:r>
      <w:r w:rsidR="2C5959C6" w:rsidRPr="2C5959C6">
        <w:rPr>
          <w:rFonts w:eastAsiaTheme="majorEastAsia"/>
        </w:rPr>
        <w:t>, which</w:t>
      </w:r>
      <w:r w:rsidRPr="001836F4">
        <w:rPr>
          <w:rFonts w:eastAsiaTheme="majorEastAsia"/>
        </w:rPr>
        <w:t xml:space="preserve"> may not deliver </w:t>
      </w:r>
      <w:r w:rsidR="2C5959C6" w:rsidRPr="2C5959C6">
        <w:rPr>
          <w:rFonts w:eastAsiaTheme="majorEastAsia"/>
        </w:rPr>
        <w:t xml:space="preserve">a </w:t>
      </w:r>
      <w:r w:rsidRPr="001836F4">
        <w:rPr>
          <w:rFonts w:eastAsiaTheme="majorEastAsia"/>
        </w:rPr>
        <w:t xml:space="preserve">sufficient </w:t>
      </w:r>
      <w:r w:rsidR="2C5959C6" w:rsidRPr="2C5959C6">
        <w:rPr>
          <w:rFonts w:eastAsiaTheme="majorEastAsia"/>
        </w:rPr>
        <w:t xml:space="preserve">level of </w:t>
      </w:r>
      <w:r w:rsidRPr="001836F4">
        <w:rPr>
          <w:rFonts w:eastAsiaTheme="majorEastAsia"/>
        </w:rPr>
        <w:t>active compound to the CNS for it to be significant</w:t>
      </w:r>
      <w:r w:rsidR="65B2504E" w:rsidRPr="65B2504E">
        <w:rPr>
          <w:rFonts w:eastAsiaTheme="majorEastAsia"/>
        </w:rPr>
        <w:t xml:space="preserve"> - </w:t>
      </w:r>
      <w:r w:rsidRPr="001836F4">
        <w:rPr>
          <w:rFonts w:eastAsiaTheme="majorEastAsia"/>
        </w:rPr>
        <w:t>even if the intrinsic potency of Simufilam were high</w:t>
      </w:r>
      <w:r w:rsidR="2C5959C6" w:rsidRPr="2C5959C6">
        <w:rPr>
          <w:rFonts w:eastAsiaTheme="majorEastAsia"/>
        </w:rPr>
        <w:t>.</w:t>
      </w:r>
      <w:r w:rsidRPr="001836F4">
        <w:rPr>
          <w:rFonts w:eastAsiaTheme="majorEastAsia"/>
        </w:rPr>
        <w:t xml:space="preserve"> </w:t>
      </w:r>
      <w:r w:rsidR="002D4116" w:rsidRPr="001836F4">
        <w:rPr>
          <w:rFonts w:eastAsiaTheme="majorEastAsia"/>
        </w:rPr>
        <w:t>(</w:t>
      </w:r>
      <w:hyperlink r:id="rId38">
        <w:r w:rsidR="579AFDF2" w:rsidRPr="579AFDF2">
          <w:rPr>
            <w:rStyle w:val="Hyperlink"/>
            <w:rFonts w:eastAsiaTheme="majorEastAsia"/>
          </w:rPr>
          <w:t>Pajouhesh et al., 2005</w:t>
        </w:r>
      </w:hyperlink>
      <w:r w:rsidR="579AFDF2" w:rsidRPr="579AFDF2">
        <w:rPr>
          <w:rFonts w:eastAsiaTheme="majorEastAsia"/>
        </w:rPr>
        <w:t>). </w:t>
      </w:r>
    </w:p>
    <w:p w14:paraId="4C69E642" w14:textId="77777777" w:rsidR="00017998" w:rsidRPr="001836F4" w:rsidRDefault="00017998" w:rsidP="00F84A37">
      <w:pPr>
        <w:spacing w:line="360" w:lineRule="auto"/>
        <w:jc w:val="both"/>
      </w:pPr>
    </w:p>
    <w:p w14:paraId="3D14BC51" w14:textId="77777777" w:rsidR="00017998" w:rsidRPr="001836F4" w:rsidRDefault="5183A6D9" w:rsidP="5183A6D9">
      <w:pPr>
        <w:pStyle w:val="Heading2"/>
        <w:rPr>
          <w:rFonts w:ascii="Times New Roman" w:eastAsia="Times New Roman" w:hAnsi="Times New Roman" w:cs="Times New Roman"/>
          <w:b/>
          <w:bCs/>
          <w:color w:val="auto"/>
        </w:rPr>
      </w:pPr>
      <w:bookmarkStart w:id="21" w:name="_3._Protein-Protein_Interactions"/>
      <w:bookmarkStart w:id="22" w:name="_Toc2112708832"/>
      <w:bookmarkEnd w:id="21"/>
      <w:r w:rsidRPr="5183A6D9">
        <w:rPr>
          <w:rFonts w:ascii="Times New Roman" w:eastAsia="Times New Roman" w:hAnsi="Times New Roman" w:cs="Times New Roman"/>
          <w:b/>
          <w:bCs/>
          <w:color w:val="auto"/>
        </w:rPr>
        <w:t>3. Protein-Protein Interactions and FLNA Targeting</w:t>
      </w:r>
      <w:bookmarkEnd w:id="22"/>
    </w:p>
    <w:p w14:paraId="5F894644" w14:textId="5DE844EC" w:rsidR="00017998" w:rsidRPr="001836F4" w:rsidRDefault="00017998" w:rsidP="00F84A37">
      <w:pPr>
        <w:spacing w:line="360" w:lineRule="auto"/>
        <w:jc w:val="both"/>
      </w:pPr>
      <w:r w:rsidRPr="001836F4">
        <w:t xml:space="preserve">Simufilam is based on modulating protein-protein interactions, specifically between FLNA and Aβ. Protein-protein interactions are notoriously difficult to target with small molecules </w:t>
      </w:r>
      <w:r w:rsidR="3A7BE725">
        <w:t>considering that</w:t>
      </w:r>
      <w:r w:rsidRPr="001836F4">
        <w:t xml:space="preserve"> these interactions usually involve large, flat, or irregular surfaces that do not have well-defined binding pockets.</w:t>
      </w:r>
    </w:p>
    <w:p w14:paraId="6634354C" w14:textId="77777777" w:rsidR="005A5A35" w:rsidRPr="001836F4" w:rsidRDefault="005A5A35" w:rsidP="00F84A37">
      <w:pPr>
        <w:spacing w:line="360" w:lineRule="auto"/>
        <w:jc w:val="both"/>
      </w:pPr>
    </w:p>
    <w:p w14:paraId="30598C8D" w14:textId="77777777" w:rsidR="00017998" w:rsidRPr="001836F4" w:rsidRDefault="00017998" w:rsidP="00F84A37">
      <w:pPr>
        <w:spacing w:line="360" w:lineRule="auto"/>
        <w:jc w:val="both"/>
      </w:pPr>
      <w:r w:rsidRPr="001836F4">
        <w:lastRenderedPageBreak/>
        <w:t>The notion that Simufilam can precisely modulate the interaction between FLNA and Aβ oligomers is highly speculative. Even if Simufilam does bind to FLNA, the idea that this will result in therapeutically beneficial effects, without disrupting other essential FLNA functions (involved in cell structure, signaling, and migration), is not supported by evidence. Targeting protein-protein interactions is a challenging strategy with a high rate of failure in drug development, and Simufilam’s mechanism does not address these difficulties convincingly.</w:t>
      </w:r>
    </w:p>
    <w:p w14:paraId="630CFCF2" w14:textId="77777777" w:rsidR="005A5A35" w:rsidRPr="001836F4" w:rsidRDefault="005A5A35" w:rsidP="00F84A37">
      <w:pPr>
        <w:spacing w:line="360" w:lineRule="auto"/>
        <w:jc w:val="both"/>
      </w:pPr>
    </w:p>
    <w:p w14:paraId="4F4D2285" w14:textId="3AA9710E" w:rsidR="005A5A35" w:rsidRPr="001836F4" w:rsidRDefault="3A9B8663" w:rsidP="00F84A37">
      <w:pPr>
        <w:spacing w:line="360" w:lineRule="auto"/>
        <w:jc w:val="both"/>
        <w:rPr>
          <w:rFonts w:eastAsiaTheme="majorEastAsia"/>
        </w:rPr>
      </w:pPr>
      <w:r w:rsidRPr="3A9B8663">
        <w:rPr>
          <w:rFonts w:eastAsiaTheme="majorEastAsia"/>
        </w:rPr>
        <w:t>Looking</w:t>
      </w:r>
      <w:r w:rsidR="005A5A35" w:rsidRPr="001836F4">
        <w:rPr>
          <w:rFonts w:eastAsiaTheme="majorEastAsia"/>
        </w:rPr>
        <w:t xml:space="preserve"> at this PPI inhibition</w:t>
      </w:r>
      <w:r w:rsidR="0F553BBC" w:rsidRPr="0F553BBC">
        <w:rPr>
          <w:rFonts w:eastAsiaTheme="majorEastAsia"/>
        </w:rPr>
        <w:t xml:space="preserve"> allegedly done by Simufilam.,</w:t>
      </w:r>
      <w:r w:rsidR="005A5A35" w:rsidRPr="001836F4">
        <w:rPr>
          <w:rFonts w:eastAsiaTheme="majorEastAsia"/>
        </w:rPr>
        <w:t xml:space="preserve"> multiple concerns must be raised regarding the efficacy of Simufilam. PPI drugs are notoriously hard to make</w:t>
      </w:r>
      <w:r w:rsidR="0F553BBC" w:rsidRPr="0F553BBC">
        <w:rPr>
          <w:rFonts w:eastAsiaTheme="majorEastAsia"/>
        </w:rPr>
        <w:t>,</w:t>
      </w:r>
      <w:r w:rsidR="005A5A35" w:rsidRPr="001836F4">
        <w:rPr>
          <w:rFonts w:eastAsiaTheme="majorEastAsia"/>
        </w:rPr>
        <w:t xml:space="preserve"> and when focusing on a neurodegenerative disease such as Alzheimer’s the task only gets more challenging </w:t>
      </w:r>
      <w:r w:rsidR="00D861FF" w:rsidRPr="001836F4">
        <w:rPr>
          <w:rFonts w:eastAsiaTheme="majorEastAsia"/>
        </w:rPr>
        <w:t>(</w:t>
      </w:r>
      <w:hyperlink r:id="rId39">
        <w:r w:rsidRPr="3A9B8663">
          <w:rPr>
            <w:rStyle w:val="Hyperlink"/>
            <w:rFonts w:eastAsiaTheme="majorEastAsia"/>
          </w:rPr>
          <w:t>Alzyoud et al., 2022</w:t>
        </w:r>
      </w:hyperlink>
      <w:r w:rsidRPr="3A9B8663">
        <w:rPr>
          <w:rFonts w:eastAsiaTheme="majorEastAsia"/>
        </w:rPr>
        <w:t>).</w:t>
      </w:r>
    </w:p>
    <w:p w14:paraId="6843BF78" w14:textId="77777777" w:rsidR="005A5A35" w:rsidRPr="001836F4" w:rsidRDefault="005A5A35" w:rsidP="00F84A37">
      <w:pPr>
        <w:spacing w:line="360" w:lineRule="auto"/>
        <w:jc w:val="both"/>
        <w:rPr>
          <w:rFonts w:eastAsiaTheme="majorEastAsia"/>
        </w:rPr>
      </w:pPr>
    </w:p>
    <w:p w14:paraId="2C4B31CB" w14:textId="346A3A8F" w:rsidR="005A5A35" w:rsidRPr="001836F4" w:rsidRDefault="005A5A35" w:rsidP="00F84A37">
      <w:pPr>
        <w:spacing w:line="360" w:lineRule="auto"/>
        <w:jc w:val="both"/>
        <w:rPr>
          <w:rFonts w:eastAsiaTheme="majorEastAsia"/>
        </w:rPr>
      </w:pPr>
      <w:r w:rsidRPr="001836F4">
        <w:rPr>
          <w:rFonts w:eastAsiaTheme="majorEastAsia"/>
        </w:rPr>
        <w:t xml:space="preserve">Furthermore, the core challenges of a PPI inhibition drug for AD </w:t>
      </w:r>
      <w:r w:rsidR="78342A21" w:rsidRPr="78342A21">
        <w:rPr>
          <w:rFonts w:eastAsiaTheme="majorEastAsia"/>
        </w:rPr>
        <w:t>include identifying</w:t>
      </w:r>
      <w:r w:rsidRPr="001836F4">
        <w:rPr>
          <w:rFonts w:eastAsiaTheme="majorEastAsia"/>
        </w:rPr>
        <w:t xml:space="preserve"> and </w:t>
      </w:r>
      <w:r w:rsidR="78342A21" w:rsidRPr="78342A21">
        <w:rPr>
          <w:rFonts w:eastAsiaTheme="majorEastAsia"/>
        </w:rPr>
        <w:t>validating</w:t>
      </w:r>
      <w:r w:rsidRPr="001836F4">
        <w:rPr>
          <w:rFonts w:eastAsiaTheme="majorEastAsia"/>
        </w:rPr>
        <w:t xml:space="preserve"> the target, the PPI’s structural complexity, dynamic design and conditions of protein structures, the off-target effects, BBB penetration, short half-life and tissue distribution, development of resistance to inhibition, and toxicity. After evaluating </w:t>
      </w:r>
      <w:r w:rsidR="78342A21" w:rsidRPr="78342A21">
        <w:rPr>
          <w:rFonts w:eastAsiaTheme="majorEastAsia"/>
        </w:rPr>
        <w:t>Simufilam’s</w:t>
      </w:r>
      <w:r w:rsidRPr="001836F4">
        <w:rPr>
          <w:rFonts w:eastAsiaTheme="majorEastAsia"/>
        </w:rPr>
        <w:t xml:space="preserve"> attempt to block the interaction between </w:t>
      </w:r>
      <w:r w:rsidR="214E5E7A" w:rsidRPr="214E5E7A">
        <w:rPr>
          <w:rFonts w:eastAsiaTheme="majorEastAsia"/>
        </w:rPr>
        <w:t>FLNA</w:t>
      </w:r>
      <w:r w:rsidRPr="001836F4">
        <w:rPr>
          <w:rFonts w:eastAsiaTheme="majorEastAsia"/>
        </w:rPr>
        <w:t xml:space="preserve"> and </w:t>
      </w:r>
      <w:r w:rsidR="7E117FFC" w:rsidRPr="7E117FFC">
        <w:rPr>
          <w:rFonts w:eastAsiaTheme="majorEastAsia"/>
        </w:rPr>
        <w:t>α7</w:t>
      </w:r>
      <w:r w:rsidRPr="001836F4">
        <w:rPr>
          <w:rFonts w:eastAsiaTheme="majorEastAsia"/>
        </w:rPr>
        <w:t xml:space="preserve"> nAChR</w:t>
      </w:r>
      <w:r w:rsidR="3CC55B4C" w:rsidRPr="3CC55B4C">
        <w:rPr>
          <w:rFonts w:eastAsiaTheme="majorEastAsia"/>
        </w:rPr>
        <w:t>, an</w:t>
      </w:r>
      <w:r w:rsidRPr="001836F4">
        <w:rPr>
          <w:rFonts w:eastAsiaTheme="majorEastAsia"/>
        </w:rPr>
        <w:t xml:space="preserve"> efficacy question regarding the drug’s PPI may arise. </w:t>
      </w:r>
    </w:p>
    <w:p w14:paraId="6B8D2735" w14:textId="77777777" w:rsidR="005A5A35" w:rsidRPr="001836F4" w:rsidRDefault="005A5A35" w:rsidP="00F84A37">
      <w:pPr>
        <w:spacing w:line="360" w:lineRule="auto"/>
        <w:jc w:val="both"/>
      </w:pPr>
    </w:p>
    <w:p w14:paraId="4E32A56B" w14:textId="2A273537" w:rsidR="005A5A35" w:rsidRPr="001836F4" w:rsidRDefault="005A5A35" w:rsidP="00F84A37">
      <w:pPr>
        <w:spacing w:line="360" w:lineRule="auto"/>
        <w:jc w:val="both"/>
        <w:rPr>
          <w:rFonts w:eastAsiaTheme="majorEastAsia"/>
        </w:rPr>
      </w:pPr>
      <w:r w:rsidRPr="001836F4">
        <w:rPr>
          <w:rFonts w:eastAsiaTheme="majorEastAsia"/>
        </w:rPr>
        <w:t xml:space="preserve">Firstly, designing a drug that targets protein-to-protein interaction is extremely difficult since these interactions frequently involve large, flat surfaces that prove to be hard to block with a small molecule drug such as Simufilam - lacking a clear binding pocket </w:t>
      </w:r>
      <w:hyperlink r:id="rId40" w:history="1">
        <w:r w:rsidR="005F27BB" w:rsidRPr="001836F4">
          <w:rPr>
            <w:rStyle w:val="Hyperlink"/>
            <w:rFonts w:eastAsiaTheme="majorEastAsia"/>
          </w:rPr>
          <w:t>(</w:t>
        </w:r>
        <w:r w:rsidR="00367C1B" w:rsidRPr="001836F4">
          <w:rPr>
            <w:rStyle w:val="Hyperlink"/>
            <w:rFonts w:eastAsiaTheme="majorEastAsia"/>
          </w:rPr>
          <w:t xml:space="preserve">Goncearenco et al., </w:t>
        </w:r>
        <w:r w:rsidR="00E8590D" w:rsidRPr="001836F4">
          <w:rPr>
            <w:rStyle w:val="Hyperlink"/>
            <w:rFonts w:eastAsiaTheme="majorEastAsia"/>
          </w:rPr>
          <w:t>2018</w:t>
        </w:r>
      </w:hyperlink>
      <w:r w:rsidR="00E8590D" w:rsidRPr="001836F4">
        <w:rPr>
          <w:rFonts w:eastAsiaTheme="majorEastAsia"/>
        </w:rPr>
        <w:t>).</w:t>
      </w:r>
    </w:p>
    <w:p w14:paraId="320B6465" w14:textId="77777777" w:rsidR="00FE248D" w:rsidRPr="001836F4" w:rsidRDefault="00FE248D" w:rsidP="00F84A37">
      <w:pPr>
        <w:spacing w:line="360" w:lineRule="auto"/>
        <w:jc w:val="both"/>
        <w:rPr>
          <w:rFonts w:eastAsiaTheme="majorEastAsia"/>
        </w:rPr>
      </w:pPr>
    </w:p>
    <w:p w14:paraId="5BC1F330" w14:textId="7CF33ADA" w:rsidR="005A5A35" w:rsidRPr="001836F4" w:rsidRDefault="005A5A35" w:rsidP="00F84A37">
      <w:pPr>
        <w:spacing w:line="360" w:lineRule="auto"/>
        <w:jc w:val="both"/>
        <w:rPr>
          <w:rFonts w:eastAsiaTheme="majorEastAsia"/>
        </w:rPr>
      </w:pPr>
      <w:r w:rsidRPr="001836F4">
        <w:rPr>
          <w:rFonts w:eastAsiaTheme="majorEastAsia"/>
        </w:rPr>
        <w:t xml:space="preserve">Contrary to drugs that target enzymes or receptors that have well-defined active sites, PPIs are difficult to design and making them effective is also a challenge </w:t>
      </w:r>
      <w:r w:rsidR="008D5730" w:rsidRPr="001836F4">
        <w:rPr>
          <w:rFonts w:eastAsiaTheme="majorEastAsia"/>
        </w:rPr>
        <w:t>(</w:t>
      </w:r>
      <w:hyperlink r:id="rId41" w:history="1">
        <w:r w:rsidR="008D5730" w:rsidRPr="001836F4">
          <w:rPr>
            <w:rStyle w:val="Hyperlink"/>
            <w:rFonts w:eastAsiaTheme="majorEastAsia"/>
          </w:rPr>
          <w:t xml:space="preserve">Lu et al., </w:t>
        </w:r>
        <w:r w:rsidR="00FE248D" w:rsidRPr="001836F4">
          <w:rPr>
            <w:rStyle w:val="Hyperlink"/>
            <w:rFonts w:eastAsiaTheme="majorEastAsia"/>
          </w:rPr>
          <w:t>2020</w:t>
        </w:r>
      </w:hyperlink>
      <w:r w:rsidR="008D5730" w:rsidRPr="001836F4">
        <w:rPr>
          <w:rFonts w:eastAsiaTheme="majorEastAsia"/>
        </w:rPr>
        <w:t xml:space="preserve">) </w:t>
      </w:r>
      <w:r w:rsidR="00FE248D" w:rsidRPr="001836F4">
        <w:rPr>
          <w:rFonts w:eastAsiaTheme="majorEastAsia"/>
        </w:rPr>
        <w:t>.</w:t>
      </w:r>
    </w:p>
    <w:p w14:paraId="71383B84" w14:textId="77777777" w:rsidR="001E726E" w:rsidRPr="001836F4" w:rsidRDefault="001E726E" w:rsidP="00F84A37">
      <w:pPr>
        <w:spacing w:line="360" w:lineRule="auto"/>
        <w:jc w:val="both"/>
      </w:pPr>
    </w:p>
    <w:p w14:paraId="3A9B6C5A" w14:textId="1BC3D6E0" w:rsidR="005A5A35" w:rsidRPr="001836F4" w:rsidRDefault="005A5A35" w:rsidP="00F84A37">
      <w:pPr>
        <w:spacing w:line="360" w:lineRule="auto"/>
        <w:jc w:val="both"/>
        <w:rPr>
          <w:rFonts w:eastAsiaTheme="majorEastAsia"/>
        </w:rPr>
      </w:pPr>
      <w:r w:rsidRPr="001836F4">
        <w:rPr>
          <w:rFonts w:eastAsiaTheme="majorEastAsia"/>
        </w:rPr>
        <w:t xml:space="preserve">Secondly, the inhibition of the FLNA-α7 nAChR interaction must not disrupt other essential PPIs or cellular functions. In this regard, Simufilam would need extensive tests to evaluate the specificity of the inhibitor and its impact on similar proteins or pathways that could be hindered </w:t>
      </w:r>
      <w:r w:rsidR="00743924" w:rsidRPr="001836F4">
        <w:rPr>
          <w:rFonts w:eastAsiaTheme="majorEastAsia"/>
        </w:rPr>
        <w:t>(</w:t>
      </w:r>
      <w:hyperlink r:id="rId42">
        <w:r w:rsidR="446F3831" w:rsidRPr="446F3831">
          <w:rPr>
            <w:rStyle w:val="Hyperlink"/>
            <w:rFonts w:eastAsiaTheme="majorEastAsia"/>
          </w:rPr>
          <w:t>King et al., 2017</w:t>
        </w:r>
      </w:hyperlink>
      <w:r w:rsidR="00743924" w:rsidRPr="001836F4">
        <w:rPr>
          <w:rFonts w:eastAsiaTheme="majorEastAsia"/>
        </w:rPr>
        <w:t>)</w:t>
      </w:r>
      <w:r w:rsidR="00EE1C70" w:rsidRPr="001836F4">
        <w:rPr>
          <w:rFonts w:eastAsiaTheme="majorEastAsia"/>
        </w:rPr>
        <w:t xml:space="preserve">. </w:t>
      </w:r>
      <w:r w:rsidRPr="001836F4">
        <w:rPr>
          <w:rFonts w:eastAsiaTheme="majorEastAsia"/>
        </w:rPr>
        <w:t xml:space="preserve">Acknowledging the concerning quality of these preclinical </w:t>
      </w:r>
      <w:r w:rsidR="523554CD" w:rsidRPr="523554CD">
        <w:rPr>
          <w:rFonts w:eastAsiaTheme="majorEastAsia"/>
        </w:rPr>
        <w:t>and clinical data,</w:t>
      </w:r>
      <w:r w:rsidRPr="001836F4">
        <w:rPr>
          <w:rFonts w:eastAsiaTheme="majorEastAsia"/>
        </w:rPr>
        <w:t xml:space="preserve"> in regard to the </w:t>
      </w:r>
      <w:r w:rsidR="523554CD" w:rsidRPr="523554CD">
        <w:rPr>
          <w:rFonts w:eastAsiaTheme="majorEastAsia"/>
        </w:rPr>
        <w:t>retraction</w:t>
      </w:r>
      <w:r w:rsidRPr="001836F4">
        <w:rPr>
          <w:rFonts w:eastAsiaTheme="majorEastAsia"/>
        </w:rPr>
        <w:t xml:space="preserve"> and multiple </w:t>
      </w:r>
      <w:r w:rsidR="523554CD" w:rsidRPr="523554CD">
        <w:rPr>
          <w:rFonts w:eastAsiaTheme="majorEastAsia"/>
        </w:rPr>
        <w:t>manipulations</w:t>
      </w:r>
      <w:r w:rsidRPr="001836F4">
        <w:rPr>
          <w:rFonts w:eastAsiaTheme="majorEastAsia"/>
        </w:rPr>
        <w:t xml:space="preserve"> that Dr. Wang has been </w:t>
      </w:r>
      <w:r w:rsidR="523554CD" w:rsidRPr="523554CD">
        <w:rPr>
          <w:rFonts w:eastAsiaTheme="majorEastAsia"/>
        </w:rPr>
        <w:t>found guilty of</w:t>
      </w:r>
      <w:r w:rsidRPr="001836F4">
        <w:rPr>
          <w:rFonts w:eastAsiaTheme="majorEastAsia"/>
        </w:rPr>
        <w:t xml:space="preserve"> (see section</w:t>
      </w:r>
      <w:r w:rsidR="446AE01D" w:rsidRPr="446AE01D">
        <w:rPr>
          <w:rFonts w:eastAsiaTheme="majorEastAsia"/>
        </w:rPr>
        <w:t xml:space="preserve"> </w:t>
      </w:r>
      <w:r w:rsidR="0E3F1176" w:rsidRPr="0B00E532">
        <w:rPr>
          <w:rFonts w:eastAsiaTheme="majorEastAsia"/>
          <w:i/>
        </w:rPr>
        <w:t xml:space="preserve">All The </w:t>
      </w:r>
      <w:r w:rsidR="5574BC5F" w:rsidRPr="0B00E532">
        <w:rPr>
          <w:rFonts w:eastAsiaTheme="majorEastAsia"/>
          <w:i/>
        </w:rPr>
        <w:t xml:space="preserve">Retracted </w:t>
      </w:r>
      <w:r w:rsidR="5551E1B4" w:rsidRPr="0B00E532">
        <w:rPr>
          <w:rFonts w:eastAsiaTheme="majorEastAsia"/>
          <w:i/>
        </w:rPr>
        <w:t>Papers</w:t>
      </w:r>
      <w:r w:rsidR="5574BC5F" w:rsidRPr="0B00E532">
        <w:rPr>
          <w:rFonts w:eastAsiaTheme="majorEastAsia"/>
          <w:i/>
        </w:rPr>
        <w:t xml:space="preserve"> of Dr.</w:t>
      </w:r>
      <w:r w:rsidR="523554CD" w:rsidRPr="0B00E532">
        <w:rPr>
          <w:rFonts w:eastAsiaTheme="majorEastAsia"/>
          <w:i/>
        </w:rPr>
        <w:t xml:space="preserve"> </w:t>
      </w:r>
      <w:r w:rsidR="5574BC5F" w:rsidRPr="0B00E532">
        <w:rPr>
          <w:rFonts w:eastAsiaTheme="majorEastAsia"/>
          <w:i/>
        </w:rPr>
        <w:t>Wang</w:t>
      </w:r>
      <w:r w:rsidR="0E3F1176" w:rsidRPr="0E3F1176">
        <w:rPr>
          <w:rFonts w:eastAsiaTheme="majorEastAsia"/>
        </w:rPr>
        <w:t>),</w:t>
      </w:r>
      <w:r w:rsidRPr="001836F4">
        <w:rPr>
          <w:rFonts w:eastAsiaTheme="majorEastAsia"/>
        </w:rPr>
        <w:t xml:space="preserve"> only a theorization can be </w:t>
      </w:r>
      <w:r w:rsidR="523554CD" w:rsidRPr="523554CD">
        <w:rPr>
          <w:rFonts w:eastAsiaTheme="majorEastAsia"/>
        </w:rPr>
        <w:t>made</w:t>
      </w:r>
      <w:r w:rsidRPr="001836F4">
        <w:rPr>
          <w:rFonts w:eastAsiaTheme="majorEastAsia"/>
        </w:rPr>
        <w:t xml:space="preserve"> regarding the </w:t>
      </w:r>
      <w:r w:rsidRPr="001836F4">
        <w:rPr>
          <w:rFonts w:eastAsiaTheme="majorEastAsia"/>
        </w:rPr>
        <w:lastRenderedPageBreak/>
        <w:t xml:space="preserve">impact of this inhibition on </w:t>
      </w:r>
      <w:r w:rsidR="001E726E" w:rsidRPr="001836F4">
        <w:rPr>
          <w:rFonts w:eastAsiaTheme="majorEastAsia"/>
        </w:rPr>
        <w:t>other</w:t>
      </w:r>
      <w:r w:rsidRPr="001836F4">
        <w:rPr>
          <w:rFonts w:eastAsiaTheme="majorEastAsia"/>
        </w:rPr>
        <w:t xml:space="preserve"> pathways</w:t>
      </w:r>
      <w:r w:rsidR="523554CD" w:rsidRPr="523554CD">
        <w:rPr>
          <w:rFonts w:eastAsiaTheme="majorEastAsia"/>
        </w:rPr>
        <w:t>,</w:t>
      </w:r>
      <w:r w:rsidRPr="001836F4">
        <w:rPr>
          <w:rFonts w:eastAsiaTheme="majorEastAsia"/>
        </w:rPr>
        <w:t xml:space="preserve"> some </w:t>
      </w:r>
      <w:r w:rsidR="523554CD" w:rsidRPr="523554CD">
        <w:rPr>
          <w:rFonts w:eastAsiaTheme="majorEastAsia"/>
        </w:rPr>
        <w:t>of which</w:t>
      </w:r>
      <w:r w:rsidRPr="001836F4">
        <w:rPr>
          <w:rFonts w:eastAsiaTheme="majorEastAsia"/>
        </w:rPr>
        <w:t xml:space="preserve"> could be affected by Simufilam’s alleged activity. In addition, the extended family of the nAChR could be affected by this binding. Knowing that the nAChR family may share similar binding motifs – even further complicating the action of Simufilam and its impact on Alzheimer’s </w:t>
      </w:r>
      <w:r w:rsidR="000903F9" w:rsidRPr="001836F4">
        <w:rPr>
          <w:rFonts w:eastAsiaTheme="majorEastAsia"/>
        </w:rPr>
        <w:t>(</w:t>
      </w:r>
      <w:hyperlink r:id="rId43">
        <w:r w:rsidR="446F3831" w:rsidRPr="446F3831">
          <w:rPr>
            <w:rStyle w:val="Hyperlink"/>
            <w:rFonts w:eastAsiaTheme="majorEastAsia"/>
          </w:rPr>
          <w:t>IUPHAR/BPS Guide</w:t>
        </w:r>
      </w:hyperlink>
      <w:r w:rsidR="446F3831" w:rsidRPr="446F3831">
        <w:rPr>
          <w:rFonts w:eastAsiaTheme="majorEastAsia"/>
        </w:rPr>
        <w:t>).</w:t>
      </w:r>
      <w:r w:rsidR="00923079" w:rsidRPr="001836F4">
        <w:rPr>
          <w:rFonts w:eastAsiaTheme="majorEastAsia"/>
        </w:rPr>
        <w:t xml:space="preserve"> </w:t>
      </w:r>
      <w:r w:rsidRPr="001836F4">
        <w:rPr>
          <w:rFonts w:eastAsiaTheme="majorEastAsia"/>
        </w:rPr>
        <w:t xml:space="preserve">Furthermore, the impact of α7 nAChR inhibition could hinder neurotransmission, </w:t>
      </w:r>
      <w:r w:rsidR="523554CD" w:rsidRPr="523554CD">
        <w:rPr>
          <w:rFonts w:eastAsiaTheme="majorEastAsia"/>
        </w:rPr>
        <w:t xml:space="preserve">and </w:t>
      </w:r>
      <w:r w:rsidRPr="001836F4">
        <w:rPr>
          <w:rFonts w:eastAsiaTheme="majorEastAsia"/>
        </w:rPr>
        <w:t xml:space="preserve">any inhibition could result in an unintended neurotoxic effect(s). Once more, </w:t>
      </w:r>
      <w:r w:rsidR="523554CD" w:rsidRPr="523554CD">
        <w:rPr>
          <w:rFonts w:eastAsiaTheme="majorEastAsia"/>
        </w:rPr>
        <w:t>this underlines</w:t>
      </w:r>
      <w:r w:rsidRPr="001836F4">
        <w:rPr>
          <w:rFonts w:eastAsiaTheme="majorEastAsia"/>
        </w:rPr>
        <w:t xml:space="preserve"> the importance of rigorous preclinical research regarding the profile and mechanism of a drug.</w:t>
      </w:r>
      <w:r w:rsidR="523554CD" w:rsidRPr="523554CD">
        <w:rPr>
          <w:rFonts w:eastAsiaTheme="majorEastAsia"/>
        </w:rPr>
        <w:t xml:space="preserve"> </w:t>
      </w:r>
      <w:r w:rsidRPr="001836F4">
        <w:rPr>
          <w:rFonts w:eastAsiaTheme="majorEastAsia"/>
        </w:rPr>
        <w:t> </w:t>
      </w:r>
    </w:p>
    <w:p w14:paraId="74555FB7" w14:textId="77777777" w:rsidR="00923079" w:rsidRPr="001836F4" w:rsidRDefault="00923079" w:rsidP="00F84A37">
      <w:pPr>
        <w:spacing w:line="360" w:lineRule="auto"/>
        <w:jc w:val="both"/>
      </w:pPr>
    </w:p>
    <w:p w14:paraId="73D7CB22" w14:textId="08B1D7A7" w:rsidR="00017998" w:rsidRPr="001836F4" w:rsidRDefault="005A5A35" w:rsidP="00F84A37">
      <w:pPr>
        <w:spacing w:line="360" w:lineRule="auto"/>
        <w:jc w:val="both"/>
        <w:rPr>
          <w:rFonts w:eastAsiaTheme="majorEastAsia"/>
        </w:rPr>
      </w:pPr>
      <w:r w:rsidRPr="001836F4">
        <w:rPr>
          <w:rFonts w:eastAsiaTheme="majorEastAsia"/>
        </w:rPr>
        <w:t>Thirdly, for a PPI inhibitor such as Simufilam</w:t>
      </w:r>
      <w:r w:rsidR="523554CD" w:rsidRPr="523554CD">
        <w:rPr>
          <w:rFonts w:eastAsiaTheme="majorEastAsia"/>
        </w:rPr>
        <w:t>,</w:t>
      </w:r>
      <w:r w:rsidRPr="001836F4">
        <w:rPr>
          <w:rFonts w:eastAsiaTheme="majorEastAsia"/>
        </w:rPr>
        <w:t xml:space="preserve"> to be effective it must be able to keep the PPI inhibited permanently – meaning that the bond should be covalent for the drug to be effective </w:t>
      </w:r>
      <w:r w:rsidR="00770AEB" w:rsidRPr="001836F4">
        <w:rPr>
          <w:rFonts w:eastAsiaTheme="majorEastAsia"/>
        </w:rPr>
        <w:t>(</w:t>
      </w:r>
      <w:hyperlink r:id="rId44">
        <w:r w:rsidR="4E68188F" w:rsidRPr="001836F4">
          <w:rPr>
            <w:rStyle w:val="Hyperlink"/>
            <w:rFonts w:eastAsiaTheme="majorEastAsia"/>
          </w:rPr>
          <w:t>Xie et al., 2023</w:t>
        </w:r>
      </w:hyperlink>
      <w:r w:rsidR="00770AEB" w:rsidRPr="001836F4">
        <w:rPr>
          <w:rFonts w:eastAsiaTheme="majorEastAsia"/>
        </w:rPr>
        <w:t>)</w:t>
      </w:r>
      <w:r w:rsidR="003E7A42" w:rsidRPr="001836F4">
        <w:rPr>
          <w:rFonts w:eastAsiaTheme="majorEastAsia"/>
        </w:rPr>
        <w:t>.</w:t>
      </w:r>
      <w:r w:rsidRPr="001836F4">
        <w:rPr>
          <w:rFonts w:eastAsiaTheme="majorEastAsia"/>
        </w:rPr>
        <w:t xml:space="preserve"> Simufilam needs to permanently disrupt the protein-to-protein interaction to have deep long-lasting effects and not temporary effects. As Simufilam does not form a covalent bond, the </w:t>
      </w:r>
      <w:r w:rsidR="0E89C8DD" w:rsidRPr="0E89C8DD">
        <w:rPr>
          <w:rFonts w:eastAsiaTheme="majorEastAsia"/>
        </w:rPr>
        <w:t>FLNA</w:t>
      </w:r>
      <w:r w:rsidR="523554CD" w:rsidRPr="523554CD">
        <w:rPr>
          <w:rFonts w:eastAsiaTheme="majorEastAsia"/>
        </w:rPr>
        <w:t xml:space="preserve"> – </w:t>
      </w:r>
      <w:r w:rsidR="48B4FB48" w:rsidRPr="48B4FB48">
        <w:rPr>
          <w:rFonts w:eastAsiaTheme="majorEastAsia"/>
        </w:rPr>
        <w:t>α7 nAChR</w:t>
      </w:r>
      <w:r w:rsidRPr="001836F4">
        <w:rPr>
          <w:rFonts w:eastAsiaTheme="majorEastAsia"/>
        </w:rPr>
        <w:t xml:space="preserve"> interaction would not be permanently inhibited – lacking in therapeutic efficiency </w:t>
      </w:r>
      <w:r w:rsidR="003E7A42" w:rsidRPr="001836F4">
        <w:rPr>
          <w:rFonts w:eastAsiaTheme="majorEastAsia"/>
        </w:rPr>
        <w:t>(</w:t>
      </w:r>
      <w:hyperlink r:id="rId45">
        <w:r w:rsidR="4E68188F" w:rsidRPr="001836F4">
          <w:rPr>
            <w:rStyle w:val="Hyperlink"/>
            <w:rFonts w:eastAsiaTheme="majorEastAsia"/>
          </w:rPr>
          <w:t>Faridoon et al., 2023</w:t>
        </w:r>
      </w:hyperlink>
      <w:r w:rsidR="4E68188F" w:rsidRPr="001836F4">
        <w:rPr>
          <w:rFonts w:eastAsiaTheme="majorEastAsia"/>
        </w:rPr>
        <w:t xml:space="preserve">). </w:t>
      </w:r>
      <w:r w:rsidRPr="001836F4">
        <w:rPr>
          <w:rFonts w:eastAsiaTheme="majorEastAsia"/>
        </w:rPr>
        <w:t xml:space="preserve">This issue </w:t>
      </w:r>
      <w:r w:rsidR="4E68188F" w:rsidRPr="001836F4">
        <w:rPr>
          <w:rFonts w:eastAsiaTheme="majorEastAsia"/>
        </w:rPr>
        <w:t>raises</w:t>
      </w:r>
      <w:r w:rsidRPr="001836F4">
        <w:rPr>
          <w:rFonts w:eastAsiaTheme="majorEastAsia"/>
        </w:rPr>
        <w:t xml:space="preserve"> additional doubts </w:t>
      </w:r>
      <w:r w:rsidR="6BBB6729" w:rsidRPr="6BBB6729">
        <w:rPr>
          <w:rFonts w:eastAsiaTheme="majorEastAsia"/>
        </w:rPr>
        <w:t>about</w:t>
      </w:r>
      <w:r w:rsidRPr="001836F4">
        <w:rPr>
          <w:rFonts w:eastAsiaTheme="majorEastAsia"/>
        </w:rPr>
        <w:t xml:space="preserve"> Simufilam’s effectiveness, </w:t>
      </w:r>
      <w:r w:rsidR="6BBB6729" w:rsidRPr="6BBB6729">
        <w:rPr>
          <w:rFonts w:eastAsiaTheme="majorEastAsia"/>
        </w:rPr>
        <w:t>given</w:t>
      </w:r>
      <w:r w:rsidRPr="001836F4">
        <w:rPr>
          <w:rFonts w:eastAsiaTheme="majorEastAsia"/>
        </w:rPr>
        <w:t xml:space="preserve"> that it would </w:t>
      </w:r>
      <w:r w:rsidR="6BBB6729" w:rsidRPr="6BBB6729">
        <w:rPr>
          <w:rFonts w:eastAsiaTheme="majorEastAsia"/>
        </w:rPr>
        <w:t>imply</w:t>
      </w:r>
      <w:r w:rsidRPr="001836F4">
        <w:rPr>
          <w:rFonts w:eastAsiaTheme="majorEastAsia"/>
        </w:rPr>
        <w:t xml:space="preserve"> frequent dosing is needed to maintain </w:t>
      </w:r>
      <w:r w:rsidR="6BBB6729" w:rsidRPr="6BBB6729">
        <w:rPr>
          <w:rFonts w:eastAsiaTheme="majorEastAsia"/>
        </w:rPr>
        <w:t xml:space="preserve">any </w:t>
      </w:r>
      <w:r w:rsidRPr="001836F4">
        <w:rPr>
          <w:rFonts w:eastAsiaTheme="majorEastAsia"/>
        </w:rPr>
        <w:t>therapeutic effect</w:t>
      </w:r>
      <w:r w:rsidR="021DFF3B" w:rsidRPr="021DFF3B">
        <w:rPr>
          <w:rFonts w:eastAsiaTheme="majorEastAsia"/>
        </w:rPr>
        <w:t xml:space="preserve"> - </w:t>
      </w:r>
      <w:r w:rsidRPr="001836F4">
        <w:rPr>
          <w:rFonts w:eastAsiaTheme="majorEastAsia"/>
        </w:rPr>
        <w:t>if any are present</w:t>
      </w:r>
      <w:r w:rsidR="021DFF3B" w:rsidRPr="021DFF3B">
        <w:rPr>
          <w:rFonts w:eastAsiaTheme="majorEastAsia"/>
        </w:rPr>
        <w:t>.</w:t>
      </w:r>
    </w:p>
    <w:p w14:paraId="5B27C489" w14:textId="77777777" w:rsidR="00017998" w:rsidRPr="001836F4" w:rsidRDefault="00017998" w:rsidP="00F84A37">
      <w:pPr>
        <w:spacing w:line="360" w:lineRule="auto"/>
        <w:jc w:val="both"/>
      </w:pPr>
    </w:p>
    <w:p w14:paraId="7671BBA3" w14:textId="77777777" w:rsidR="00017998" w:rsidRPr="001836F4" w:rsidRDefault="5183A6D9" w:rsidP="5183A6D9">
      <w:pPr>
        <w:pStyle w:val="Heading2"/>
        <w:rPr>
          <w:rFonts w:ascii="Times New Roman" w:eastAsia="Times New Roman" w:hAnsi="Times New Roman" w:cs="Times New Roman"/>
          <w:b/>
          <w:bCs/>
          <w:color w:val="auto"/>
        </w:rPr>
      </w:pPr>
      <w:bookmarkStart w:id="23" w:name="_4._Naloxone_Binding"/>
      <w:bookmarkStart w:id="24" w:name="_Toc670175646"/>
      <w:bookmarkEnd w:id="23"/>
      <w:r w:rsidRPr="5183A6D9">
        <w:rPr>
          <w:rFonts w:ascii="Times New Roman" w:eastAsia="Times New Roman" w:hAnsi="Times New Roman" w:cs="Times New Roman"/>
          <w:b/>
          <w:bCs/>
          <w:color w:val="auto"/>
        </w:rPr>
        <w:t>4. Naloxone Binding to FLNA and the VAKGL Peptide</w:t>
      </w:r>
      <w:bookmarkEnd w:id="24"/>
    </w:p>
    <w:p w14:paraId="043841D2" w14:textId="7ED2F861" w:rsidR="00017998" w:rsidRPr="001836F4" w:rsidRDefault="24B13765" w:rsidP="00F84A37">
      <w:pPr>
        <w:spacing w:line="360" w:lineRule="auto"/>
        <w:jc w:val="both"/>
      </w:pPr>
      <w:r>
        <w:t>Simufilam’s</w:t>
      </w:r>
      <w:r w:rsidR="00017998" w:rsidRPr="001836F4">
        <w:t xml:space="preserve"> interaction with FLNA</w:t>
      </w:r>
      <w:r w:rsidR="4859BDB2">
        <w:t xml:space="preserve"> </w:t>
      </w:r>
      <w:r w:rsidR="4B2777E0">
        <w:t>involves</w:t>
      </w:r>
      <w:r w:rsidR="00017998" w:rsidRPr="001836F4">
        <w:t xml:space="preserve"> </w:t>
      </w:r>
      <w:r w:rsidR="1799B06A">
        <w:t xml:space="preserve">the </w:t>
      </w:r>
      <w:r w:rsidR="00017998" w:rsidRPr="001836F4">
        <w:t>VAKGL peptide motif</w:t>
      </w:r>
      <w:r w:rsidR="1799B06A">
        <w:t>,</w:t>
      </w:r>
      <w:r w:rsidR="00017998" w:rsidRPr="001836F4">
        <w:t xml:space="preserve"> </w:t>
      </w:r>
      <w:r w:rsidR="7506CD2D">
        <w:t>which is</w:t>
      </w:r>
      <w:r w:rsidR="49C4E85F">
        <w:t xml:space="preserve"> present </w:t>
      </w:r>
      <w:r w:rsidR="00017998" w:rsidRPr="001836F4">
        <w:t>in the FLNA protein. Interestingly,</w:t>
      </w:r>
      <w:r w:rsidR="2D997476">
        <w:t xml:space="preserve"> </w:t>
      </w:r>
      <w:r w:rsidR="7739D0F1">
        <w:t>Naloxone</w:t>
      </w:r>
      <w:r w:rsidR="029610BD">
        <w:t>,</w:t>
      </w:r>
      <w:r w:rsidR="00017998" w:rsidRPr="001836F4">
        <w:t xml:space="preserve"> an opioid antagonist, has </w:t>
      </w:r>
      <w:r w:rsidR="1B23BC2A">
        <w:t>also been</w:t>
      </w:r>
      <w:r w:rsidR="00017998" w:rsidRPr="001836F4">
        <w:t xml:space="preserve"> shown to bind to FLNA at this site</w:t>
      </w:r>
      <w:r w:rsidR="6CD3FEDC">
        <w:t xml:space="preserve"> according to Dr. Wang.</w:t>
      </w:r>
      <w:r w:rsidR="00017998" w:rsidRPr="001836F4">
        <w:t xml:space="preserve"> However, naloxone’s binding to FLNA raises concerns about Simufilam’s specificity and potential off-target effects. </w:t>
      </w:r>
      <w:r w:rsidR="71EE8988">
        <w:t>If Naloxone</w:t>
      </w:r>
      <w:r w:rsidR="00017998" w:rsidRPr="001836F4">
        <w:t>, a drug used for opioid overdose, binds at the same site as Simufilam, this overlap could lead to competition for binding or unintended interactions with other physiological pathways.</w:t>
      </w:r>
    </w:p>
    <w:p w14:paraId="07A73375" w14:textId="77777777" w:rsidR="009664FD" w:rsidRPr="001836F4" w:rsidRDefault="009664FD" w:rsidP="00F84A37">
      <w:pPr>
        <w:spacing w:line="360" w:lineRule="auto"/>
        <w:jc w:val="both"/>
      </w:pPr>
    </w:p>
    <w:p w14:paraId="7D41D473" w14:textId="77777777" w:rsidR="00017998" w:rsidRPr="001836F4" w:rsidRDefault="00017998" w:rsidP="00F84A37">
      <w:pPr>
        <w:spacing w:line="360" w:lineRule="auto"/>
        <w:jc w:val="both"/>
      </w:pPr>
      <w:r w:rsidRPr="001836F4">
        <w:t>Furthermore, there is little evidence that modulating this interaction has a meaningful impact on Alzheimer’s pathology. FLNA’s involvement in Aβ toxicity remains speculative, and targeting a peptide like VAKGL may not significantly affect disease progression.</w:t>
      </w:r>
    </w:p>
    <w:p w14:paraId="01A43513" w14:textId="77777777" w:rsidR="00946CBA" w:rsidRPr="001836F4" w:rsidRDefault="00946CBA" w:rsidP="00F84A37">
      <w:pPr>
        <w:spacing w:line="360" w:lineRule="auto"/>
        <w:jc w:val="both"/>
      </w:pPr>
    </w:p>
    <w:p w14:paraId="37DA9728" w14:textId="0A7DC453" w:rsidR="00946CBA" w:rsidRPr="001836F4" w:rsidRDefault="00946CBA" w:rsidP="00F84A37">
      <w:pPr>
        <w:spacing w:line="360" w:lineRule="auto"/>
        <w:jc w:val="both"/>
        <w:rPr>
          <w:rFonts w:eastAsiaTheme="majorEastAsia"/>
        </w:rPr>
      </w:pPr>
      <w:r w:rsidRPr="001836F4">
        <w:rPr>
          <w:rFonts w:eastAsiaTheme="majorEastAsia"/>
        </w:rPr>
        <w:lastRenderedPageBreak/>
        <w:t xml:space="preserve">Looking at the 2008 study done by Dr Wang and Dr. </w:t>
      </w:r>
      <w:r w:rsidR="0F3C05DA" w:rsidRPr="0F3C05DA">
        <w:rPr>
          <w:rFonts w:eastAsiaTheme="majorEastAsia"/>
        </w:rPr>
        <w:t>Burns, they reported that Naloxone binds to FLNA with high affinity (</w:t>
      </w:r>
      <w:hyperlink r:id="rId46">
        <w:r w:rsidR="0F3C05DA" w:rsidRPr="0F3C05DA">
          <w:rPr>
            <w:rStyle w:val="Hyperlink"/>
            <w:rFonts w:eastAsiaTheme="majorEastAsia"/>
          </w:rPr>
          <w:t>Wang et al., 2008</w:t>
        </w:r>
      </w:hyperlink>
      <w:r w:rsidR="00954071" w:rsidRPr="001836F4">
        <w:rPr>
          <w:rFonts w:eastAsiaTheme="majorEastAsia"/>
        </w:rPr>
        <w:t>)</w:t>
      </w:r>
      <w:r w:rsidRPr="001836F4">
        <w:rPr>
          <w:rFonts w:eastAsiaTheme="majorEastAsia"/>
        </w:rPr>
        <w:t xml:space="preserve">. This alleged binding is of great importance since it suggests a new pathway for a new drug such as Simufilam </w:t>
      </w:r>
      <w:r w:rsidR="136AF3AB" w:rsidRPr="136AF3AB">
        <w:rPr>
          <w:rFonts w:eastAsiaTheme="majorEastAsia"/>
        </w:rPr>
        <w:t>which</w:t>
      </w:r>
      <w:r w:rsidRPr="001836F4">
        <w:rPr>
          <w:rFonts w:eastAsiaTheme="majorEastAsia"/>
        </w:rPr>
        <w:t xml:space="preserve"> could have similar effects – by disrupting FLNA’s interaction with receptors such as α7nAChR. The research clearly indicates that </w:t>
      </w:r>
      <w:r w:rsidR="0B4DAA51" w:rsidRPr="0B4DAA51">
        <w:rPr>
          <w:rFonts w:eastAsiaTheme="majorEastAsia"/>
        </w:rPr>
        <w:t xml:space="preserve">the binding of </w:t>
      </w:r>
      <w:r w:rsidR="4A75F797" w:rsidRPr="4A75F797">
        <w:rPr>
          <w:rFonts w:eastAsiaTheme="majorEastAsia"/>
        </w:rPr>
        <w:t>Naloxone</w:t>
      </w:r>
      <w:r w:rsidRPr="001836F4">
        <w:rPr>
          <w:rFonts w:eastAsiaTheme="majorEastAsia"/>
        </w:rPr>
        <w:t xml:space="preserve"> and </w:t>
      </w:r>
      <w:r w:rsidR="0B4DAA51" w:rsidRPr="0B4DAA51">
        <w:rPr>
          <w:rFonts w:eastAsiaTheme="majorEastAsia"/>
        </w:rPr>
        <w:t xml:space="preserve">Simufilam </w:t>
      </w:r>
      <w:r w:rsidRPr="001836F4">
        <w:rPr>
          <w:rFonts w:eastAsiaTheme="majorEastAsia"/>
        </w:rPr>
        <w:t xml:space="preserve">with FLNA </w:t>
      </w:r>
      <w:r w:rsidR="0B4DAA51" w:rsidRPr="0B4DAA51">
        <w:rPr>
          <w:rFonts w:eastAsiaTheme="majorEastAsia"/>
        </w:rPr>
        <w:t>is</w:t>
      </w:r>
      <w:r w:rsidRPr="001836F4">
        <w:rPr>
          <w:rFonts w:eastAsiaTheme="majorEastAsia"/>
        </w:rPr>
        <w:t xml:space="preserve"> extremely similar, suggesting that Simufilam mimics </w:t>
      </w:r>
      <w:r w:rsidR="331F744F" w:rsidRPr="331F744F">
        <w:rPr>
          <w:rFonts w:eastAsiaTheme="majorEastAsia"/>
        </w:rPr>
        <w:t>Naloxone’s</w:t>
      </w:r>
      <w:r w:rsidRPr="001836F4">
        <w:rPr>
          <w:rFonts w:eastAsiaTheme="majorEastAsia"/>
        </w:rPr>
        <w:t xml:space="preserve"> </w:t>
      </w:r>
      <w:r w:rsidR="04F78D97" w:rsidRPr="04F78D97">
        <w:rPr>
          <w:rFonts w:eastAsiaTheme="majorEastAsia"/>
        </w:rPr>
        <w:t xml:space="preserve">targeting </w:t>
      </w:r>
      <w:r w:rsidR="331F744F" w:rsidRPr="331F744F">
        <w:rPr>
          <w:rFonts w:eastAsiaTheme="majorEastAsia"/>
        </w:rPr>
        <w:t>of</w:t>
      </w:r>
      <w:r w:rsidRPr="001836F4">
        <w:rPr>
          <w:rFonts w:eastAsiaTheme="majorEastAsia"/>
        </w:rPr>
        <w:t xml:space="preserve"> FLNA</w:t>
      </w:r>
      <w:r w:rsidR="0B4DAA51" w:rsidRPr="0B4DAA51">
        <w:rPr>
          <w:rFonts w:eastAsiaTheme="majorEastAsia"/>
        </w:rPr>
        <w:t>.</w:t>
      </w:r>
      <w:r w:rsidRPr="001836F4">
        <w:rPr>
          <w:rFonts w:eastAsiaTheme="majorEastAsia"/>
        </w:rPr>
        <w:t xml:space="preserve"> </w:t>
      </w:r>
      <w:r w:rsidR="00F84C50" w:rsidRPr="001836F4">
        <w:rPr>
          <w:rFonts w:eastAsiaTheme="majorEastAsia"/>
        </w:rPr>
        <w:t>(</w:t>
      </w:r>
      <w:hyperlink r:id="rId47">
        <w:r w:rsidR="0F3C05DA" w:rsidRPr="0F3C05DA">
          <w:rPr>
            <w:rStyle w:val="Hyperlink"/>
            <w:rFonts w:eastAsiaTheme="majorEastAsia"/>
          </w:rPr>
          <w:t>Wang et al., 2008</w:t>
        </w:r>
      </w:hyperlink>
      <w:r w:rsidR="0F3C05DA" w:rsidRPr="0F3C05DA">
        <w:rPr>
          <w:rFonts w:eastAsiaTheme="majorEastAsia"/>
        </w:rPr>
        <w:t>) (</w:t>
      </w:r>
      <w:hyperlink r:id="rId48">
        <w:r w:rsidR="0F3C05DA" w:rsidRPr="0F3C05DA">
          <w:rPr>
            <w:rStyle w:val="Hyperlink"/>
            <w:rFonts w:eastAsiaTheme="majorEastAsia"/>
          </w:rPr>
          <w:t>Wang et al., 2023</w:t>
        </w:r>
      </w:hyperlink>
      <w:r w:rsidR="0F3C05DA" w:rsidRPr="0F3C05DA">
        <w:rPr>
          <w:rFonts w:eastAsiaTheme="majorEastAsia"/>
        </w:rPr>
        <w:t>). </w:t>
      </w:r>
    </w:p>
    <w:p w14:paraId="5FED5E65" w14:textId="77777777" w:rsidR="00C52E04" w:rsidRPr="001836F4" w:rsidRDefault="00C52E04" w:rsidP="00F84A37">
      <w:pPr>
        <w:spacing w:line="360" w:lineRule="auto"/>
        <w:jc w:val="both"/>
      </w:pPr>
    </w:p>
    <w:p w14:paraId="57E5A3DC" w14:textId="3902FAFA" w:rsidR="00946CBA" w:rsidRPr="001836F4" w:rsidRDefault="0AFEF097" w:rsidP="0AFEF097">
      <w:pPr>
        <w:spacing w:line="360" w:lineRule="auto"/>
        <w:jc w:val="both"/>
        <w:rPr>
          <w:rFonts w:eastAsiaTheme="majorEastAsia"/>
        </w:rPr>
      </w:pPr>
      <w:r w:rsidRPr="0AFEF097">
        <w:rPr>
          <w:rFonts w:eastAsiaTheme="majorEastAsia"/>
        </w:rPr>
        <w:t>Naloxone is an opioid antagonist mainly used to counteract the effects of opioid overdose (</w:t>
      </w:r>
      <w:hyperlink r:id="rId49">
        <w:r w:rsidRPr="0AFEF097">
          <w:rPr>
            <w:rStyle w:val="Hyperlink"/>
            <w:rFonts w:eastAsiaTheme="majorEastAsia"/>
          </w:rPr>
          <w:t>Wang et al., 2008</w:t>
        </w:r>
      </w:hyperlink>
      <w:r w:rsidRPr="0AFEF097">
        <w:rPr>
          <w:rFonts w:eastAsiaTheme="majorEastAsia"/>
        </w:rPr>
        <w:t>). These effects are achieved by blocking the effects of opioids in the brain, to do so Naloxone acts as an antagonist, meaning that it blocks the opioid receptors in the brain. The discovery of Dr. Wang and Dr. Burns in 2008 was the starting point for new research on the role and impact that FLNA has in neurobiology and overall neurodegenerative diseases, such as Alzheimer’s. The transition from Naloxone to Simufilam formerly known as PTI-125, was determined by the findings of misfolded FLNA in AD patients (</w:t>
      </w:r>
      <w:hyperlink r:id="rId50">
        <w:r w:rsidRPr="0AFEF097">
          <w:rPr>
            <w:rStyle w:val="Hyperlink"/>
            <w:rFonts w:eastAsiaTheme="majorEastAsia"/>
          </w:rPr>
          <w:t>Wang et al., 2012</w:t>
        </w:r>
      </w:hyperlink>
      <w:r w:rsidRPr="0AFEF097">
        <w:rPr>
          <w:rFonts w:eastAsiaTheme="majorEastAsia"/>
          <w:b/>
          <w:bCs/>
        </w:rPr>
        <w:t>)</w:t>
      </w:r>
      <w:r w:rsidRPr="0AFEF097">
        <w:rPr>
          <w:rFonts w:eastAsiaTheme="majorEastAsia"/>
        </w:rPr>
        <w:t xml:space="preserve">. This misfolding of FLNA leads to toxic signaling pathways that are associated with amyloid beta increased level in AD patients. This theory and findings are not well research, and the core studies are from Dr. Wang – the 2008 study has been retracted and some other data too (see section </w:t>
      </w:r>
      <w:r w:rsidRPr="0AFEF097">
        <w:rPr>
          <w:rFonts w:eastAsiaTheme="majorEastAsia"/>
          <w:i/>
          <w:iCs/>
        </w:rPr>
        <w:t>All The Retracted Papers of Dr. Wang</w:t>
      </w:r>
      <w:r w:rsidRPr="0AFEF097">
        <w:rPr>
          <w:rFonts w:eastAsiaTheme="majorEastAsia"/>
        </w:rPr>
        <w:t>).</w:t>
      </w:r>
    </w:p>
    <w:p w14:paraId="1B485334" w14:textId="77777777" w:rsidR="008926B0" w:rsidRPr="001836F4" w:rsidRDefault="008926B0" w:rsidP="00F84A37">
      <w:pPr>
        <w:spacing w:line="360" w:lineRule="auto"/>
        <w:jc w:val="both"/>
        <w:rPr>
          <w:rFonts w:eastAsiaTheme="majorEastAsia"/>
        </w:rPr>
      </w:pPr>
    </w:p>
    <w:p w14:paraId="1943F84A" w14:textId="633F7F7D" w:rsidR="00946CBA" w:rsidRPr="001836F4" w:rsidRDefault="00946CBA" w:rsidP="4A7EF25B">
      <w:pPr>
        <w:spacing w:line="360" w:lineRule="auto"/>
        <w:jc w:val="both"/>
        <w:rPr>
          <w:rFonts w:eastAsiaTheme="majorEastAsia"/>
        </w:rPr>
      </w:pPr>
      <w:r w:rsidRPr="001836F4">
        <w:rPr>
          <w:rFonts w:eastAsiaTheme="majorEastAsia"/>
        </w:rPr>
        <w:t xml:space="preserve">Now that the relationship background between </w:t>
      </w:r>
      <w:r w:rsidR="792A6711" w:rsidRPr="792A6711">
        <w:rPr>
          <w:rFonts w:eastAsiaTheme="majorEastAsia"/>
        </w:rPr>
        <w:t>Naloxone</w:t>
      </w:r>
      <w:r w:rsidRPr="001836F4">
        <w:rPr>
          <w:rFonts w:eastAsiaTheme="majorEastAsia"/>
        </w:rPr>
        <w:t xml:space="preserve"> and Simufilam has been </w:t>
      </w:r>
      <w:r w:rsidR="5D119E19" w:rsidRPr="001836F4">
        <w:rPr>
          <w:rFonts w:eastAsiaTheme="majorEastAsia"/>
        </w:rPr>
        <w:t>established</w:t>
      </w:r>
      <w:r w:rsidRPr="001836F4">
        <w:rPr>
          <w:rFonts w:eastAsiaTheme="majorEastAsia"/>
        </w:rPr>
        <w:t xml:space="preserve">, an assessment of the previous claims must be done. Previously stated, the only study that proves an alleged binding between FLNA and </w:t>
      </w:r>
      <w:r w:rsidR="00017831" w:rsidRPr="001836F4">
        <w:rPr>
          <w:rFonts w:eastAsiaTheme="majorEastAsia"/>
        </w:rPr>
        <w:t>N</w:t>
      </w:r>
      <w:r w:rsidRPr="001836F4">
        <w:rPr>
          <w:rFonts w:eastAsiaTheme="majorEastAsia"/>
        </w:rPr>
        <w:t>aloxone has been made by Dr. Wang and Dr. Burns in their 2008 paper</w:t>
      </w:r>
      <w:r w:rsidR="26A5F6E1" w:rsidRPr="26A5F6E1">
        <w:rPr>
          <w:rFonts w:eastAsiaTheme="majorEastAsia"/>
        </w:rPr>
        <w:t xml:space="preserve"> and</w:t>
      </w:r>
      <w:r w:rsidRPr="001836F4">
        <w:rPr>
          <w:rFonts w:eastAsiaTheme="majorEastAsia"/>
        </w:rPr>
        <w:t xml:space="preserve"> has been retracted by PLoS editors</w:t>
      </w:r>
      <w:r w:rsidR="008926B0" w:rsidRPr="001836F4">
        <w:rPr>
          <w:rFonts w:eastAsiaTheme="majorEastAsia"/>
        </w:rPr>
        <w:t xml:space="preserve"> (</w:t>
      </w:r>
      <w:hyperlink r:id="rId51">
        <w:r w:rsidR="5D119E19" w:rsidRPr="001836F4">
          <w:rPr>
            <w:rStyle w:val="Hyperlink"/>
            <w:rFonts w:eastAsiaTheme="majorEastAsia"/>
          </w:rPr>
          <w:t>Wang et al., 2008</w:t>
        </w:r>
      </w:hyperlink>
      <w:r w:rsidR="5D119E19" w:rsidRPr="001836F4">
        <w:rPr>
          <w:rFonts w:eastAsiaTheme="majorEastAsia"/>
        </w:rPr>
        <w:t>).</w:t>
      </w:r>
      <w:r w:rsidRPr="001836F4">
        <w:rPr>
          <w:rFonts w:eastAsiaTheme="majorEastAsia"/>
        </w:rPr>
        <w:t xml:space="preserve"> </w:t>
      </w:r>
      <w:r w:rsidR="3709CC6C" w:rsidRPr="3709CC6C">
        <w:rPr>
          <w:rFonts w:eastAsiaTheme="majorEastAsia"/>
        </w:rPr>
        <w:t>In addition</w:t>
      </w:r>
      <w:r w:rsidRPr="001836F4">
        <w:rPr>
          <w:rFonts w:eastAsiaTheme="majorEastAsia"/>
        </w:rPr>
        <w:t xml:space="preserve">, in the last 50 years no study </w:t>
      </w:r>
      <w:r w:rsidR="5D119E19" w:rsidRPr="001836F4">
        <w:rPr>
          <w:rFonts w:eastAsiaTheme="majorEastAsia"/>
        </w:rPr>
        <w:t>has proved</w:t>
      </w:r>
      <w:r w:rsidRPr="001836F4">
        <w:rPr>
          <w:rFonts w:eastAsiaTheme="majorEastAsia"/>
        </w:rPr>
        <w:t xml:space="preserve"> an alleged specific binding pocket for Naloxone in FLNA</w:t>
      </w:r>
      <w:r w:rsidR="74C17E32" w:rsidRPr="74C17E32">
        <w:rPr>
          <w:rFonts w:eastAsiaTheme="majorEastAsia"/>
        </w:rPr>
        <w:t>. Furthermore,</w:t>
      </w:r>
      <w:r w:rsidRPr="001836F4">
        <w:rPr>
          <w:rFonts w:eastAsiaTheme="majorEastAsia"/>
        </w:rPr>
        <w:t xml:space="preserve"> </w:t>
      </w:r>
      <w:r w:rsidR="007731E4" w:rsidRPr="001836F4">
        <w:rPr>
          <w:rFonts w:eastAsiaTheme="majorEastAsia"/>
        </w:rPr>
        <w:t>N</w:t>
      </w:r>
      <w:r w:rsidRPr="001836F4">
        <w:rPr>
          <w:rFonts w:eastAsiaTheme="majorEastAsia"/>
        </w:rPr>
        <w:t xml:space="preserve">aloxone does not target tissues with high FLNA expression </w:t>
      </w:r>
      <w:r w:rsidR="00B166D6" w:rsidRPr="001836F4">
        <w:rPr>
          <w:rFonts w:eastAsiaTheme="majorEastAsia"/>
        </w:rPr>
        <w:t>(</w:t>
      </w:r>
      <w:hyperlink r:id="rId52">
        <w:r w:rsidR="5D119E19" w:rsidRPr="001836F4">
          <w:rPr>
            <w:rStyle w:val="Hyperlink"/>
            <w:rFonts w:eastAsiaTheme="majorEastAsia"/>
          </w:rPr>
          <w:t>Pert et Snyder, 1973</w:t>
        </w:r>
      </w:hyperlink>
      <w:r w:rsidR="00B166D6" w:rsidRPr="001836F4">
        <w:rPr>
          <w:rFonts w:eastAsiaTheme="majorEastAsia"/>
        </w:rPr>
        <w:t>)</w:t>
      </w:r>
      <w:r w:rsidRPr="001836F4">
        <w:rPr>
          <w:rFonts w:eastAsiaTheme="majorEastAsia"/>
        </w:rPr>
        <w:t xml:space="preserve">. </w:t>
      </w:r>
      <w:r w:rsidR="6ED2C5AA" w:rsidRPr="6ED2C5AA">
        <w:rPr>
          <w:rFonts w:eastAsiaTheme="majorEastAsia"/>
        </w:rPr>
        <w:t>Thus</w:t>
      </w:r>
      <w:r w:rsidRPr="001836F4">
        <w:rPr>
          <w:rFonts w:eastAsiaTheme="majorEastAsia"/>
        </w:rPr>
        <w:t xml:space="preserve">, there </w:t>
      </w:r>
      <w:r w:rsidR="5D119E19" w:rsidRPr="001836F4">
        <w:rPr>
          <w:rFonts w:eastAsiaTheme="majorEastAsia"/>
        </w:rPr>
        <w:t>is</w:t>
      </w:r>
      <w:r w:rsidRPr="001836F4">
        <w:rPr>
          <w:rFonts w:eastAsiaTheme="majorEastAsia"/>
        </w:rPr>
        <w:t xml:space="preserve"> no compelling study </w:t>
      </w:r>
      <w:r w:rsidR="782BFE7A" w:rsidRPr="782BFE7A">
        <w:rPr>
          <w:rFonts w:eastAsiaTheme="majorEastAsia"/>
        </w:rPr>
        <w:t>that</w:t>
      </w:r>
      <w:r w:rsidRPr="001836F4">
        <w:rPr>
          <w:rFonts w:eastAsiaTheme="majorEastAsia"/>
        </w:rPr>
        <w:t xml:space="preserve"> </w:t>
      </w:r>
      <w:r w:rsidR="0DE15634" w:rsidRPr="0DE15634">
        <w:rPr>
          <w:rFonts w:eastAsiaTheme="majorEastAsia"/>
        </w:rPr>
        <w:t>proves a</w:t>
      </w:r>
      <w:r w:rsidRPr="001836F4">
        <w:rPr>
          <w:rFonts w:eastAsiaTheme="majorEastAsia"/>
        </w:rPr>
        <w:t xml:space="preserve"> binding site </w:t>
      </w:r>
      <w:r w:rsidR="70BE6F0B" w:rsidRPr="70BE6F0B">
        <w:rPr>
          <w:rFonts w:eastAsiaTheme="majorEastAsia"/>
        </w:rPr>
        <w:t>in</w:t>
      </w:r>
      <w:r w:rsidRPr="001836F4">
        <w:rPr>
          <w:rFonts w:eastAsiaTheme="majorEastAsia"/>
        </w:rPr>
        <w:t xml:space="preserve"> </w:t>
      </w:r>
      <w:r w:rsidR="4A7EF25B" w:rsidRPr="4A7EF25B">
        <w:rPr>
          <w:rFonts w:eastAsiaTheme="majorEastAsia"/>
        </w:rPr>
        <w:t>FLNA for</w:t>
      </w:r>
      <w:r w:rsidRPr="001836F4">
        <w:rPr>
          <w:rFonts w:eastAsiaTheme="majorEastAsia"/>
        </w:rPr>
        <w:t xml:space="preserve"> Naloxone. </w:t>
      </w:r>
    </w:p>
    <w:p w14:paraId="6DF31EE4" w14:textId="13ED940B" w:rsidR="00946CBA" w:rsidRPr="001836F4" w:rsidRDefault="00946CBA" w:rsidP="39386309">
      <w:pPr>
        <w:spacing w:line="360" w:lineRule="auto"/>
        <w:jc w:val="both"/>
        <w:rPr>
          <w:rFonts w:eastAsiaTheme="majorEastAsia"/>
        </w:rPr>
      </w:pPr>
    </w:p>
    <w:p w14:paraId="1FCC0FF5" w14:textId="5C8AA601" w:rsidR="00946CBA" w:rsidRPr="001836F4" w:rsidRDefault="5D119E19" w:rsidP="00F84A37">
      <w:pPr>
        <w:spacing w:line="360" w:lineRule="auto"/>
        <w:jc w:val="both"/>
        <w:rPr>
          <w:rFonts w:eastAsiaTheme="majorEastAsia"/>
        </w:rPr>
      </w:pPr>
      <w:r w:rsidRPr="001836F4">
        <w:rPr>
          <w:rFonts w:eastAsiaTheme="majorEastAsia"/>
        </w:rPr>
        <w:t>VAKGL is a pentapeptide (5 amino acids) sequence derived from the protein FLNA (</w:t>
      </w:r>
      <w:hyperlink r:id="rId53">
        <w:r w:rsidRPr="001836F4">
          <w:rPr>
            <w:rStyle w:val="Hyperlink"/>
            <w:rFonts w:eastAsiaTheme="majorEastAsia"/>
          </w:rPr>
          <w:t>Wang et Burns, 2009</w:t>
        </w:r>
      </w:hyperlink>
      <w:r w:rsidRPr="001836F4">
        <w:rPr>
          <w:rFonts w:eastAsiaTheme="majorEastAsia"/>
        </w:rPr>
        <w:t>).</w:t>
      </w:r>
    </w:p>
    <w:p w14:paraId="5C9BA998" w14:textId="77777777" w:rsidR="00A16836" w:rsidRPr="001836F4" w:rsidRDefault="00A16836" w:rsidP="00F84A37">
      <w:pPr>
        <w:spacing w:line="360" w:lineRule="auto"/>
        <w:jc w:val="both"/>
      </w:pPr>
    </w:p>
    <w:p w14:paraId="7ECADC51" w14:textId="5F13CF97" w:rsidR="007731E4" w:rsidRPr="001836F4" w:rsidRDefault="0813D418" w:rsidP="50037D12">
      <w:pPr>
        <w:spacing w:line="360" w:lineRule="auto"/>
        <w:jc w:val="both"/>
        <w:rPr>
          <w:rFonts w:eastAsiaTheme="majorEastAsia"/>
        </w:rPr>
      </w:pPr>
      <w:r w:rsidRPr="0813D418">
        <w:rPr>
          <w:rFonts w:eastAsiaTheme="majorEastAsia"/>
        </w:rPr>
        <w:lastRenderedPageBreak/>
        <w:t>No</w:t>
      </w:r>
      <w:r w:rsidR="00946CBA" w:rsidRPr="001836F4">
        <w:rPr>
          <w:rFonts w:eastAsiaTheme="majorEastAsia"/>
        </w:rPr>
        <w:t xml:space="preserve"> binding pocket was found near VAKGL in the structure of FLNA’s dimerization domain </w:t>
      </w:r>
      <w:r w:rsidR="00A16836" w:rsidRPr="001836F4">
        <w:rPr>
          <w:rFonts w:eastAsiaTheme="majorEastAsia"/>
        </w:rPr>
        <w:t>(</w:t>
      </w:r>
      <w:hyperlink r:id="rId54">
        <w:r w:rsidRPr="0813D418">
          <w:rPr>
            <w:rStyle w:val="Hyperlink"/>
            <w:rFonts w:eastAsiaTheme="majorEastAsia"/>
          </w:rPr>
          <w:t>Lee et al., 2008</w:t>
        </w:r>
      </w:hyperlink>
      <w:r w:rsidR="00A16836" w:rsidRPr="001836F4">
        <w:rPr>
          <w:rFonts w:eastAsiaTheme="majorEastAsia"/>
        </w:rPr>
        <w:t>)</w:t>
      </w:r>
      <w:r w:rsidR="00946CBA" w:rsidRPr="001836F4">
        <w:rPr>
          <w:rFonts w:eastAsiaTheme="majorEastAsia"/>
        </w:rPr>
        <w:t xml:space="preserve">. Furthermore, no model was ever proposed on the effects that an alleged binding of VAKGL may have on the overall structure and function of FLNA. Meaning that no evidence exists to prove that VAKGL binding could cause conformational change, overall changes </w:t>
      </w:r>
      <w:r w:rsidR="586698BC" w:rsidRPr="586698BC">
        <w:rPr>
          <w:rFonts w:eastAsiaTheme="majorEastAsia"/>
        </w:rPr>
        <w:t>or</w:t>
      </w:r>
      <w:r w:rsidR="00946CBA" w:rsidRPr="001836F4">
        <w:rPr>
          <w:rFonts w:eastAsiaTheme="majorEastAsia"/>
        </w:rPr>
        <w:t xml:space="preserve"> </w:t>
      </w:r>
      <w:r w:rsidR="0A7D868F" w:rsidRPr="0A7D868F">
        <w:rPr>
          <w:rFonts w:eastAsiaTheme="majorEastAsia"/>
        </w:rPr>
        <w:t>modulations</w:t>
      </w:r>
      <w:r w:rsidR="00946CBA" w:rsidRPr="001836F4">
        <w:rPr>
          <w:rFonts w:eastAsiaTheme="majorEastAsia"/>
        </w:rPr>
        <w:t xml:space="preserve"> in FLNA. Finally, VAKGL appears in many proteins, making this binding even more dubious. It is unclear why Naloxone would even bind specifically to FLNA</w:t>
      </w:r>
      <w:r w:rsidR="586698BC" w:rsidRPr="586698BC">
        <w:rPr>
          <w:rFonts w:eastAsiaTheme="majorEastAsia"/>
        </w:rPr>
        <w:t xml:space="preserve"> </w:t>
      </w:r>
      <w:r w:rsidR="50037D12" w:rsidRPr="50037D12">
        <w:rPr>
          <w:rFonts w:eastAsiaTheme="majorEastAsia"/>
        </w:rPr>
        <w:t>-</w:t>
      </w:r>
      <w:r w:rsidR="00946CBA" w:rsidRPr="001836F4">
        <w:rPr>
          <w:rFonts w:eastAsiaTheme="majorEastAsia"/>
        </w:rPr>
        <w:t xml:space="preserve"> VAKGL, and not bind to other proteins with VAKGL</w:t>
      </w:r>
      <w:r w:rsidR="50037D12" w:rsidRPr="50037D12">
        <w:rPr>
          <w:rFonts w:eastAsiaTheme="majorEastAsia"/>
        </w:rPr>
        <w:t>,</w:t>
      </w:r>
      <w:r w:rsidR="00946CBA" w:rsidRPr="001836F4">
        <w:rPr>
          <w:rFonts w:eastAsiaTheme="majorEastAsia"/>
        </w:rPr>
        <w:t xml:space="preserve"> that are present in dozens.</w:t>
      </w:r>
    </w:p>
    <w:p w14:paraId="7B77C5B9" w14:textId="280C29C7" w:rsidR="007731E4" w:rsidRPr="001836F4" w:rsidRDefault="007731E4" w:rsidP="50037D12">
      <w:pPr>
        <w:spacing w:line="360" w:lineRule="auto"/>
        <w:jc w:val="both"/>
        <w:rPr>
          <w:rFonts w:eastAsiaTheme="majorEastAsia"/>
        </w:rPr>
      </w:pPr>
    </w:p>
    <w:p w14:paraId="4F1CF8B0" w14:textId="0DA1DFC2" w:rsidR="007731E4" w:rsidRPr="001836F4" w:rsidRDefault="00946CBA" w:rsidP="15E28907">
      <w:pPr>
        <w:spacing w:line="360" w:lineRule="auto"/>
        <w:jc w:val="both"/>
        <w:rPr>
          <w:rFonts w:eastAsiaTheme="majorEastAsia"/>
        </w:rPr>
      </w:pPr>
      <w:r w:rsidRPr="001836F4">
        <w:rPr>
          <w:rFonts w:eastAsiaTheme="majorEastAsia"/>
        </w:rPr>
        <w:t xml:space="preserve">Simufilam’s finding was reportedly achieved through an in vitro screening assay where biotinylated VAKGL competed with FITC-tagged </w:t>
      </w:r>
      <w:r w:rsidR="1CF9DFDF" w:rsidRPr="1CF9DFDF">
        <w:rPr>
          <w:rFonts w:eastAsiaTheme="majorEastAsia"/>
        </w:rPr>
        <w:t>Naloxone</w:t>
      </w:r>
      <w:r w:rsidRPr="001836F4">
        <w:rPr>
          <w:rFonts w:eastAsiaTheme="majorEastAsia"/>
        </w:rPr>
        <w:t xml:space="preserve"> for binding</w:t>
      </w:r>
      <w:r w:rsidR="00474E73" w:rsidRPr="001836F4">
        <w:rPr>
          <w:rFonts w:eastAsiaTheme="majorEastAsia"/>
        </w:rPr>
        <w:t xml:space="preserve"> (</w:t>
      </w:r>
      <w:hyperlink r:id="rId55">
        <w:r w:rsidR="0813D418" w:rsidRPr="0813D418">
          <w:rPr>
            <w:rStyle w:val="Hyperlink"/>
            <w:rFonts w:eastAsiaTheme="majorEastAsia"/>
          </w:rPr>
          <w:t>Wang et Burns, 2009</w:t>
        </w:r>
      </w:hyperlink>
      <w:r w:rsidR="15E28907" w:rsidRPr="15E28907">
        <w:rPr>
          <w:rFonts w:eastAsiaTheme="majorEastAsia"/>
        </w:rPr>
        <w:t>). This suggests that both Simufilam and Naloxone may have a similar target in regard to the binding site. This screening technique highlighted the potential ability for Simufilam to influence or modulate these interactions – selectively interact with specific tagged molecules. However, all these findings are uncertain, and considering the controversy surrounding Dr. Wang’s work, as well as the fact that these hypotheses are based on a retracted paper, the results and final theories have yet to be proven and cannot be considered facts.</w:t>
      </w:r>
    </w:p>
    <w:p w14:paraId="5045E786" w14:textId="71671017" w:rsidR="007731E4" w:rsidRPr="001836F4" w:rsidRDefault="007731E4" w:rsidP="00F84A37">
      <w:pPr>
        <w:spacing w:line="360" w:lineRule="auto"/>
        <w:jc w:val="both"/>
        <w:rPr>
          <w:rFonts w:eastAsiaTheme="majorEastAsia"/>
        </w:rPr>
      </w:pPr>
    </w:p>
    <w:p w14:paraId="09C508F3" w14:textId="313184C7" w:rsidR="00946CBA" w:rsidRPr="001836F4" w:rsidRDefault="00946CBA" w:rsidP="0F9AD1A2">
      <w:pPr>
        <w:spacing w:line="360" w:lineRule="auto"/>
        <w:jc w:val="both"/>
        <w:rPr>
          <w:rFonts w:eastAsiaTheme="majorEastAsia"/>
        </w:rPr>
      </w:pPr>
      <w:r w:rsidRPr="001836F4">
        <w:rPr>
          <w:rFonts w:eastAsiaTheme="majorEastAsia"/>
        </w:rPr>
        <w:t xml:space="preserve">Following this, a group of researchers have made their own research to study and assess these claims </w:t>
      </w:r>
      <w:r w:rsidR="00561696" w:rsidRPr="001836F4">
        <w:rPr>
          <w:rFonts w:eastAsiaTheme="majorEastAsia"/>
        </w:rPr>
        <w:t>(</w:t>
      </w:r>
      <w:hyperlink r:id="rId56">
        <w:r w:rsidR="204A0F04" w:rsidRPr="204A0F04">
          <w:rPr>
            <w:rStyle w:val="Hyperlink"/>
            <w:rFonts w:eastAsiaTheme="majorEastAsia"/>
          </w:rPr>
          <w:t>Heilbut et al., 2022</w:t>
        </w:r>
      </w:hyperlink>
      <w:r w:rsidR="204A0F04" w:rsidRPr="204A0F04">
        <w:rPr>
          <w:rFonts w:eastAsiaTheme="majorEastAsia"/>
        </w:rPr>
        <w:t>).</w:t>
      </w:r>
      <w:r w:rsidR="0F9AD1A2" w:rsidRPr="0F9AD1A2">
        <w:rPr>
          <w:rFonts w:eastAsiaTheme="majorEastAsia"/>
        </w:rPr>
        <w:t xml:space="preserve"> </w:t>
      </w:r>
      <w:r w:rsidR="204A0F04" w:rsidRPr="204A0F04">
        <w:rPr>
          <w:rFonts w:eastAsiaTheme="majorEastAsia"/>
        </w:rPr>
        <w:t xml:space="preserve">Questioning the evidence of the binding of </w:t>
      </w:r>
      <w:r w:rsidR="514A174F" w:rsidRPr="514A174F">
        <w:rPr>
          <w:rFonts w:eastAsiaTheme="majorEastAsia"/>
        </w:rPr>
        <w:t>Naloxone</w:t>
      </w:r>
      <w:r w:rsidRPr="001836F4">
        <w:rPr>
          <w:rFonts w:eastAsiaTheme="majorEastAsia"/>
        </w:rPr>
        <w:t xml:space="preserve"> and Simufilam to VAKGL</w:t>
      </w:r>
      <w:r w:rsidR="6C16D133" w:rsidRPr="6C16D133">
        <w:rPr>
          <w:rFonts w:eastAsiaTheme="majorEastAsia"/>
        </w:rPr>
        <w:t xml:space="preserve"> is</w:t>
      </w:r>
      <w:r w:rsidRPr="001836F4">
        <w:rPr>
          <w:rFonts w:eastAsiaTheme="majorEastAsia"/>
        </w:rPr>
        <w:t xml:space="preserve"> a crucial </w:t>
      </w:r>
      <w:r w:rsidR="6C16D133" w:rsidRPr="6C16D133">
        <w:rPr>
          <w:rFonts w:eastAsiaTheme="majorEastAsia"/>
        </w:rPr>
        <w:t xml:space="preserve">issue, as </w:t>
      </w:r>
      <w:r w:rsidRPr="001836F4">
        <w:rPr>
          <w:rFonts w:eastAsiaTheme="majorEastAsia"/>
        </w:rPr>
        <w:t>without this alleged binding</w:t>
      </w:r>
      <w:r w:rsidR="6C16D133" w:rsidRPr="6C16D133">
        <w:rPr>
          <w:rFonts w:eastAsiaTheme="majorEastAsia"/>
        </w:rPr>
        <w:t>,</w:t>
      </w:r>
      <w:r w:rsidRPr="001836F4">
        <w:rPr>
          <w:rFonts w:eastAsiaTheme="majorEastAsia"/>
        </w:rPr>
        <w:t xml:space="preserve"> no operation can be done and therefore no therapeutic effects could ever be achieved. To do this, they used the </w:t>
      </w:r>
      <w:r w:rsidRPr="0F9AD1A2">
        <w:rPr>
          <w:rFonts w:eastAsiaTheme="majorEastAsia"/>
          <w:i/>
        </w:rPr>
        <w:t>Isothermal Titration Calorimetry</w:t>
      </w:r>
      <w:r w:rsidR="007731E4" w:rsidRPr="001836F4">
        <w:rPr>
          <w:rFonts w:eastAsiaTheme="majorEastAsia"/>
        </w:rPr>
        <w:t xml:space="preserve"> (ITC)</w:t>
      </w:r>
      <w:r w:rsidRPr="001836F4">
        <w:rPr>
          <w:rFonts w:eastAsiaTheme="majorEastAsia"/>
        </w:rPr>
        <w:t>.</w:t>
      </w:r>
    </w:p>
    <w:p w14:paraId="3E4B5831" w14:textId="399A0751" w:rsidR="00946CBA" w:rsidRPr="001836F4" w:rsidRDefault="00946CBA" w:rsidP="0F9AD1A2">
      <w:pPr>
        <w:spacing w:line="360" w:lineRule="auto"/>
        <w:jc w:val="both"/>
        <w:rPr>
          <w:rFonts w:eastAsiaTheme="majorEastAsia"/>
        </w:rPr>
      </w:pPr>
    </w:p>
    <w:p w14:paraId="728CE618" w14:textId="34B3A68C" w:rsidR="00946CBA" w:rsidRPr="001836F4" w:rsidRDefault="00946CBA" w:rsidP="00F84A37">
      <w:pPr>
        <w:spacing w:line="360" w:lineRule="auto"/>
        <w:jc w:val="both"/>
        <w:rPr>
          <w:rFonts w:eastAsiaTheme="majorEastAsia"/>
        </w:rPr>
      </w:pPr>
      <w:r w:rsidRPr="001836F4">
        <w:rPr>
          <w:rFonts w:eastAsiaTheme="majorEastAsia"/>
        </w:rPr>
        <w:t xml:space="preserve">ITC is a laboratory technique used in the measurement of thermodynamics of interactions between molecules, such as binding affinity (Kd) </w:t>
      </w:r>
      <w:r w:rsidR="00F8611D" w:rsidRPr="001836F4">
        <w:rPr>
          <w:rFonts w:eastAsiaTheme="majorEastAsia"/>
        </w:rPr>
        <w:t>(</w:t>
      </w:r>
      <w:hyperlink r:id="rId57">
        <w:r w:rsidR="204A0F04" w:rsidRPr="204A0F04">
          <w:rPr>
            <w:rStyle w:val="Hyperlink"/>
            <w:rFonts w:eastAsiaTheme="majorEastAsia"/>
          </w:rPr>
          <w:t>Measurlabs</w:t>
        </w:r>
      </w:hyperlink>
      <w:r w:rsidR="204A0F04" w:rsidRPr="204A0F04">
        <w:rPr>
          <w:rFonts w:eastAsiaTheme="majorEastAsia"/>
        </w:rPr>
        <w:t>).</w:t>
      </w:r>
      <w:r w:rsidRPr="001836F4">
        <w:rPr>
          <w:rFonts w:eastAsiaTheme="majorEastAsia"/>
        </w:rPr>
        <w:t xml:space="preserve"> It reflects how strongly the ligand binds to the target. ITC works by measuring the heat released or absorbed during the binding event in a solution. This provides a valuable take in the binding operation</w:t>
      </w:r>
      <w:r w:rsidR="7997117D" w:rsidRPr="7997117D">
        <w:rPr>
          <w:rFonts w:eastAsiaTheme="majorEastAsia"/>
        </w:rPr>
        <w:t xml:space="preserve"> </w:t>
      </w:r>
      <w:r w:rsidR="689963EA" w:rsidRPr="689963EA">
        <w:rPr>
          <w:rFonts w:eastAsiaTheme="majorEastAsia"/>
        </w:rPr>
        <w:t>-</w:t>
      </w:r>
      <w:r w:rsidRPr="001836F4">
        <w:rPr>
          <w:rFonts w:eastAsiaTheme="majorEastAsia"/>
        </w:rPr>
        <w:t xml:space="preserve"> how molecules interact on a biochemical level. Molecular interactions are governed by thermodynamic forces. Key contributors to non-covalent interactions include hydrogen bonding</w:t>
      </w:r>
      <w:r w:rsidR="689963EA" w:rsidRPr="689963EA">
        <w:rPr>
          <w:rFonts w:eastAsiaTheme="majorEastAsia"/>
        </w:rPr>
        <w:t xml:space="preserve"> -</w:t>
      </w:r>
      <w:r w:rsidRPr="001836F4">
        <w:rPr>
          <w:rFonts w:eastAsiaTheme="majorEastAsia"/>
        </w:rPr>
        <w:t xml:space="preserve"> </w:t>
      </w:r>
      <w:r w:rsidRPr="689963EA">
        <w:rPr>
          <w:rFonts w:eastAsiaTheme="majorEastAsia"/>
          <w:i/>
        </w:rPr>
        <w:t>van der Waals forces</w:t>
      </w:r>
      <w:r w:rsidR="689963EA" w:rsidRPr="689963EA">
        <w:rPr>
          <w:rFonts w:eastAsiaTheme="majorEastAsia"/>
          <w:i/>
          <w:iCs/>
        </w:rPr>
        <w:t xml:space="preserve"> -</w:t>
      </w:r>
      <w:r w:rsidRPr="689963EA">
        <w:rPr>
          <w:rFonts w:eastAsiaTheme="majorEastAsia"/>
          <w:i/>
        </w:rPr>
        <w:t xml:space="preserve"> </w:t>
      </w:r>
      <w:r w:rsidRPr="001836F4">
        <w:rPr>
          <w:rFonts w:eastAsiaTheme="majorEastAsia"/>
        </w:rPr>
        <w:t>hydrophobic effects, and entropy changes</w:t>
      </w:r>
      <w:r w:rsidR="002411CA" w:rsidRPr="001836F4">
        <w:rPr>
          <w:rFonts w:eastAsiaTheme="majorEastAsia"/>
        </w:rPr>
        <w:t xml:space="preserve"> (</w:t>
      </w:r>
      <w:hyperlink r:id="rId58">
        <w:r w:rsidR="204A0F04" w:rsidRPr="204A0F04">
          <w:rPr>
            <w:rStyle w:val="Hyperlink"/>
            <w:rFonts w:eastAsiaTheme="majorEastAsia"/>
          </w:rPr>
          <w:t>Mukherjee et al., 2023</w:t>
        </w:r>
      </w:hyperlink>
      <w:r w:rsidR="204A0F04" w:rsidRPr="204A0F04">
        <w:rPr>
          <w:rFonts w:eastAsiaTheme="majorEastAsia"/>
        </w:rPr>
        <w:t>).</w:t>
      </w:r>
      <w:r w:rsidRPr="001836F4">
        <w:rPr>
          <w:rFonts w:eastAsiaTheme="majorEastAsia"/>
        </w:rPr>
        <w:t xml:space="preserve"> These forces collectively </w:t>
      </w:r>
      <w:r w:rsidRPr="001836F4">
        <w:rPr>
          <w:rFonts w:eastAsiaTheme="majorEastAsia"/>
        </w:rPr>
        <w:lastRenderedPageBreak/>
        <w:t xml:space="preserve">influence the free energy change (ΔG) of the interaction, that the following equation represents: ΔG=ΔH−TΔS </w:t>
      </w:r>
      <w:r w:rsidR="00275413" w:rsidRPr="001836F4">
        <w:rPr>
          <w:rFonts w:eastAsiaTheme="majorEastAsia"/>
        </w:rPr>
        <w:t>(</w:t>
      </w:r>
      <w:hyperlink r:id="rId59">
        <w:r w:rsidR="204A0F04" w:rsidRPr="204A0F04">
          <w:rPr>
            <w:rStyle w:val="Hyperlink"/>
            <w:rFonts w:eastAsiaTheme="majorEastAsia"/>
          </w:rPr>
          <w:t>ICT</w:t>
        </w:r>
      </w:hyperlink>
      <w:r w:rsidR="204A0F04" w:rsidRPr="204A0F04">
        <w:rPr>
          <w:rFonts w:eastAsiaTheme="majorEastAsia"/>
        </w:rPr>
        <w:t>) (</w:t>
      </w:r>
      <w:hyperlink r:id="rId60">
        <w:r w:rsidR="204A0F04" w:rsidRPr="204A0F04">
          <w:rPr>
            <w:rStyle w:val="Hyperlink"/>
            <w:rFonts w:eastAsiaTheme="majorEastAsia"/>
          </w:rPr>
          <w:t>Cooper, 1999</w:t>
        </w:r>
      </w:hyperlink>
      <w:r w:rsidR="204A0F04" w:rsidRPr="204A0F04">
        <w:rPr>
          <w:rFonts w:eastAsiaTheme="majorEastAsia"/>
        </w:rPr>
        <w:t>)</w:t>
      </w:r>
    </w:p>
    <w:p w14:paraId="6869831A" w14:textId="77777777" w:rsidR="001C7D05" w:rsidRPr="001836F4" w:rsidRDefault="001C7D05" w:rsidP="00F84A37">
      <w:pPr>
        <w:spacing w:line="360" w:lineRule="auto"/>
        <w:jc w:val="both"/>
      </w:pPr>
    </w:p>
    <w:p w14:paraId="22641A7C" w14:textId="77777777" w:rsidR="00946CBA" w:rsidRPr="001836F4" w:rsidRDefault="00946CBA" w:rsidP="00EB10F6">
      <w:pPr>
        <w:numPr>
          <w:ilvl w:val="0"/>
          <w:numId w:val="23"/>
        </w:numPr>
        <w:spacing w:line="360" w:lineRule="auto"/>
        <w:jc w:val="both"/>
      </w:pPr>
      <w:r w:rsidRPr="001836F4">
        <w:rPr>
          <w:rFonts w:eastAsiaTheme="majorEastAsia"/>
          <w:b/>
          <w:bCs/>
        </w:rPr>
        <w:t>ΔG</w:t>
      </w:r>
      <w:r w:rsidRPr="001836F4">
        <w:rPr>
          <w:rFonts w:eastAsiaTheme="majorEastAsia"/>
        </w:rPr>
        <w:t xml:space="preserve"> is the Gibbs free energy change, determining the spontaneity of the reaction. </w:t>
      </w:r>
    </w:p>
    <w:p w14:paraId="7558D2F2" w14:textId="77777777" w:rsidR="00946CBA" w:rsidRPr="001836F4" w:rsidRDefault="00946CBA" w:rsidP="00EB10F6">
      <w:pPr>
        <w:numPr>
          <w:ilvl w:val="0"/>
          <w:numId w:val="24"/>
        </w:numPr>
        <w:spacing w:line="360" w:lineRule="auto"/>
        <w:jc w:val="both"/>
      </w:pPr>
      <w:r w:rsidRPr="001836F4">
        <w:rPr>
          <w:rFonts w:eastAsiaTheme="majorEastAsia"/>
          <w:b/>
          <w:bCs/>
        </w:rPr>
        <w:t>ΔH</w:t>
      </w:r>
      <w:r w:rsidRPr="001836F4">
        <w:rPr>
          <w:rFonts w:eastAsiaTheme="majorEastAsia"/>
        </w:rPr>
        <w:t xml:space="preserve"> is the enthalpy change, reflecting the heat absorbed or released during bond formation. </w:t>
      </w:r>
    </w:p>
    <w:p w14:paraId="6BA18E30" w14:textId="77777777" w:rsidR="00946CBA" w:rsidRPr="001836F4" w:rsidRDefault="00946CBA" w:rsidP="00EB10F6">
      <w:pPr>
        <w:numPr>
          <w:ilvl w:val="0"/>
          <w:numId w:val="25"/>
        </w:numPr>
        <w:spacing w:line="360" w:lineRule="auto"/>
        <w:jc w:val="both"/>
      </w:pPr>
      <w:r w:rsidRPr="001836F4">
        <w:rPr>
          <w:rFonts w:eastAsiaTheme="majorEastAsia"/>
          <w:b/>
          <w:bCs/>
        </w:rPr>
        <w:t>T</w:t>
      </w:r>
      <w:r w:rsidRPr="001836F4">
        <w:rPr>
          <w:rFonts w:eastAsiaTheme="majorEastAsia"/>
        </w:rPr>
        <w:t xml:space="preserve"> is the absolute temperature. </w:t>
      </w:r>
    </w:p>
    <w:p w14:paraId="2FD8C671" w14:textId="77777777" w:rsidR="00946CBA" w:rsidRPr="001836F4" w:rsidRDefault="00946CBA" w:rsidP="00EB10F6">
      <w:pPr>
        <w:numPr>
          <w:ilvl w:val="0"/>
          <w:numId w:val="26"/>
        </w:numPr>
        <w:spacing w:line="360" w:lineRule="auto"/>
        <w:jc w:val="both"/>
      </w:pPr>
      <w:r w:rsidRPr="001836F4">
        <w:rPr>
          <w:rFonts w:eastAsiaTheme="majorEastAsia"/>
          <w:b/>
          <w:bCs/>
        </w:rPr>
        <w:t>ΔS</w:t>
      </w:r>
      <w:r w:rsidRPr="001836F4">
        <w:rPr>
          <w:rFonts w:eastAsiaTheme="majorEastAsia"/>
        </w:rPr>
        <w:t xml:space="preserve"> is the entropy change, representing the degree of disorder or randomness in the system. </w:t>
      </w:r>
    </w:p>
    <w:p w14:paraId="2A41B265" w14:textId="77777777" w:rsidR="00946CBA" w:rsidRPr="001836F4" w:rsidRDefault="00946CBA" w:rsidP="00F84A37">
      <w:pPr>
        <w:spacing w:line="360" w:lineRule="auto"/>
        <w:jc w:val="both"/>
      </w:pPr>
      <w:r w:rsidRPr="001836F4">
        <w:rPr>
          <w:rFonts w:eastAsiaTheme="majorEastAsia"/>
        </w:rPr>
        <w:t> </w:t>
      </w:r>
    </w:p>
    <w:p w14:paraId="3565A243" w14:textId="77777777" w:rsidR="00946CBA" w:rsidRPr="001836F4" w:rsidRDefault="00946CBA" w:rsidP="00F84A37">
      <w:pPr>
        <w:spacing w:line="360" w:lineRule="auto"/>
        <w:jc w:val="both"/>
      </w:pPr>
      <w:r w:rsidRPr="001836F4">
        <w:rPr>
          <w:rFonts w:eastAsiaTheme="majorEastAsia"/>
        </w:rPr>
        <w:t>As molecules bind heat is released and measured by the ITC procedure, if no binding is </w:t>
      </w:r>
    </w:p>
    <w:p w14:paraId="170EA874" w14:textId="1B8F8746" w:rsidR="00946CBA" w:rsidRPr="001836F4" w:rsidRDefault="00946CBA" w:rsidP="00F84A37">
      <w:pPr>
        <w:spacing w:line="360" w:lineRule="auto"/>
        <w:jc w:val="both"/>
        <w:rPr>
          <w:rFonts w:eastAsiaTheme="majorEastAsia"/>
        </w:rPr>
      </w:pPr>
      <w:r w:rsidRPr="001836F4">
        <w:rPr>
          <w:rFonts w:eastAsiaTheme="majorEastAsia"/>
        </w:rPr>
        <w:t xml:space="preserve">operated, the ITC experiment will </w:t>
      </w:r>
      <w:r w:rsidR="77F91E8F" w:rsidRPr="77F91E8F">
        <w:rPr>
          <w:rFonts w:eastAsiaTheme="majorEastAsia"/>
        </w:rPr>
        <w:t>also report</w:t>
      </w:r>
      <w:r w:rsidRPr="001836F4">
        <w:rPr>
          <w:rFonts w:eastAsiaTheme="majorEastAsia"/>
        </w:rPr>
        <w:t xml:space="preserve"> it </w:t>
      </w:r>
      <w:r w:rsidR="00792F0A" w:rsidRPr="001836F4">
        <w:rPr>
          <w:rFonts w:eastAsiaTheme="majorEastAsia"/>
        </w:rPr>
        <w:t>(</w:t>
      </w:r>
      <w:hyperlink r:id="rId61">
        <w:r w:rsidR="5F857304" w:rsidRPr="5F857304">
          <w:rPr>
            <w:rStyle w:val="Hyperlink"/>
            <w:rFonts w:eastAsiaTheme="majorEastAsia"/>
          </w:rPr>
          <w:t>Harvard Medical School</w:t>
        </w:r>
      </w:hyperlink>
      <w:r w:rsidR="5F857304" w:rsidRPr="5F857304">
        <w:rPr>
          <w:rFonts w:eastAsiaTheme="majorEastAsia"/>
        </w:rPr>
        <w:t>).</w:t>
      </w:r>
      <w:r w:rsidRPr="001836F4">
        <w:rPr>
          <w:rFonts w:eastAsiaTheme="majorEastAsia"/>
        </w:rPr>
        <w:t xml:space="preserve"> The results of this experiment proved no evidence of any binding of </w:t>
      </w:r>
      <w:r w:rsidR="00CDCCB6" w:rsidRPr="00CDCCB6">
        <w:rPr>
          <w:rFonts w:eastAsiaTheme="majorEastAsia"/>
        </w:rPr>
        <w:t>Naloxone</w:t>
      </w:r>
      <w:r w:rsidRPr="001836F4">
        <w:rPr>
          <w:rFonts w:eastAsiaTheme="majorEastAsia"/>
        </w:rPr>
        <w:t xml:space="preserve"> or Simufilam to the target VAKGL – raising additional doubts on the mechanism of action of Simufilam. </w:t>
      </w:r>
    </w:p>
    <w:p w14:paraId="286121E4" w14:textId="77777777" w:rsidR="00946CBA" w:rsidRPr="001836F4" w:rsidRDefault="00946CBA" w:rsidP="00F84A37">
      <w:pPr>
        <w:spacing w:line="360" w:lineRule="auto"/>
        <w:jc w:val="both"/>
      </w:pPr>
      <w:r w:rsidRPr="001836F4">
        <w:rPr>
          <w:rFonts w:eastAsiaTheme="majorEastAsia"/>
        </w:rPr>
        <w:t> </w:t>
      </w:r>
    </w:p>
    <w:p w14:paraId="0C6E1B3F" w14:textId="452ACE3A" w:rsidR="00946CBA" w:rsidRPr="001836F4" w:rsidRDefault="00CDCCB6" w:rsidP="00F84A37">
      <w:pPr>
        <w:spacing w:line="360" w:lineRule="auto"/>
        <w:jc w:val="both"/>
        <w:rPr>
          <w:rFonts w:eastAsiaTheme="majorEastAsia"/>
        </w:rPr>
      </w:pPr>
      <w:r w:rsidRPr="00CDCCB6">
        <w:rPr>
          <w:rFonts w:eastAsiaTheme="majorEastAsia"/>
        </w:rPr>
        <w:t xml:space="preserve">See </w:t>
      </w:r>
      <w:r w:rsidRPr="00CDCCB6">
        <w:rPr>
          <w:rFonts w:eastAsiaTheme="majorEastAsia"/>
          <w:i/>
          <w:iCs/>
        </w:rPr>
        <w:t>Figure 2</w:t>
      </w:r>
      <w:r w:rsidRPr="00CDCCB6">
        <w:rPr>
          <w:rFonts w:eastAsiaTheme="majorEastAsia"/>
        </w:rPr>
        <w:t xml:space="preserve"> for the graphical results. </w:t>
      </w:r>
      <w:r w:rsidR="00946CBA" w:rsidRPr="001836F4">
        <w:rPr>
          <w:rFonts w:eastAsiaTheme="majorEastAsia"/>
        </w:rPr>
        <w:t>Here are the explained results</w:t>
      </w:r>
      <w:r w:rsidRPr="00CDCCB6">
        <w:rPr>
          <w:rFonts w:eastAsiaTheme="majorEastAsia"/>
        </w:rPr>
        <w:t>: Firstly</w:t>
      </w:r>
      <w:r w:rsidR="00946CBA" w:rsidRPr="001836F4">
        <w:rPr>
          <w:rFonts w:eastAsiaTheme="majorEastAsia"/>
        </w:rPr>
        <w:t>, the water + water interaction had no signal</w:t>
      </w:r>
      <w:r w:rsidRPr="00CDCCB6">
        <w:rPr>
          <w:rFonts w:eastAsiaTheme="majorEastAsia"/>
        </w:rPr>
        <w:t>, as</w:t>
      </w:r>
      <w:r w:rsidR="00946CBA" w:rsidRPr="001836F4">
        <w:rPr>
          <w:rFonts w:eastAsiaTheme="majorEastAsia"/>
        </w:rPr>
        <w:t xml:space="preserve"> expected. Secondly, Acetazolamide + CAII had clear signal data of binding</w:t>
      </w:r>
      <w:r w:rsidRPr="00CDCCB6">
        <w:rPr>
          <w:rFonts w:eastAsiaTheme="majorEastAsia"/>
        </w:rPr>
        <w:t>, pointing</w:t>
      </w:r>
      <w:r w:rsidR="00946CBA" w:rsidRPr="001836F4">
        <w:rPr>
          <w:rFonts w:eastAsiaTheme="majorEastAsia"/>
        </w:rPr>
        <w:t xml:space="preserve"> to </w:t>
      </w:r>
      <w:r w:rsidRPr="00CDCCB6">
        <w:rPr>
          <w:rFonts w:eastAsiaTheme="majorEastAsia"/>
        </w:rPr>
        <w:t>a point</w:t>
      </w:r>
      <w:r w:rsidR="00946CBA" w:rsidRPr="001836F4">
        <w:rPr>
          <w:rFonts w:eastAsiaTheme="majorEastAsia"/>
        </w:rPr>
        <w:t xml:space="preserve"> where binding is saturable (meaning that there is a finite number of binding sites on the target molecule</w:t>
      </w:r>
      <w:r w:rsidRPr="00CDCCB6">
        <w:rPr>
          <w:rFonts w:eastAsiaTheme="majorEastAsia"/>
        </w:rPr>
        <w:t>, and</w:t>
      </w:r>
      <w:r w:rsidR="00946CBA" w:rsidRPr="001836F4">
        <w:rPr>
          <w:rFonts w:eastAsiaTheme="majorEastAsia"/>
        </w:rPr>
        <w:t xml:space="preserve"> all the sites are occupied by the ligand</w:t>
      </w:r>
      <w:r w:rsidRPr="00CDCCB6">
        <w:rPr>
          <w:rFonts w:eastAsiaTheme="majorEastAsia"/>
        </w:rPr>
        <w:t xml:space="preserve">). </w:t>
      </w:r>
      <w:r w:rsidR="00946CBA" w:rsidRPr="001836F4">
        <w:rPr>
          <w:rFonts w:eastAsiaTheme="majorEastAsia"/>
        </w:rPr>
        <w:t>Thirdly, Naloxone + VAKGL peptide had no signal of binding</w:t>
      </w:r>
      <w:r w:rsidRPr="00CDCCB6">
        <w:rPr>
          <w:rFonts w:eastAsiaTheme="majorEastAsia"/>
        </w:rPr>
        <w:t>,</w:t>
      </w:r>
      <w:r w:rsidR="00946CBA" w:rsidRPr="001836F4">
        <w:rPr>
          <w:rFonts w:eastAsiaTheme="majorEastAsia"/>
        </w:rPr>
        <w:t xml:space="preserve"> which is </w:t>
      </w:r>
      <w:r w:rsidRPr="00CDCCB6">
        <w:rPr>
          <w:rFonts w:eastAsiaTheme="majorEastAsia"/>
        </w:rPr>
        <w:t>concerning.</w:t>
      </w:r>
      <w:r w:rsidR="00946CBA" w:rsidRPr="001836F4">
        <w:rPr>
          <w:rFonts w:eastAsiaTheme="majorEastAsia"/>
        </w:rPr>
        <w:t xml:space="preserve"> Finally, Simufilam + VAKGL </w:t>
      </w:r>
      <w:r w:rsidRPr="00CDCCB6">
        <w:rPr>
          <w:rFonts w:eastAsiaTheme="majorEastAsia"/>
        </w:rPr>
        <w:t xml:space="preserve">and </w:t>
      </w:r>
      <w:r w:rsidR="00946CBA" w:rsidRPr="001836F4">
        <w:rPr>
          <w:rFonts w:eastAsiaTheme="majorEastAsia"/>
        </w:rPr>
        <w:t xml:space="preserve">Simufilam + VAAGL (-ve ctrl) also </w:t>
      </w:r>
      <w:r w:rsidRPr="00CDCCB6">
        <w:rPr>
          <w:rFonts w:eastAsiaTheme="majorEastAsia"/>
        </w:rPr>
        <w:t xml:space="preserve">had </w:t>
      </w:r>
      <w:r w:rsidR="00946CBA" w:rsidRPr="001836F4">
        <w:rPr>
          <w:rFonts w:eastAsiaTheme="majorEastAsia"/>
        </w:rPr>
        <w:t>no signal of binding</w:t>
      </w:r>
      <w:r w:rsidRPr="00CDCCB6">
        <w:rPr>
          <w:rFonts w:eastAsiaTheme="majorEastAsia"/>
        </w:rPr>
        <w:t>, which is logical</w:t>
      </w:r>
      <w:r w:rsidR="00946CBA" w:rsidRPr="001836F4">
        <w:rPr>
          <w:rFonts w:eastAsiaTheme="majorEastAsia"/>
        </w:rPr>
        <w:t xml:space="preserve"> since </w:t>
      </w:r>
      <w:r w:rsidRPr="00CDCCB6">
        <w:rPr>
          <w:rFonts w:eastAsiaTheme="majorEastAsia"/>
        </w:rPr>
        <w:t>it</w:t>
      </w:r>
      <w:r w:rsidR="00946CBA" w:rsidRPr="001836F4">
        <w:rPr>
          <w:rFonts w:eastAsiaTheme="majorEastAsia"/>
        </w:rPr>
        <w:t xml:space="preserve"> theoretically mimics </w:t>
      </w:r>
      <w:r w:rsidRPr="00CDCCB6">
        <w:rPr>
          <w:rFonts w:eastAsiaTheme="majorEastAsia"/>
        </w:rPr>
        <w:t>Naloxone’s binding.</w:t>
      </w:r>
      <w:r w:rsidR="00946CBA" w:rsidRPr="001836F4">
        <w:rPr>
          <w:rFonts w:eastAsiaTheme="majorEastAsia"/>
        </w:rPr>
        <w:t xml:space="preserve"> </w:t>
      </w:r>
      <w:r w:rsidR="005803B0" w:rsidRPr="001836F4">
        <w:rPr>
          <w:rFonts w:eastAsiaTheme="majorEastAsia"/>
        </w:rPr>
        <w:t>(</w:t>
      </w:r>
      <w:hyperlink r:id="rId62">
        <w:r w:rsidR="5D119E19" w:rsidRPr="001836F4">
          <w:rPr>
            <w:rStyle w:val="Hyperlink"/>
            <w:rFonts w:eastAsiaTheme="majorEastAsia"/>
          </w:rPr>
          <w:t>Heilbut et al., 2022</w:t>
        </w:r>
      </w:hyperlink>
      <w:r w:rsidR="5D119E19" w:rsidRPr="001836F4">
        <w:rPr>
          <w:rFonts w:eastAsiaTheme="majorEastAsia"/>
        </w:rPr>
        <w:t>).</w:t>
      </w:r>
    </w:p>
    <w:p w14:paraId="771802CB" w14:textId="77777777" w:rsidR="00946CBA" w:rsidRPr="001836F4" w:rsidRDefault="00946CBA" w:rsidP="00F84A37">
      <w:pPr>
        <w:spacing w:line="360" w:lineRule="auto"/>
        <w:jc w:val="both"/>
      </w:pPr>
      <w:r w:rsidRPr="001836F4">
        <w:rPr>
          <w:rFonts w:eastAsiaTheme="majorEastAsia"/>
        </w:rPr>
        <w:t> </w:t>
      </w:r>
    </w:p>
    <w:p w14:paraId="6F302DD0" w14:textId="7582591D" w:rsidR="00946CBA" w:rsidRPr="001836F4" w:rsidRDefault="00946CBA" w:rsidP="00F84A37">
      <w:pPr>
        <w:spacing w:line="360" w:lineRule="auto"/>
        <w:jc w:val="both"/>
      </w:pPr>
      <w:r>
        <w:rPr>
          <w:noProof/>
        </w:rPr>
        <w:lastRenderedPageBreak/>
        <w:drawing>
          <wp:inline distT="0" distB="0" distL="0" distR="0" wp14:anchorId="255C9682" wp14:editId="4974A063">
            <wp:extent cx="5943600" cy="6216650"/>
            <wp:effectExtent l="0" t="0" r="0" b="6350"/>
            <wp:docPr id="819822980" name="Picture 1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63">
                      <a:extLst>
                        <a:ext uri="{28A0092B-C50C-407E-A947-70E740481C1C}">
                          <a14:useLocalDpi xmlns:a14="http://schemas.microsoft.com/office/drawing/2010/main" val="0"/>
                        </a:ext>
                      </a:extLst>
                    </a:blip>
                    <a:stretch>
                      <a:fillRect/>
                    </a:stretch>
                  </pic:blipFill>
                  <pic:spPr>
                    <a:xfrm>
                      <a:off x="0" y="0"/>
                      <a:ext cx="5943600" cy="6216650"/>
                    </a:xfrm>
                    <a:prstGeom prst="rect">
                      <a:avLst/>
                    </a:prstGeom>
                  </pic:spPr>
                </pic:pic>
              </a:graphicData>
            </a:graphic>
          </wp:inline>
        </w:drawing>
      </w:r>
      <w:r w:rsidR="00CDCCB6" w:rsidRPr="00CDCCB6">
        <w:rPr>
          <w:rFonts w:eastAsiaTheme="majorEastAsia"/>
        </w:rPr>
        <w:t xml:space="preserve">  </w:t>
      </w:r>
      <w:r w:rsidR="00CDCCB6" w:rsidRPr="00CDCCB6">
        <w:rPr>
          <w:rFonts w:eastAsiaTheme="majorEastAsia"/>
          <w:b/>
          <w:bCs/>
        </w:rPr>
        <w:t>Figure 2.</w:t>
      </w:r>
      <w:r w:rsidR="00CDCCB6" w:rsidRPr="00CDCCB6">
        <w:rPr>
          <w:rFonts w:eastAsiaTheme="majorEastAsia"/>
        </w:rPr>
        <w:t xml:space="preserve"> ITC Thermograms Results (</w:t>
      </w:r>
      <w:hyperlink r:id="rId64">
        <w:r w:rsidR="00CDCCB6" w:rsidRPr="00CDCCB6">
          <w:rPr>
            <w:rStyle w:val="Hyperlink"/>
            <w:rFonts w:eastAsiaTheme="majorEastAsia"/>
          </w:rPr>
          <w:t>Heilbut et al., 2022</w:t>
        </w:r>
      </w:hyperlink>
      <w:r w:rsidR="00CDCCB6" w:rsidRPr="00CDCCB6">
        <w:rPr>
          <w:rFonts w:eastAsiaTheme="majorEastAsia"/>
        </w:rPr>
        <w:t>).</w:t>
      </w:r>
    </w:p>
    <w:p w14:paraId="265A7F5F" w14:textId="77777777" w:rsidR="00946CBA" w:rsidRPr="001836F4" w:rsidRDefault="00946CBA" w:rsidP="00F84A37">
      <w:pPr>
        <w:spacing w:line="360" w:lineRule="auto"/>
        <w:jc w:val="both"/>
      </w:pPr>
      <w:r w:rsidRPr="001836F4">
        <w:rPr>
          <w:rFonts w:eastAsiaTheme="majorEastAsia"/>
        </w:rPr>
        <w:t> </w:t>
      </w:r>
    </w:p>
    <w:p w14:paraId="7EEF44FF" w14:textId="780CC9D0" w:rsidR="003246AD" w:rsidRPr="001836F4" w:rsidRDefault="00CDCCB6" w:rsidP="00F84A37">
      <w:pPr>
        <w:spacing w:line="360" w:lineRule="auto"/>
        <w:jc w:val="both"/>
        <w:rPr>
          <w:rFonts w:eastAsiaTheme="majorEastAsia"/>
        </w:rPr>
      </w:pPr>
      <w:r w:rsidRPr="00CDCCB6">
        <w:rPr>
          <w:rFonts w:eastAsiaTheme="majorEastAsia"/>
        </w:rPr>
        <w:t>These</w:t>
      </w:r>
      <w:r w:rsidR="00946CBA" w:rsidRPr="001836F4">
        <w:rPr>
          <w:rFonts w:eastAsiaTheme="majorEastAsia"/>
        </w:rPr>
        <w:t xml:space="preserve"> data </w:t>
      </w:r>
      <w:r w:rsidRPr="00CDCCB6">
        <w:rPr>
          <w:rFonts w:eastAsiaTheme="majorEastAsia"/>
        </w:rPr>
        <w:t>prove</w:t>
      </w:r>
      <w:r w:rsidR="00946CBA" w:rsidRPr="001836F4">
        <w:rPr>
          <w:rFonts w:eastAsiaTheme="majorEastAsia"/>
        </w:rPr>
        <w:t xml:space="preserve"> to be important since </w:t>
      </w:r>
      <w:r w:rsidRPr="00CDCCB6">
        <w:rPr>
          <w:rFonts w:eastAsiaTheme="majorEastAsia"/>
        </w:rPr>
        <w:t>they demonstrate</w:t>
      </w:r>
      <w:r w:rsidR="00946CBA" w:rsidRPr="001836F4">
        <w:rPr>
          <w:rFonts w:eastAsiaTheme="majorEastAsia"/>
        </w:rPr>
        <w:t xml:space="preserve"> that </w:t>
      </w:r>
      <w:r w:rsidRPr="00CDCCB6">
        <w:rPr>
          <w:rFonts w:eastAsiaTheme="majorEastAsia"/>
        </w:rPr>
        <w:t>no</w:t>
      </w:r>
      <w:r w:rsidR="00946CBA" w:rsidRPr="001836F4">
        <w:rPr>
          <w:rFonts w:eastAsiaTheme="majorEastAsia"/>
        </w:rPr>
        <w:t xml:space="preserve"> binding event occurred between Simufilam and VAKGL - its alleged target</w:t>
      </w:r>
      <w:r w:rsidRPr="00CDCCB6">
        <w:rPr>
          <w:rFonts w:eastAsiaTheme="majorEastAsia"/>
        </w:rPr>
        <w:t>.</w:t>
      </w:r>
      <w:r w:rsidR="00AB7675" w:rsidRPr="001836F4">
        <w:rPr>
          <w:rFonts w:eastAsiaTheme="majorEastAsia"/>
        </w:rPr>
        <w:t xml:space="preserve"> (</w:t>
      </w:r>
      <w:hyperlink r:id="rId65">
        <w:r w:rsidR="5D119E19" w:rsidRPr="001836F4">
          <w:rPr>
            <w:rStyle w:val="Hyperlink"/>
            <w:rFonts w:eastAsiaTheme="majorEastAsia"/>
          </w:rPr>
          <w:t>Heilbut et al., 2022</w:t>
        </w:r>
      </w:hyperlink>
      <w:r w:rsidR="00AB7675" w:rsidRPr="001836F4">
        <w:rPr>
          <w:rFonts w:eastAsiaTheme="majorEastAsia"/>
        </w:rPr>
        <w:t>)</w:t>
      </w:r>
      <w:r w:rsidR="00946CBA" w:rsidRPr="001836F4">
        <w:rPr>
          <w:rFonts w:eastAsiaTheme="majorEastAsia"/>
        </w:rPr>
        <w:t xml:space="preserve">. However, nothing is set in stone as this data is uncontrolled </w:t>
      </w:r>
      <w:r w:rsidRPr="00CDCCB6">
        <w:rPr>
          <w:rFonts w:eastAsiaTheme="majorEastAsia"/>
        </w:rPr>
        <w:t xml:space="preserve">data </w:t>
      </w:r>
      <w:r w:rsidR="00946CBA" w:rsidRPr="001836F4">
        <w:rPr>
          <w:rFonts w:eastAsiaTheme="majorEastAsia"/>
        </w:rPr>
        <w:t>and may be equally disrupted as Dr. Wang’s 2008 study was. The situation remains unclear on this specific issue</w:t>
      </w:r>
      <w:r w:rsidRPr="00CDCCB6">
        <w:rPr>
          <w:rFonts w:eastAsiaTheme="majorEastAsia"/>
        </w:rPr>
        <w:t>,</w:t>
      </w:r>
      <w:r w:rsidR="00946CBA" w:rsidRPr="001836F4">
        <w:rPr>
          <w:rFonts w:eastAsiaTheme="majorEastAsia"/>
        </w:rPr>
        <w:t xml:space="preserve"> as we have uncontrolled data on both ends. Still, the data from the ITC experiment must be assessed and </w:t>
      </w:r>
      <w:r w:rsidRPr="00CDCCB6">
        <w:rPr>
          <w:rFonts w:eastAsiaTheme="majorEastAsia"/>
        </w:rPr>
        <w:t>considered</w:t>
      </w:r>
      <w:r w:rsidR="00946CBA" w:rsidRPr="001836F4">
        <w:rPr>
          <w:rFonts w:eastAsiaTheme="majorEastAsia"/>
        </w:rPr>
        <w:t xml:space="preserve"> as much as the 2008 study from </w:t>
      </w:r>
      <w:r w:rsidR="00946CBA" w:rsidRPr="001836F4">
        <w:rPr>
          <w:rFonts w:eastAsiaTheme="majorEastAsia"/>
        </w:rPr>
        <w:lastRenderedPageBreak/>
        <w:t>Dr. Wang. Acknowledging their limitations</w:t>
      </w:r>
      <w:r w:rsidR="5D119E19" w:rsidRPr="001836F4">
        <w:rPr>
          <w:rFonts w:eastAsiaTheme="majorEastAsia"/>
        </w:rPr>
        <w:t>,</w:t>
      </w:r>
      <w:r w:rsidR="00946CBA" w:rsidRPr="001836F4">
        <w:rPr>
          <w:rFonts w:eastAsiaTheme="majorEastAsia"/>
        </w:rPr>
        <w:t xml:space="preserve"> particularly the 2008 study since proven to be fraudulent</w:t>
      </w:r>
      <w:r w:rsidRPr="00CDCCB6">
        <w:rPr>
          <w:rFonts w:eastAsiaTheme="majorEastAsia"/>
        </w:rPr>
        <w:t>,</w:t>
      </w:r>
      <w:r w:rsidR="00946CBA" w:rsidRPr="001836F4">
        <w:rPr>
          <w:rFonts w:eastAsiaTheme="majorEastAsia"/>
        </w:rPr>
        <w:t xml:space="preserve"> unlike the ITC experiment. </w:t>
      </w:r>
    </w:p>
    <w:p w14:paraId="1FF081E5" w14:textId="77777777" w:rsidR="003246AD" w:rsidRPr="001836F4" w:rsidRDefault="003246AD" w:rsidP="00F84A37">
      <w:pPr>
        <w:spacing w:line="360" w:lineRule="auto"/>
        <w:jc w:val="both"/>
        <w:rPr>
          <w:rFonts w:eastAsiaTheme="majorEastAsia"/>
        </w:rPr>
      </w:pPr>
    </w:p>
    <w:p w14:paraId="4CE2E792" w14:textId="28E91875" w:rsidR="00946CBA" w:rsidRPr="001836F4" w:rsidRDefault="00946CBA" w:rsidP="00F84A37">
      <w:pPr>
        <w:spacing w:line="360" w:lineRule="auto"/>
        <w:jc w:val="both"/>
        <w:rPr>
          <w:rFonts w:eastAsiaTheme="majorEastAsia"/>
        </w:rPr>
      </w:pPr>
      <w:r w:rsidRPr="001836F4">
        <w:rPr>
          <w:rFonts w:eastAsiaTheme="majorEastAsia"/>
        </w:rPr>
        <w:t xml:space="preserve">Once again questioning the MOA of Simufilam and its existence – does Simufilam really have an MOA? For now, Simufilam’s MOA is not understood to a level that can make it a </w:t>
      </w:r>
      <w:r w:rsidR="00CDCCB6" w:rsidRPr="00CDCCB6">
        <w:rPr>
          <w:rFonts w:eastAsiaTheme="majorEastAsia"/>
        </w:rPr>
        <w:t>Phase III</w:t>
      </w:r>
      <w:r w:rsidRPr="001836F4">
        <w:rPr>
          <w:rFonts w:eastAsiaTheme="majorEastAsia"/>
        </w:rPr>
        <w:t xml:space="preserve"> reliable candidate drug according to our study, assessment and opinion. Nonetheless, Simufilam has deserved its </w:t>
      </w:r>
      <w:r w:rsidR="00CDCCB6" w:rsidRPr="00CDCCB6">
        <w:rPr>
          <w:rFonts w:eastAsiaTheme="majorEastAsia"/>
        </w:rPr>
        <w:t xml:space="preserve">Phase III  </w:t>
      </w:r>
      <w:r w:rsidRPr="001836F4">
        <w:rPr>
          <w:rFonts w:eastAsiaTheme="majorEastAsia"/>
        </w:rPr>
        <w:t xml:space="preserve"> trial, and we deeply hope that for Alzheimer’s patients’ sake it will find itself to be efficient, and this even if we do not see it as being efficient. </w:t>
      </w:r>
    </w:p>
    <w:p w14:paraId="2A859A17" w14:textId="77777777" w:rsidR="00017998" w:rsidRPr="001836F4" w:rsidRDefault="00017998" w:rsidP="00F84A37">
      <w:pPr>
        <w:spacing w:line="360" w:lineRule="auto"/>
        <w:jc w:val="both"/>
      </w:pPr>
    </w:p>
    <w:p w14:paraId="4414160A" w14:textId="77777777" w:rsidR="00017998" w:rsidRPr="001836F4" w:rsidRDefault="00017998" w:rsidP="00F84A37">
      <w:pPr>
        <w:spacing w:line="360" w:lineRule="auto"/>
        <w:jc w:val="both"/>
      </w:pPr>
    </w:p>
    <w:p w14:paraId="618044B3" w14:textId="77777777" w:rsidR="00017998" w:rsidRPr="001836F4" w:rsidRDefault="5183A6D9" w:rsidP="5183A6D9">
      <w:pPr>
        <w:pStyle w:val="Heading2"/>
        <w:rPr>
          <w:rFonts w:ascii="Times New Roman" w:eastAsia="Times New Roman" w:hAnsi="Times New Roman" w:cs="Times New Roman"/>
          <w:b/>
          <w:bCs/>
          <w:color w:val="auto"/>
        </w:rPr>
      </w:pPr>
      <w:bookmarkStart w:id="25" w:name="_5._FLNA_Discords"/>
      <w:bookmarkStart w:id="26" w:name="_Toc262158701"/>
      <w:bookmarkEnd w:id="25"/>
      <w:r w:rsidRPr="5183A6D9">
        <w:rPr>
          <w:rFonts w:ascii="Times New Roman" w:eastAsia="Times New Roman" w:hAnsi="Times New Roman" w:cs="Times New Roman"/>
          <w:b/>
          <w:bCs/>
          <w:color w:val="auto"/>
        </w:rPr>
        <w:t>5. FLNA Discords and Its Use in Alzheimer’s Disease</w:t>
      </w:r>
      <w:bookmarkEnd w:id="26"/>
    </w:p>
    <w:p w14:paraId="10D869DC" w14:textId="77777777" w:rsidR="00017998" w:rsidRPr="001836F4" w:rsidRDefault="00017998" w:rsidP="00F84A37">
      <w:pPr>
        <w:spacing w:line="360" w:lineRule="auto"/>
        <w:jc w:val="both"/>
      </w:pPr>
      <w:r w:rsidRPr="001836F4">
        <w:t>FLNA has diverse roles in cellular processes, from cytoskeletal structuring to signal transduction. It is not clear that misfolded FLNA plays a central role in AD. While Cassava Sciences proposes that Simufilam restores FLNA function, there is no established connection between FLNA misfolding and AD pathology. Independent studies have not validated the theory that targeting FLNA will improve cognitive function or reduce neurodegeneration in AD.</w:t>
      </w:r>
    </w:p>
    <w:p w14:paraId="5961E6CD" w14:textId="2E920440" w:rsidR="00017998" w:rsidRPr="001836F4" w:rsidRDefault="00017998" w:rsidP="00F84A37">
      <w:pPr>
        <w:spacing w:line="360" w:lineRule="auto"/>
        <w:jc w:val="both"/>
      </w:pPr>
      <w:r w:rsidRPr="001836F4">
        <w:t>Moreover, FLNA is expressed in many tissues, and interfering with its function could cause unintended side effects. The broad physiological roles of FLNA raise concerns that Simufilam could disrupt essential processes unrelated to A</w:t>
      </w:r>
      <w:r w:rsidR="00DE1BF3">
        <w:t>D</w:t>
      </w:r>
      <w:r w:rsidRPr="001836F4">
        <w:t>, further complicating its development as a safe therapeutic.</w:t>
      </w:r>
    </w:p>
    <w:p w14:paraId="712A6095" w14:textId="77777777" w:rsidR="00017998" w:rsidRPr="001836F4" w:rsidRDefault="00017998" w:rsidP="00F84A37">
      <w:pPr>
        <w:spacing w:line="360" w:lineRule="auto"/>
        <w:jc w:val="both"/>
      </w:pPr>
    </w:p>
    <w:p w14:paraId="5B8C3B38" w14:textId="084D00A0" w:rsidR="004C1B5D" w:rsidRPr="001836F4" w:rsidRDefault="0AFEF097" w:rsidP="0AFEF097">
      <w:pPr>
        <w:spacing w:line="360" w:lineRule="auto"/>
        <w:jc w:val="both"/>
        <w:rPr>
          <w:rFonts w:eastAsiaTheme="majorEastAsia"/>
        </w:rPr>
      </w:pPr>
      <w:r w:rsidRPr="0AFEF097">
        <w:rPr>
          <w:rFonts w:eastAsiaTheme="majorEastAsia"/>
        </w:rPr>
        <w:t>Simufilam was designed to bind FLNA, a protein that Cassava Sciences suspect to have an impact in AD. An in-depth look at FLNA, its relevance to AD and its link to Simufilam is crucial. FLNA plays a role in managing how substances move within the cells and how cells communicate with one another through signaling pathways (</w:t>
      </w:r>
      <w:hyperlink r:id="rId66">
        <w:r w:rsidRPr="0AFEF097">
          <w:rPr>
            <w:rStyle w:val="Hyperlink"/>
            <w:rFonts w:eastAsiaTheme="majorEastAsia"/>
          </w:rPr>
          <w:t>Razinia et al., 2023</w:t>
        </w:r>
      </w:hyperlink>
      <w:r w:rsidRPr="0AFEF097">
        <w:rPr>
          <w:rFonts w:eastAsiaTheme="majorEastAsia"/>
        </w:rPr>
        <w:t>). The protein encoded by this gene is an actin-binding protein that crosslinks actin filaments and links actin filaments to membrane glycoproteins (</w:t>
      </w:r>
      <w:hyperlink r:id="rId67">
        <w:r w:rsidRPr="0AFEF097">
          <w:rPr>
            <w:rStyle w:val="Hyperlink"/>
            <w:rFonts w:eastAsiaTheme="majorEastAsia"/>
          </w:rPr>
          <w:t>Pollard, 2016</w:t>
        </w:r>
      </w:hyperlink>
      <w:r w:rsidRPr="0AFEF097">
        <w:rPr>
          <w:rFonts w:eastAsiaTheme="majorEastAsia"/>
        </w:rPr>
        <w:t>). The encoded protein is involved in remodeling the cytoskeleton to effect changes in cell shape and migration (</w:t>
      </w:r>
      <w:hyperlink r:id="rId68">
        <w:r w:rsidRPr="0AFEF097">
          <w:rPr>
            <w:rStyle w:val="Hyperlink"/>
            <w:rFonts w:eastAsiaTheme="majorEastAsia"/>
          </w:rPr>
          <w:t>Seetharaman et al., 2020</w:t>
        </w:r>
      </w:hyperlink>
      <w:r w:rsidRPr="0AFEF097">
        <w:rPr>
          <w:rFonts w:eastAsiaTheme="majorEastAsia"/>
        </w:rPr>
        <w:t>) (</w:t>
      </w:r>
      <w:hyperlink r:id="rId69">
        <w:r w:rsidRPr="0AFEF097">
          <w:rPr>
            <w:rStyle w:val="Hyperlink"/>
            <w:rFonts w:eastAsiaTheme="majorEastAsia"/>
          </w:rPr>
          <w:t>Fletcher et al., 2010</w:t>
        </w:r>
      </w:hyperlink>
      <w:r w:rsidRPr="0AFEF097">
        <w:rPr>
          <w:rFonts w:eastAsiaTheme="majorEastAsia"/>
        </w:rPr>
        <w:t>).</w:t>
      </w:r>
      <w:r w:rsidRPr="0AFEF097">
        <w:rPr>
          <w:rFonts w:eastAsiaTheme="majorEastAsia"/>
          <w:b/>
          <w:bCs/>
        </w:rPr>
        <w:t xml:space="preserve"> </w:t>
      </w:r>
      <w:r w:rsidRPr="0AFEF097">
        <w:rPr>
          <w:rFonts w:eastAsiaTheme="majorEastAsia"/>
        </w:rPr>
        <w:t>This protein interacts with integrins, transmembrane receptor complexes, and second messengers (</w:t>
      </w:r>
      <w:hyperlink r:id="rId70">
        <w:r w:rsidRPr="0AFEF097">
          <w:rPr>
            <w:rStyle w:val="Hyperlink"/>
            <w:rFonts w:eastAsiaTheme="majorEastAsia"/>
          </w:rPr>
          <w:t>Protein Atlas</w:t>
        </w:r>
      </w:hyperlink>
      <w:r w:rsidRPr="0AFEF097">
        <w:rPr>
          <w:rFonts w:eastAsiaTheme="majorEastAsia"/>
        </w:rPr>
        <w:t xml:space="preserve">). Defects in this gene are a cause of several syndromes, including periventricular </w:t>
      </w:r>
      <w:r w:rsidRPr="0AFEF097">
        <w:rPr>
          <w:rFonts w:eastAsiaTheme="majorEastAsia"/>
        </w:rPr>
        <w:lastRenderedPageBreak/>
        <w:t>nodular heterotopias (PVNH1, PVNH4), otopalatodigital syndromes (OPD1, OPD2), front metaphyseal dysplasia (FMD), Melnick-Needles syndrome (MNS), and X-linked congenital idiopathic intestinal pseudo-obstruction (CIIPX) (</w:t>
      </w:r>
      <w:hyperlink r:id="rId71">
        <w:r w:rsidRPr="0AFEF097">
          <w:rPr>
            <w:rStyle w:val="Hyperlink"/>
            <w:rFonts w:eastAsiaTheme="majorEastAsia"/>
          </w:rPr>
          <w:t>Medlineplus</w:t>
        </w:r>
      </w:hyperlink>
      <w:r w:rsidRPr="0AFEF097">
        <w:rPr>
          <w:rFonts w:eastAsiaTheme="majorEastAsia"/>
        </w:rPr>
        <w:t xml:space="preserve">). </w:t>
      </w:r>
    </w:p>
    <w:p w14:paraId="07DC47E9" w14:textId="77777777" w:rsidR="004C1B5D" w:rsidRPr="001836F4" w:rsidRDefault="004C1B5D" w:rsidP="00F84A37">
      <w:pPr>
        <w:spacing w:line="360" w:lineRule="auto"/>
        <w:jc w:val="both"/>
        <w:rPr>
          <w:rFonts w:eastAsiaTheme="majorEastAsia"/>
        </w:rPr>
      </w:pPr>
    </w:p>
    <w:p w14:paraId="246F6A11" w14:textId="7DB5F6CA" w:rsidR="00E83BFA" w:rsidRPr="001836F4" w:rsidRDefault="0AFEF097" w:rsidP="0AFEF097">
      <w:pPr>
        <w:spacing w:line="360" w:lineRule="auto"/>
        <w:jc w:val="both"/>
        <w:rPr>
          <w:rFonts w:eastAsiaTheme="majorEastAsia"/>
          <w:highlight w:val="yellow"/>
        </w:rPr>
      </w:pPr>
      <w:r w:rsidRPr="0AFEF097">
        <w:rPr>
          <w:rFonts w:eastAsiaTheme="majorEastAsia"/>
        </w:rPr>
        <w:t>Furthermore, the FLNA gene provides instructions for producing the protein FLNA which helps build cells' extensive internal network of protein filaments called the cytoskeleton (</w:t>
      </w:r>
      <w:hyperlink r:id="rId72">
        <w:r w:rsidRPr="0AFEF097">
          <w:rPr>
            <w:rStyle w:val="Hyperlink"/>
            <w:rFonts w:eastAsiaTheme="majorEastAsia"/>
          </w:rPr>
          <w:t>Medlineplus, 2022</w:t>
        </w:r>
      </w:hyperlink>
      <w:r w:rsidRPr="0AFEF097">
        <w:rPr>
          <w:rFonts w:eastAsiaTheme="majorEastAsia"/>
        </w:rPr>
        <w:t>). FLNA primarily binds to another protein called actin filaments and helps it form the branching network of filaments that make up the cytoskeleton (</w:t>
      </w:r>
      <w:hyperlink r:id="rId73">
        <w:r w:rsidRPr="0AFEF097">
          <w:rPr>
            <w:rStyle w:val="Hyperlink"/>
            <w:rFonts w:eastAsiaTheme="majorEastAsia"/>
          </w:rPr>
          <w:t>Lamsoul et al., 2020</w:t>
        </w:r>
      </w:hyperlink>
      <w:r w:rsidRPr="0AFEF097">
        <w:rPr>
          <w:rFonts w:eastAsiaTheme="majorEastAsia"/>
        </w:rPr>
        <w:t>). FLNA can also bind to many other proteins in the cell to carry out various functions, including the attachment of cells to one another (cell adhesion), cell movement (migration), determination of cell shape, the relay of signals within cells, and cell survival (</w:t>
      </w:r>
      <w:hyperlink r:id="rId74">
        <w:r w:rsidRPr="0AFEF097">
          <w:rPr>
            <w:rStyle w:val="Hyperlink"/>
            <w:rFonts w:eastAsiaTheme="majorEastAsia"/>
          </w:rPr>
          <w:t>Welter et al., 2020</w:t>
        </w:r>
      </w:hyperlink>
      <w:r w:rsidRPr="0AFEF097">
        <w:rPr>
          <w:rFonts w:eastAsiaTheme="majorEastAsia"/>
        </w:rPr>
        <w:t>) (</w:t>
      </w:r>
      <w:hyperlink r:id="rId75">
        <w:r w:rsidRPr="0AFEF097">
          <w:rPr>
            <w:rStyle w:val="Hyperlink"/>
            <w:rFonts w:eastAsiaTheme="majorEastAsia"/>
          </w:rPr>
          <w:t>Ketebo et al., 2021</w:t>
        </w:r>
      </w:hyperlink>
      <w:r w:rsidRPr="0AFEF097">
        <w:rPr>
          <w:rFonts w:eastAsiaTheme="majorEastAsia"/>
        </w:rPr>
        <w:t>) (</w:t>
      </w:r>
      <w:hyperlink r:id="rId76">
        <w:r w:rsidRPr="0AFEF097">
          <w:rPr>
            <w:rStyle w:val="Hyperlink"/>
            <w:rFonts w:eastAsiaTheme="majorEastAsia"/>
          </w:rPr>
          <w:t>Lamsoul et al., 2020</w:t>
        </w:r>
      </w:hyperlink>
      <w:r w:rsidRPr="0AFEF097">
        <w:rPr>
          <w:rFonts w:eastAsiaTheme="majorEastAsia"/>
        </w:rPr>
        <w:t>). These numerous functions involving FLNA have been found to play roles in regulating skeletal development, brain development, the formation of heart tissue, the formation of blood vessels, blood clotting, skin elasticity, maintenance of lung tissue, and the function of the digestive system. Additionally, FLNA is also involved in the organization of the extracellular matrix - a lattice of proteins and other molecules outside the cell (</w:t>
      </w:r>
      <w:hyperlink r:id="rId77">
        <w:r w:rsidRPr="0AFEF097">
          <w:rPr>
            <w:rStyle w:val="Hyperlink"/>
            <w:rFonts w:eastAsiaTheme="majorEastAsia"/>
          </w:rPr>
          <w:t>MedlinePlus</w:t>
        </w:r>
      </w:hyperlink>
      <w:r w:rsidRPr="0AFEF097">
        <w:rPr>
          <w:rFonts w:eastAsiaTheme="majorEastAsia"/>
        </w:rPr>
        <w:t>). FLNA binds proteins called integrins which span the cell membrane and anchor cells to the extracellular matrix (</w:t>
      </w:r>
      <w:hyperlink r:id="rId78">
        <w:r w:rsidRPr="0AFEF097">
          <w:rPr>
            <w:rStyle w:val="Hyperlink"/>
            <w:rFonts w:eastAsiaTheme="majorEastAsia"/>
          </w:rPr>
          <w:t>Alberts et al., 2002</w:t>
        </w:r>
      </w:hyperlink>
      <w:r w:rsidRPr="0AFEF097">
        <w:rPr>
          <w:rFonts w:eastAsiaTheme="majorEastAsia"/>
        </w:rPr>
        <w:t>). Through this binding, cells are correctly positioned, and signals can be exchanged between the cell and the extracellular matrix (</w:t>
      </w:r>
      <w:hyperlink r:id="rId79">
        <w:r w:rsidRPr="0AFEF097">
          <w:rPr>
            <w:rStyle w:val="Hyperlink"/>
            <w:rFonts w:eastAsiaTheme="majorEastAsia"/>
          </w:rPr>
          <w:t>Hynes et al., 2002</w:t>
        </w:r>
      </w:hyperlink>
      <w:r w:rsidRPr="0AFEF097">
        <w:rPr>
          <w:rFonts w:eastAsiaTheme="majorEastAsia"/>
        </w:rPr>
        <w:t xml:space="preserve">). Following this, a question might arise, what are actin/micro filaments? Microfilaments are made up of two strands of actin proteins. These two strands are an important component of the cytoskeleton of a cell. Being flexible and relatively strong - situated in almost all eukaryotic cells - they are generally situated on the periphery of the cell. They have 3 core functions that are: cell mobility, cytokinesis, and change in cell shape. Moreover, concerning the structure of microfilaments, each component of the microfilament is known as globular actin. The globular monomer actin format called G actin is assembled into a polymer known as F actin (Filamentous actin format). The globular monomers assemble via their point end and barbed end to form an actin filament F actin, a faster growth is recorded at the barbed due to better connection. ATP binds to G-actin, then G-actins binds to ATPs where they create a nucleus - this process is called nucleation. This small nucleus then grows, adds more G-actin monomers, and elongates; this process is called elongation. The next phase is the steady-state, a phase where the F-actin strands do not have a net growth as they simply maintain </w:t>
      </w:r>
      <w:r w:rsidRPr="0AFEF097">
        <w:rPr>
          <w:rFonts w:eastAsiaTheme="majorEastAsia"/>
        </w:rPr>
        <w:lastRenderedPageBreak/>
        <w:t>themselves. When growing (polymerization), G-actin binds to ATP, and when reducing its growth (depolymerization), G-actin binds to ADP.</w:t>
      </w:r>
    </w:p>
    <w:p w14:paraId="1DCE570F" w14:textId="77777777" w:rsidR="006165CD" w:rsidRPr="001836F4" w:rsidRDefault="006165CD" w:rsidP="00F84A37">
      <w:pPr>
        <w:spacing w:line="360" w:lineRule="auto"/>
        <w:jc w:val="both"/>
        <w:rPr>
          <w:rFonts w:eastAsiaTheme="majorEastAsia"/>
        </w:rPr>
      </w:pPr>
    </w:p>
    <w:p w14:paraId="65FB4763" w14:textId="0D8D4545" w:rsidR="00F061C9" w:rsidRPr="001836F4" w:rsidRDefault="00E83BFA" w:rsidP="466B08BE">
      <w:pPr>
        <w:spacing w:line="360" w:lineRule="auto"/>
        <w:jc w:val="both"/>
        <w:rPr>
          <w:rFonts w:eastAsiaTheme="majorEastAsia"/>
        </w:rPr>
      </w:pPr>
      <w:r w:rsidRPr="001836F4">
        <w:rPr>
          <w:rFonts w:eastAsiaTheme="majorEastAsia"/>
        </w:rPr>
        <w:t xml:space="preserve">The research concerning FLNA in </w:t>
      </w:r>
      <w:r w:rsidR="0081331A">
        <w:rPr>
          <w:rFonts w:eastAsiaTheme="majorEastAsia"/>
        </w:rPr>
        <w:t>AD</w:t>
      </w:r>
      <w:r w:rsidRPr="001836F4">
        <w:rPr>
          <w:rFonts w:eastAsiaTheme="majorEastAsia"/>
        </w:rPr>
        <w:t xml:space="preserve"> provides concerning results, </w:t>
      </w:r>
      <w:r w:rsidR="1711FA50" w:rsidRPr="1711FA50">
        <w:rPr>
          <w:rFonts w:eastAsiaTheme="majorEastAsia"/>
        </w:rPr>
        <w:t xml:space="preserve">given that </w:t>
      </w:r>
      <w:r w:rsidRPr="001836F4">
        <w:rPr>
          <w:rFonts w:eastAsiaTheme="majorEastAsia"/>
        </w:rPr>
        <w:t xml:space="preserve">nearly all the research was done by Cassava Sciences </w:t>
      </w:r>
      <w:r w:rsidR="1711FA50" w:rsidRPr="1711FA50">
        <w:rPr>
          <w:rFonts w:eastAsiaTheme="majorEastAsia"/>
        </w:rPr>
        <w:t>under</w:t>
      </w:r>
      <w:r w:rsidRPr="001836F4">
        <w:rPr>
          <w:rFonts w:eastAsiaTheme="majorEastAsia"/>
        </w:rPr>
        <w:t xml:space="preserve"> Dr. Wang. F</w:t>
      </w:r>
      <w:r w:rsidR="0081331A">
        <w:rPr>
          <w:rFonts w:eastAsiaTheme="majorEastAsia"/>
        </w:rPr>
        <w:t>LN</w:t>
      </w:r>
      <w:r w:rsidRPr="001836F4">
        <w:rPr>
          <w:rFonts w:eastAsiaTheme="majorEastAsia"/>
        </w:rPr>
        <w:t xml:space="preserve">A in </w:t>
      </w:r>
      <w:r w:rsidR="0081331A">
        <w:rPr>
          <w:rFonts w:eastAsiaTheme="majorEastAsia"/>
        </w:rPr>
        <w:t>AD</w:t>
      </w:r>
      <w:r w:rsidRPr="001836F4">
        <w:rPr>
          <w:rFonts w:eastAsiaTheme="majorEastAsia"/>
        </w:rPr>
        <w:t xml:space="preserve"> is altered, while FLNA is typically an intracellular protein it plays a role in cell signaling by interacting with cell membrane receptors, where the extracellular Aβ42 can exert its influence </w:t>
      </w:r>
      <w:r w:rsidR="002D2D94" w:rsidRPr="001836F4">
        <w:rPr>
          <w:rFonts w:eastAsiaTheme="majorEastAsia"/>
        </w:rPr>
        <w:t>(</w:t>
      </w:r>
      <w:hyperlink r:id="rId80">
        <w:r w:rsidR="3F4789BA" w:rsidRPr="001836F4">
          <w:rPr>
            <w:rStyle w:val="Hyperlink"/>
            <w:rFonts w:eastAsiaTheme="majorEastAsia"/>
          </w:rPr>
          <w:t>Burns and Wang, 2017</w:t>
        </w:r>
      </w:hyperlink>
      <w:r w:rsidR="3F4789BA" w:rsidRPr="001836F4">
        <w:rPr>
          <w:rFonts w:eastAsiaTheme="majorEastAsia"/>
        </w:rPr>
        <w:t>).</w:t>
      </w:r>
      <w:r w:rsidRPr="001836F4">
        <w:rPr>
          <w:rFonts w:eastAsiaTheme="majorEastAsia"/>
        </w:rPr>
        <w:t xml:space="preserve"> </w:t>
      </w:r>
      <w:r w:rsidR="63A42785" w:rsidRPr="63A42785">
        <w:rPr>
          <w:rFonts w:eastAsiaTheme="majorEastAsia"/>
        </w:rPr>
        <w:t>FLNA</w:t>
      </w:r>
      <w:r w:rsidRPr="001836F4">
        <w:rPr>
          <w:rFonts w:eastAsiaTheme="majorEastAsia"/>
        </w:rPr>
        <w:t xml:space="preserve"> in AD is in an 'insoluble' form</w:t>
      </w:r>
      <w:r w:rsidR="002D2D94" w:rsidRPr="001836F4">
        <w:rPr>
          <w:rFonts w:eastAsiaTheme="majorEastAsia"/>
        </w:rPr>
        <w:t xml:space="preserve"> (</w:t>
      </w:r>
      <w:hyperlink r:id="rId81">
        <w:r w:rsidR="3F4789BA" w:rsidRPr="001836F4">
          <w:rPr>
            <w:rStyle w:val="Hyperlink"/>
            <w:rFonts w:eastAsiaTheme="majorEastAsia"/>
          </w:rPr>
          <w:t>Aumont et al., 2022</w:t>
        </w:r>
      </w:hyperlink>
      <w:r w:rsidR="3F4789BA" w:rsidRPr="001836F4">
        <w:rPr>
          <w:rFonts w:eastAsiaTheme="majorEastAsia"/>
        </w:rPr>
        <w:t>).</w:t>
      </w:r>
      <w:r w:rsidRPr="001836F4">
        <w:rPr>
          <w:rFonts w:eastAsiaTheme="majorEastAsia"/>
        </w:rPr>
        <w:t xml:space="preserve"> The functions of soluble FLNA are to maintain the cell structure and </w:t>
      </w:r>
      <w:r w:rsidR="00923A7A" w:rsidRPr="001836F4">
        <w:rPr>
          <w:rFonts w:eastAsiaTheme="majorEastAsia"/>
        </w:rPr>
        <w:t>it</w:t>
      </w:r>
      <w:r w:rsidR="004E104B" w:rsidRPr="001836F4">
        <w:rPr>
          <w:rFonts w:eastAsiaTheme="majorEastAsia"/>
        </w:rPr>
        <w:t xml:space="preserve"> is</w:t>
      </w:r>
      <w:r w:rsidRPr="001836F4">
        <w:rPr>
          <w:rFonts w:eastAsiaTheme="majorEastAsia"/>
        </w:rPr>
        <w:t xml:space="preserve"> signaling under normal physiological conditions </w:t>
      </w:r>
      <w:r w:rsidR="00E63CDB" w:rsidRPr="001836F4">
        <w:rPr>
          <w:rFonts w:eastAsiaTheme="majorEastAsia"/>
        </w:rPr>
        <w:t>(</w:t>
      </w:r>
      <w:hyperlink r:id="rId82">
        <w:r w:rsidR="3F4789BA" w:rsidRPr="001836F4">
          <w:rPr>
            <w:rStyle w:val="Hyperlink"/>
            <w:rFonts w:eastAsiaTheme="majorEastAsia"/>
          </w:rPr>
          <w:t>Nakamura et al., 2011</w:t>
        </w:r>
      </w:hyperlink>
      <w:r w:rsidR="00E63CDB" w:rsidRPr="001836F4">
        <w:rPr>
          <w:rFonts w:eastAsiaTheme="majorEastAsia"/>
        </w:rPr>
        <w:t>)</w:t>
      </w:r>
      <w:r w:rsidRPr="001836F4">
        <w:rPr>
          <w:rFonts w:eastAsiaTheme="majorEastAsia"/>
        </w:rPr>
        <w:t xml:space="preserve">. Insoluble FLNA on the contrary is associated with disease states, particularly with </w:t>
      </w:r>
      <w:r w:rsidR="0081331A">
        <w:rPr>
          <w:rFonts w:eastAsiaTheme="majorEastAsia"/>
        </w:rPr>
        <w:t>AD</w:t>
      </w:r>
      <w:r w:rsidRPr="001836F4">
        <w:rPr>
          <w:rFonts w:eastAsiaTheme="majorEastAsia"/>
        </w:rPr>
        <w:t xml:space="preserve">. Insoluble FLNA aggregates and correlates with Aβ pathology level - potentially disrupting normal cellular functions </w:t>
      </w:r>
      <w:r w:rsidR="00EE1B9C" w:rsidRPr="001836F4">
        <w:rPr>
          <w:rFonts w:eastAsiaTheme="majorEastAsia"/>
        </w:rPr>
        <w:t>(</w:t>
      </w:r>
      <w:hyperlink r:id="rId83">
        <w:r w:rsidR="3F4789BA" w:rsidRPr="001836F4">
          <w:rPr>
            <w:rStyle w:val="Hyperlink"/>
            <w:rFonts w:eastAsiaTheme="majorEastAsia"/>
          </w:rPr>
          <w:t>Aumont et al., 2022</w:t>
        </w:r>
      </w:hyperlink>
      <w:r w:rsidR="3F4789BA" w:rsidRPr="001836F4">
        <w:rPr>
          <w:rFonts w:eastAsiaTheme="majorEastAsia"/>
        </w:rPr>
        <w:t>).</w:t>
      </w:r>
      <w:r w:rsidRPr="001836F4">
        <w:rPr>
          <w:rFonts w:eastAsiaTheme="majorEastAsia"/>
        </w:rPr>
        <w:t xml:space="preserve"> In </w:t>
      </w:r>
      <w:r w:rsidR="0081331A">
        <w:rPr>
          <w:rFonts w:eastAsiaTheme="majorEastAsia"/>
        </w:rPr>
        <w:t>AD</w:t>
      </w:r>
      <w:r w:rsidRPr="001836F4">
        <w:rPr>
          <w:rFonts w:eastAsiaTheme="majorEastAsia"/>
        </w:rPr>
        <w:t>, F</w:t>
      </w:r>
      <w:r w:rsidR="0081331A">
        <w:rPr>
          <w:rFonts w:eastAsiaTheme="majorEastAsia"/>
        </w:rPr>
        <w:t>LN</w:t>
      </w:r>
      <w:r w:rsidRPr="001836F4">
        <w:rPr>
          <w:rFonts w:eastAsiaTheme="majorEastAsia"/>
        </w:rPr>
        <w:t xml:space="preserve">A becomes abnormally phosphorylated, leading to structural and functional changes </w:t>
      </w:r>
      <w:r w:rsidR="00011A59" w:rsidRPr="001836F4">
        <w:rPr>
          <w:rFonts w:eastAsiaTheme="majorEastAsia"/>
        </w:rPr>
        <w:t>(</w:t>
      </w:r>
      <w:hyperlink r:id="rId84">
        <w:r w:rsidR="3F4789BA" w:rsidRPr="001836F4">
          <w:rPr>
            <w:rStyle w:val="Hyperlink"/>
            <w:rFonts w:eastAsiaTheme="majorEastAsia"/>
          </w:rPr>
          <w:t>Aumont et al., 2022</w:t>
        </w:r>
      </w:hyperlink>
      <w:r w:rsidR="3F4789BA" w:rsidRPr="001836F4">
        <w:rPr>
          <w:rFonts w:eastAsiaTheme="majorEastAsia"/>
        </w:rPr>
        <w:t>).</w:t>
      </w:r>
    </w:p>
    <w:p w14:paraId="0F6DDA73" w14:textId="58CD0E30" w:rsidR="00F061C9" w:rsidRPr="001836F4" w:rsidRDefault="00F061C9" w:rsidP="466B08BE">
      <w:pPr>
        <w:spacing w:line="360" w:lineRule="auto"/>
        <w:jc w:val="both"/>
        <w:rPr>
          <w:rFonts w:eastAsiaTheme="majorEastAsia"/>
        </w:rPr>
      </w:pPr>
    </w:p>
    <w:p w14:paraId="2DF8BD09" w14:textId="2A7763C8" w:rsidR="00F061C9" w:rsidRPr="001836F4" w:rsidRDefault="00E83BFA" w:rsidP="00F84A37">
      <w:pPr>
        <w:spacing w:line="360" w:lineRule="auto"/>
        <w:jc w:val="both"/>
        <w:rPr>
          <w:rFonts w:eastAsiaTheme="majorEastAsia"/>
        </w:rPr>
      </w:pPr>
      <w:r w:rsidRPr="001836F4">
        <w:rPr>
          <w:rFonts w:eastAsiaTheme="majorEastAsia"/>
        </w:rPr>
        <w:t xml:space="preserve">The only external research that indicates a potential link between FLNA and </w:t>
      </w:r>
      <w:r w:rsidR="0081331A">
        <w:rPr>
          <w:rFonts w:eastAsiaTheme="majorEastAsia"/>
        </w:rPr>
        <w:t>AD</w:t>
      </w:r>
      <w:r w:rsidRPr="001836F4">
        <w:rPr>
          <w:rFonts w:eastAsiaTheme="majorEastAsia"/>
        </w:rPr>
        <w:t xml:space="preserve"> is a study that aimed to assess the levels of FLNA over the different stages of AD and to identify which AD-associated features were predicted by FLNA levels such as Aβ and Tau protein </w:t>
      </w:r>
      <w:r w:rsidR="007F011D" w:rsidRPr="001836F4">
        <w:rPr>
          <w:rFonts w:eastAsiaTheme="majorEastAsia"/>
        </w:rPr>
        <w:t>(</w:t>
      </w:r>
      <w:hyperlink r:id="rId85">
        <w:r w:rsidR="3F4789BA" w:rsidRPr="001836F4">
          <w:rPr>
            <w:rStyle w:val="Hyperlink"/>
            <w:rFonts w:eastAsiaTheme="majorEastAsia"/>
          </w:rPr>
          <w:t>Aumont et al., 2022</w:t>
        </w:r>
      </w:hyperlink>
      <w:r w:rsidR="007F011D" w:rsidRPr="001836F4">
        <w:rPr>
          <w:rFonts w:eastAsiaTheme="majorEastAsia"/>
        </w:rPr>
        <w:t>)</w:t>
      </w:r>
      <w:r w:rsidRPr="001836F4">
        <w:rPr>
          <w:rFonts w:eastAsiaTheme="majorEastAsia"/>
        </w:rPr>
        <w:t xml:space="preserve">. The study found a correlation between FLNA and Aβ levels. FLNA was positively associated with Aβ42 concentrations (β = </w:t>
      </w:r>
      <w:r w:rsidRPr="3B1F823F">
        <w:rPr>
          <w:rFonts w:eastAsiaTheme="majorEastAsia"/>
          <w:i/>
        </w:rPr>
        <w:t>0.406</w:t>
      </w:r>
      <w:r w:rsidRPr="001836F4">
        <w:rPr>
          <w:rFonts w:eastAsiaTheme="majorEastAsia"/>
        </w:rPr>
        <w:t xml:space="preserve">, p = </w:t>
      </w:r>
      <w:r w:rsidRPr="3B1F823F">
        <w:rPr>
          <w:rFonts w:eastAsiaTheme="majorEastAsia"/>
          <w:i/>
        </w:rPr>
        <w:t>0.036</w:t>
      </w:r>
      <w:r w:rsidRPr="001836F4">
        <w:rPr>
          <w:rFonts w:eastAsiaTheme="majorEastAsia"/>
        </w:rPr>
        <w:t xml:space="preserve">), see </w:t>
      </w:r>
      <w:r w:rsidR="50149E82" w:rsidRPr="50149E82">
        <w:rPr>
          <w:rFonts w:eastAsiaTheme="majorEastAsia"/>
          <w:i/>
          <w:iCs/>
        </w:rPr>
        <w:t xml:space="preserve">Figure </w:t>
      </w:r>
      <w:r w:rsidR="10979643" w:rsidRPr="10979643">
        <w:rPr>
          <w:rFonts w:eastAsiaTheme="majorEastAsia"/>
          <w:i/>
          <w:iCs/>
        </w:rPr>
        <w:t>3</w:t>
      </w:r>
      <w:r w:rsidR="50149E82" w:rsidRPr="50149E82">
        <w:rPr>
          <w:rFonts w:eastAsiaTheme="majorEastAsia"/>
        </w:rPr>
        <w:t>.</w:t>
      </w:r>
      <w:r w:rsidRPr="001836F4">
        <w:rPr>
          <w:rFonts w:eastAsiaTheme="majorEastAsia"/>
        </w:rPr>
        <w:t xml:space="preserve"> In contrast, the levels of insoluble FLNA were not significantly associated to Consortium to Establish a Registry for Alzheimer’s Disease (CERAD) stages,</w:t>
      </w:r>
      <w:r w:rsidRPr="001836F4">
        <w:rPr>
          <w:rFonts w:eastAsiaTheme="majorEastAsia"/>
          <w:i/>
        </w:rPr>
        <w:t xml:space="preserve"> </w:t>
      </w:r>
      <w:r w:rsidRPr="3C8B1AB0">
        <w:rPr>
          <w:rFonts w:eastAsiaTheme="majorEastAsia"/>
        </w:rPr>
        <w:t xml:space="preserve">see </w:t>
      </w:r>
      <w:r w:rsidR="00CDCCB6" w:rsidRPr="3C8B1AB0">
        <w:rPr>
          <w:rFonts w:eastAsiaTheme="majorEastAsia"/>
          <w:i/>
        </w:rPr>
        <w:t xml:space="preserve">Figure </w:t>
      </w:r>
      <w:r w:rsidR="10979643" w:rsidRPr="3C8B1AB0">
        <w:rPr>
          <w:rFonts w:eastAsiaTheme="majorEastAsia"/>
          <w:i/>
        </w:rPr>
        <w:t>4</w:t>
      </w:r>
      <w:r w:rsidR="00CDCCB6" w:rsidRPr="00CDCCB6">
        <w:rPr>
          <w:rFonts w:eastAsiaTheme="majorEastAsia"/>
        </w:rPr>
        <w:t>.</w:t>
      </w:r>
      <w:r w:rsidRPr="001836F4">
        <w:rPr>
          <w:rFonts w:eastAsiaTheme="majorEastAsia"/>
        </w:rPr>
        <w:t xml:space="preserve"> CERAD is a system used primarily to stage and assess the degree of AD pathology in brain tissue after death </w:t>
      </w:r>
      <w:r w:rsidR="00F061C9" w:rsidRPr="3C8B1AB0">
        <w:rPr>
          <w:rFonts w:eastAsiaTheme="majorEastAsia"/>
        </w:rPr>
        <w:t>(</w:t>
      </w:r>
      <w:hyperlink r:id="rId86">
        <w:r w:rsidR="3F4789BA" w:rsidRPr="3C8B1AB0">
          <w:rPr>
            <w:rStyle w:val="Hyperlink"/>
            <w:rFonts w:eastAsiaTheme="majorEastAsia"/>
          </w:rPr>
          <w:t>CERAD</w:t>
        </w:r>
      </w:hyperlink>
      <w:r w:rsidR="3F4789BA" w:rsidRPr="3C8B1AB0">
        <w:rPr>
          <w:rFonts w:eastAsiaTheme="majorEastAsia"/>
        </w:rPr>
        <w:t>)</w:t>
      </w:r>
      <w:r w:rsidR="3F4789BA" w:rsidRPr="001836F4">
        <w:rPr>
          <w:rFonts w:eastAsiaTheme="majorEastAsia"/>
        </w:rPr>
        <w:t xml:space="preserve">. </w:t>
      </w:r>
    </w:p>
    <w:p w14:paraId="48F4779A" w14:textId="77777777" w:rsidR="00F061C9" w:rsidRPr="001836F4" w:rsidRDefault="00F061C9" w:rsidP="00F84A37">
      <w:pPr>
        <w:spacing w:line="360" w:lineRule="auto"/>
        <w:jc w:val="both"/>
        <w:rPr>
          <w:rFonts w:eastAsiaTheme="majorEastAsia"/>
        </w:rPr>
      </w:pPr>
    </w:p>
    <w:p w14:paraId="6144DF3F" w14:textId="1D5E1493" w:rsidR="00E83BFA" w:rsidRPr="001836F4" w:rsidRDefault="00E83BFA" w:rsidP="00F84A37">
      <w:pPr>
        <w:spacing w:line="360" w:lineRule="auto"/>
        <w:jc w:val="both"/>
        <w:rPr>
          <w:rFonts w:eastAsiaTheme="majorEastAsia"/>
        </w:rPr>
      </w:pPr>
      <w:r w:rsidRPr="001836F4">
        <w:rPr>
          <w:rFonts w:eastAsiaTheme="majorEastAsia"/>
        </w:rPr>
        <w:t>Finding that insoluble FLNA levels rise at prodromal AD (early symptomatic stage), insoluble FLNA levels seemed to stabilize between the prodromal and ADD stages - suggesting that the increase occurs earlier and then plateaus. In ADD</w:t>
      </w:r>
      <w:r w:rsidR="2AD6D0DB" w:rsidRPr="2AD6D0DB">
        <w:rPr>
          <w:rFonts w:eastAsiaTheme="majorEastAsia"/>
        </w:rPr>
        <w:t>,</w:t>
      </w:r>
      <w:r w:rsidRPr="001836F4">
        <w:rPr>
          <w:rFonts w:eastAsiaTheme="majorEastAsia"/>
        </w:rPr>
        <w:t xml:space="preserve"> soluble FLNA levels returned to normal, matching the stable insoluble FLNA levels. The soluble/insoluble FLNA ratio was significantly lower in the prodromal stage compared to non-AD subjects, suggesting this imbalance could indicate early AD. In addition, the presence of the APOE ε4 allele - a known genetic risk factor for AD - also influenced insoluble FLNA levels. APOE ε4 noncarriers with AD had significantly higher insoluble FLNA levels compared to non-AD subjects and APOE ε4 carriers. While FLNA </w:t>
      </w:r>
      <w:r w:rsidRPr="001836F4">
        <w:rPr>
          <w:rFonts w:eastAsiaTheme="majorEastAsia"/>
        </w:rPr>
        <w:lastRenderedPageBreak/>
        <w:t xml:space="preserve">levels were not significantly different between APOE ε4 carriers and non-AD subjects. FLNA was a good predictor of prodromal AD among subjects with mild cognitive impairment (MCI), with an AUC of </w:t>
      </w:r>
      <w:r w:rsidRPr="4D1BA854">
        <w:rPr>
          <w:rFonts w:eastAsiaTheme="majorEastAsia"/>
          <w:i/>
        </w:rPr>
        <w:t>0.818</w:t>
      </w:r>
      <w:r w:rsidRPr="001836F4">
        <w:rPr>
          <w:rFonts w:eastAsiaTheme="majorEastAsia"/>
        </w:rPr>
        <w:t xml:space="preserve">. Insoluble FLNA did not significantly predict cognitive performance on any scales, meaning there was no strong link between FLNA levels and overall cognitive decline in AD patients. By contrast, Aβ42, </w:t>
      </w:r>
      <w:r w:rsidR="5D119E19" w:rsidRPr="001836F4">
        <w:rPr>
          <w:rFonts w:eastAsiaTheme="majorEastAsia"/>
        </w:rPr>
        <w:t>neuritic plaques</w:t>
      </w:r>
      <w:r w:rsidRPr="001836F4">
        <w:rPr>
          <w:rFonts w:eastAsiaTheme="majorEastAsia"/>
        </w:rPr>
        <w:t xml:space="preserve"> (</w:t>
      </w:r>
      <w:r w:rsidR="31D0BAFF" w:rsidRPr="31D0BAFF">
        <w:rPr>
          <w:rFonts w:eastAsiaTheme="majorEastAsia"/>
        </w:rPr>
        <w:t>NPs</w:t>
      </w:r>
      <w:r w:rsidRPr="001836F4">
        <w:rPr>
          <w:rFonts w:eastAsiaTheme="majorEastAsia"/>
        </w:rPr>
        <w:t>), phosphorylated tau (pTau), and total tau were all strong predictors of cognitive decline, especially in global cognition and memory – making them reliable biomarkers. Furthermore, insoluble FLNA was not correlated with synaptophysin - a protein that indicates synaptic integrity. Synaptophysin levels decrease in neurodegeneration</w:t>
      </w:r>
      <w:r w:rsidR="5D119E19" w:rsidRPr="001836F4">
        <w:rPr>
          <w:rFonts w:eastAsiaTheme="majorEastAsia"/>
        </w:rPr>
        <w:t>,</w:t>
      </w:r>
      <w:r w:rsidRPr="001836F4">
        <w:rPr>
          <w:rFonts w:eastAsiaTheme="majorEastAsia"/>
        </w:rPr>
        <w:t xml:space="preserve"> however this decline did not show any significant relationship with FLNA. Finally, insoluble FLNA levels showed no significant association with tau-related metrics including </w:t>
      </w:r>
      <w:r w:rsidRPr="74B52694">
        <w:rPr>
          <w:rFonts w:eastAsiaTheme="majorEastAsia"/>
          <w:i/>
        </w:rPr>
        <w:t>Braak stages</w:t>
      </w:r>
      <w:r w:rsidRPr="001836F4">
        <w:rPr>
          <w:rFonts w:eastAsiaTheme="majorEastAsia"/>
        </w:rPr>
        <w:t>, pTau</w:t>
      </w:r>
      <w:r w:rsidR="6D1EB682" w:rsidRPr="6D1EB682">
        <w:rPr>
          <w:rFonts w:eastAsiaTheme="majorEastAsia"/>
        </w:rPr>
        <w:t>,</w:t>
      </w:r>
      <w:r w:rsidRPr="001836F4">
        <w:rPr>
          <w:rFonts w:eastAsiaTheme="majorEastAsia"/>
        </w:rPr>
        <w:t xml:space="preserve"> and total tau – suggesting no direct link between FLNA insolubility and tau pathology, </w:t>
      </w:r>
      <w:r w:rsidRPr="00CDCCB6">
        <w:rPr>
          <w:rFonts w:eastAsiaTheme="majorEastAsia"/>
        </w:rPr>
        <w:t xml:space="preserve">see </w:t>
      </w:r>
      <w:r w:rsidR="00CDCCB6" w:rsidRPr="00CDCCB6">
        <w:rPr>
          <w:rFonts w:eastAsiaTheme="majorEastAsia"/>
          <w:i/>
          <w:iCs/>
        </w:rPr>
        <w:t>Figure</w:t>
      </w:r>
      <w:r w:rsidRPr="001836F4">
        <w:rPr>
          <w:rFonts w:eastAsiaTheme="majorEastAsia"/>
          <w:i/>
        </w:rPr>
        <w:t xml:space="preserve"> </w:t>
      </w:r>
      <w:r w:rsidR="7B5A73B7" w:rsidRPr="7B5A73B7">
        <w:rPr>
          <w:rFonts w:eastAsiaTheme="majorEastAsia"/>
          <w:i/>
          <w:iCs/>
        </w:rPr>
        <w:t>5</w:t>
      </w:r>
      <w:r w:rsidRPr="001836F4">
        <w:rPr>
          <w:rFonts w:eastAsiaTheme="majorEastAsia"/>
        </w:rPr>
        <w:t>. </w:t>
      </w:r>
    </w:p>
    <w:p w14:paraId="58C3805E" w14:textId="436F1924" w:rsidR="7B5A73B7" w:rsidRDefault="7B5A73B7" w:rsidP="7B5A73B7">
      <w:pPr>
        <w:spacing w:line="360" w:lineRule="auto"/>
        <w:jc w:val="both"/>
        <w:rPr>
          <w:rFonts w:eastAsiaTheme="majorEastAsia"/>
        </w:rPr>
      </w:pPr>
    </w:p>
    <w:p w14:paraId="2351EFB0" w14:textId="053BF406" w:rsidR="00E83BFA" w:rsidRPr="001836F4" w:rsidRDefault="00E83BFA" w:rsidP="4176302C">
      <w:pPr>
        <w:spacing w:line="360" w:lineRule="auto"/>
        <w:jc w:val="both"/>
        <w:rPr>
          <w:rFonts w:eastAsiaTheme="majorEastAsia"/>
        </w:rPr>
      </w:pPr>
      <w:r w:rsidRPr="001836F4">
        <w:rPr>
          <w:rFonts w:eastAsiaTheme="majorEastAsia"/>
        </w:rPr>
        <w:t> </w:t>
      </w:r>
      <w:r>
        <w:rPr>
          <w:noProof/>
        </w:rPr>
        <w:drawing>
          <wp:inline distT="0" distB="0" distL="0" distR="0" wp14:anchorId="21AEDE4F" wp14:editId="78F4D72F">
            <wp:extent cx="4405812" cy="4036307"/>
            <wp:effectExtent l="0" t="0" r="0" b="3175"/>
            <wp:docPr id="2004662603" name="Picture 12"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87">
                      <a:extLst>
                        <a:ext uri="{28A0092B-C50C-407E-A947-70E740481C1C}">
                          <a14:useLocalDpi xmlns:a14="http://schemas.microsoft.com/office/drawing/2010/main" val="0"/>
                        </a:ext>
                      </a:extLst>
                    </a:blip>
                    <a:stretch>
                      <a:fillRect/>
                    </a:stretch>
                  </pic:blipFill>
                  <pic:spPr>
                    <a:xfrm>
                      <a:off x="0" y="0"/>
                      <a:ext cx="4405812" cy="4036307"/>
                    </a:xfrm>
                    <a:prstGeom prst="rect">
                      <a:avLst/>
                    </a:prstGeom>
                  </pic:spPr>
                </pic:pic>
              </a:graphicData>
            </a:graphic>
          </wp:inline>
        </w:drawing>
      </w:r>
      <w:r w:rsidR="00CDCCB6" w:rsidRPr="00CDCCB6">
        <w:rPr>
          <w:rFonts w:eastAsiaTheme="majorEastAsia"/>
          <w:b/>
          <w:bCs/>
        </w:rPr>
        <w:t> </w:t>
      </w:r>
    </w:p>
    <w:p w14:paraId="2A356242" w14:textId="24CB4C25" w:rsidR="00E83BFA" w:rsidRPr="001836F4" w:rsidRDefault="00CDCCB6" w:rsidP="00F84A37">
      <w:pPr>
        <w:spacing w:line="360" w:lineRule="auto"/>
        <w:jc w:val="both"/>
        <w:rPr>
          <w:rFonts w:eastAsiaTheme="majorEastAsia"/>
        </w:rPr>
      </w:pPr>
      <w:r w:rsidRPr="00CDCCB6">
        <w:rPr>
          <w:rFonts w:eastAsiaTheme="majorEastAsia"/>
          <w:b/>
          <w:bCs/>
        </w:rPr>
        <w:t>Figure 3.</w:t>
      </w:r>
      <w:r w:rsidRPr="00CDCCB6">
        <w:rPr>
          <w:rFonts w:eastAsiaTheme="majorEastAsia"/>
        </w:rPr>
        <w:t xml:space="preserve"> </w:t>
      </w:r>
      <w:r w:rsidR="65608DBC" w:rsidRPr="65608DBC">
        <w:rPr>
          <w:rFonts w:eastAsiaTheme="majorEastAsia"/>
        </w:rPr>
        <w:t>Associations between insoluble FLNA and Aβ-derived metrics</w:t>
      </w:r>
      <w:r w:rsidR="724A552F" w:rsidRPr="724A552F">
        <w:rPr>
          <w:rFonts w:eastAsiaTheme="majorEastAsia"/>
        </w:rPr>
        <w:t xml:space="preserve"> </w:t>
      </w:r>
      <w:r w:rsidR="231AE77C" w:rsidRPr="231AE77C">
        <w:rPr>
          <w:rFonts w:eastAsiaTheme="majorEastAsia"/>
        </w:rPr>
        <w:t>(</w:t>
      </w:r>
      <w:hyperlink r:id="rId88">
        <w:r w:rsidR="231AE77C" w:rsidRPr="231AE77C">
          <w:rPr>
            <w:rStyle w:val="Hyperlink"/>
            <w:rFonts w:eastAsiaTheme="majorEastAsia"/>
          </w:rPr>
          <w:t>Aumont et al., 2022</w:t>
        </w:r>
      </w:hyperlink>
      <w:r w:rsidR="231AE77C" w:rsidRPr="231AE77C">
        <w:rPr>
          <w:rFonts w:eastAsiaTheme="majorEastAsia"/>
        </w:rPr>
        <w:t>).</w:t>
      </w:r>
    </w:p>
    <w:p w14:paraId="3A10A7E6" w14:textId="6EA49FFC" w:rsidR="00E83BFA" w:rsidRPr="001836F4" w:rsidRDefault="627CBD88" w:rsidP="4176302C">
      <w:pPr>
        <w:spacing w:line="360" w:lineRule="auto"/>
        <w:jc w:val="both"/>
        <w:rPr>
          <w:rFonts w:eastAsiaTheme="majorEastAsia"/>
        </w:rPr>
      </w:pPr>
      <w:r>
        <w:rPr>
          <w:noProof/>
        </w:rPr>
        <w:lastRenderedPageBreak/>
        <w:drawing>
          <wp:inline distT="0" distB="0" distL="0" distR="0" wp14:anchorId="47ABA900" wp14:editId="108AD6BA">
            <wp:extent cx="4844517" cy="3855946"/>
            <wp:effectExtent l="0" t="0" r="0" b="6350"/>
            <wp:docPr id="2141911028" name="Picture 11" descr="A graph of a number of different colored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89">
                      <a:extLst>
                        <a:ext uri="{28A0092B-C50C-407E-A947-70E740481C1C}">
                          <a14:useLocalDpi xmlns:a14="http://schemas.microsoft.com/office/drawing/2010/main" val="0"/>
                        </a:ext>
                      </a:extLst>
                    </a:blip>
                    <a:stretch>
                      <a:fillRect/>
                    </a:stretch>
                  </pic:blipFill>
                  <pic:spPr>
                    <a:xfrm>
                      <a:off x="0" y="0"/>
                      <a:ext cx="4844517" cy="3855946"/>
                    </a:xfrm>
                    <a:prstGeom prst="rect">
                      <a:avLst/>
                    </a:prstGeom>
                  </pic:spPr>
                </pic:pic>
              </a:graphicData>
            </a:graphic>
          </wp:inline>
        </w:drawing>
      </w:r>
      <w:r w:rsidR="00CDCCB6" w:rsidRPr="00CDCCB6">
        <w:rPr>
          <w:rFonts w:eastAsiaTheme="majorEastAsia"/>
          <w:b/>
          <w:bCs/>
        </w:rPr>
        <w:t> </w:t>
      </w:r>
    </w:p>
    <w:p w14:paraId="3FF77069" w14:textId="1D890F7D" w:rsidR="3D96C1FB" w:rsidRDefault="3D96C1FB" w:rsidP="3D96C1FB">
      <w:pPr>
        <w:spacing w:line="360" w:lineRule="auto"/>
        <w:jc w:val="both"/>
        <w:rPr>
          <w:rFonts w:eastAsiaTheme="majorEastAsia"/>
        </w:rPr>
      </w:pPr>
      <w:r w:rsidRPr="3D96C1FB">
        <w:rPr>
          <w:rFonts w:eastAsiaTheme="majorEastAsia"/>
          <w:b/>
          <w:bCs/>
        </w:rPr>
        <w:t>Figure 4.</w:t>
      </w:r>
      <w:r w:rsidRPr="3D96C1FB">
        <w:rPr>
          <w:rFonts w:eastAsiaTheme="majorEastAsia"/>
        </w:rPr>
        <w:t xml:space="preserve"> Associations between insoluble FLNA and CERAD stages (</w:t>
      </w:r>
      <w:hyperlink r:id="rId90">
        <w:r w:rsidRPr="3D96C1FB">
          <w:rPr>
            <w:rStyle w:val="Hyperlink"/>
            <w:rFonts w:eastAsiaTheme="majorEastAsia"/>
          </w:rPr>
          <w:t>Aumont et al., 2022</w:t>
        </w:r>
      </w:hyperlink>
      <w:r w:rsidRPr="3D96C1FB">
        <w:rPr>
          <w:rFonts w:eastAsiaTheme="majorEastAsia"/>
        </w:rPr>
        <w:t>).</w:t>
      </w:r>
    </w:p>
    <w:p w14:paraId="5106ACD8" w14:textId="397E29C8" w:rsidR="627CBD88" w:rsidRDefault="627CBD88" w:rsidP="627CBD88">
      <w:pPr>
        <w:spacing w:line="360" w:lineRule="auto"/>
        <w:jc w:val="both"/>
        <w:rPr>
          <w:rFonts w:eastAsiaTheme="majorEastAsia"/>
        </w:rPr>
      </w:pPr>
    </w:p>
    <w:p w14:paraId="3E29E704" w14:textId="4C7EDD2A" w:rsidR="00E83BFA" w:rsidRPr="001836F4" w:rsidRDefault="00CDCCB6" w:rsidP="4176302C">
      <w:pPr>
        <w:spacing w:line="360" w:lineRule="auto"/>
        <w:jc w:val="both"/>
        <w:rPr>
          <w:rFonts w:eastAsiaTheme="majorEastAsia"/>
        </w:rPr>
      </w:pPr>
      <w:r>
        <w:rPr>
          <w:noProof/>
        </w:rPr>
        <w:drawing>
          <wp:inline distT="0" distB="0" distL="0" distR="0" wp14:anchorId="6ED71892" wp14:editId="5488B601">
            <wp:extent cx="4924425" cy="3014106"/>
            <wp:effectExtent l="0" t="0" r="0" b="0"/>
            <wp:docPr id="1024524870" name="Picture 10"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91">
                      <a:extLst>
                        <a:ext uri="{28A0092B-C50C-407E-A947-70E740481C1C}">
                          <a14:useLocalDpi xmlns:a14="http://schemas.microsoft.com/office/drawing/2010/main" val="0"/>
                        </a:ext>
                      </a:extLst>
                    </a:blip>
                    <a:stretch>
                      <a:fillRect/>
                    </a:stretch>
                  </pic:blipFill>
                  <pic:spPr>
                    <a:xfrm>
                      <a:off x="0" y="0"/>
                      <a:ext cx="4924425" cy="3014106"/>
                    </a:xfrm>
                    <a:prstGeom prst="rect">
                      <a:avLst/>
                    </a:prstGeom>
                  </pic:spPr>
                </pic:pic>
              </a:graphicData>
            </a:graphic>
          </wp:inline>
        </w:drawing>
      </w:r>
      <w:r w:rsidRPr="00CDCCB6">
        <w:rPr>
          <w:rFonts w:eastAsiaTheme="majorEastAsia"/>
        </w:rPr>
        <w:t> </w:t>
      </w:r>
    </w:p>
    <w:p w14:paraId="0679DD7F" w14:textId="06D0A6EA" w:rsidR="00E83BFA" w:rsidRPr="001836F4" w:rsidRDefault="3766318C" w:rsidP="00F84A37">
      <w:pPr>
        <w:spacing w:line="360" w:lineRule="auto"/>
        <w:jc w:val="both"/>
        <w:rPr>
          <w:rFonts w:eastAsiaTheme="majorEastAsia"/>
        </w:rPr>
      </w:pPr>
      <w:r w:rsidRPr="3766318C">
        <w:rPr>
          <w:rFonts w:eastAsiaTheme="majorEastAsia"/>
          <w:b/>
          <w:bCs/>
        </w:rPr>
        <w:t>Figure 5.</w:t>
      </w:r>
      <w:r w:rsidRPr="3766318C">
        <w:rPr>
          <w:rFonts w:eastAsiaTheme="majorEastAsia"/>
        </w:rPr>
        <w:t xml:space="preserve"> Summary of statistical tests for all partial correlations adjusted for age, sex and study batch between biological measures and AD stages </w:t>
      </w:r>
      <w:r w:rsidR="705EFC70" w:rsidRPr="705EFC70">
        <w:rPr>
          <w:rFonts w:eastAsiaTheme="majorEastAsia"/>
        </w:rPr>
        <w:t>(</w:t>
      </w:r>
      <w:hyperlink r:id="rId92">
        <w:r w:rsidR="705EFC70" w:rsidRPr="705EFC70">
          <w:rPr>
            <w:rStyle w:val="Hyperlink"/>
            <w:rFonts w:eastAsiaTheme="majorEastAsia"/>
          </w:rPr>
          <w:t>Aumont et al., 2022</w:t>
        </w:r>
      </w:hyperlink>
      <w:r w:rsidR="705EFC70" w:rsidRPr="705EFC70">
        <w:rPr>
          <w:rFonts w:eastAsiaTheme="majorEastAsia"/>
        </w:rPr>
        <w:t>).</w:t>
      </w:r>
    </w:p>
    <w:p w14:paraId="2702DA99" w14:textId="627F23E5" w:rsidR="00CDCCB6" w:rsidRDefault="00CDCCB6" w:rsidP="00CDCCB6">
      <w:pPr>
        <w:spacing w:line="360" w:lineRule="auto"/>
        <w:jc w:val="both"/>
        <w:rPr>
          <w:rFonts w:eastAsiaTheme="majorEastAsia"/>
        </w:rPr>
      </w:pPr>
    </w:p>
    <w:p w14:paraId="1DECE7CB" w14:textId="47A65E9E" w:rsidR="00E83BFA" w:rsidRPr="001836F4" w:rsidRDefault="00E83BFA" w:rsidP="00F84A37">
      <w:pPr>
        <w:spacing w:line="360" w:lineRule="auto"/>
        <w:jc w:val="both"/>
        <w:rPr>
          <w:rFonts w:eastAsiaTheme="majorEastAsia"/>
        </w:rPr>
      </w:pPr>
      <w:r w:rsidRPr="001836F4">
        <w:rPr>
          <w:rFonts w:eastAsiaTheme="majorEastAsia"/>
        </w:rPr>
        <w:t>Despite the correlation between FLNA and general AD progression scales</w:t>
      </w:r>
      <w:r w:rsidR="503291CE" w:rsidRPr="503291CE">
        <w:rPr>
          <w:rFonts w:eastAsiaTheme="majorEastAsia"/>
        </w:rPr>
        <w:t>,</w:t>
      </w:r>
      <w:r w:rsidRPr="001836F4">
        <w:rPr>
          <w:rFonts w:eastAsiaTheme="majorEastAsia"/>
        </w:rPr>
        <w:t xml:space="preserve"> such as </w:t>
      </w:r>
      <w:r w:rsidRPr="627CBD88">
        <w:rPr>
          <w:rFonts w:eastAsiaTheme="majorEastAsia"/>
          <w:i/>
        </w:rPr>
        <w:t>ABC</w:t>
      </w:r>
      <w:r w:rsidRPr="001836F4">
        <w:rPr>
          <w:rFonts w:eastAsiaTheme="majorEastAsia"/>
        </w:rPr>
        <w:t xml:space="preserve"> and </w:t>
      </w:r>
      <w:r w:rsidRPr="627CBD88">
        <w:rPr>
          <w:rFonts w:eastAsiaTheme="majorEastAsia"/>
          <w:i/>
        </w:rPr>
        <w:t>AD clinicopathologic stages</w:t>
      </w:r>
      <w:r w:rsidRPr="001836F4">
        <w:rPr>
          <w:rFonts w:eastAsiaTheme="majorEastAsia"/>
        </w:rPr>
        <w:t xml:space="preserve">, its transition to an insoluble form appears to follow the progression of Aβ pathology rather than tau mechanisms. The study suggests that while Aβ may trigger FLNA abnormalities - leading to its insolubility - this process is distinct from tau hyperphosphorylation and aggregation. Following this, a hypothesis can be </w:t>
      </w:r>
      <w:r w:rsidR="056F2628" w:rsidRPr="056F2628">
        <w:rPr>
          <w:rFonts w:eastAsiaTheme="majorEastAsia"/>
        </w:rPr>
        <w:t>made concerning</w:t>
      </w:r>
      <w:r w:rsidRPr="001836F4">
        <w:rPr>
          <w:rFonts w:eastAsiaTheme="majorEastAsia"/>
        </w:rPr>
        <w:t xml:space="preserve"> FLNA insolubility, tau hyperphosphorylation</w:t>
      </w:r>
      <w:r w:rsidR="056F2628" w:rsidRPr="056F2628">
        <w:rPr>
          <w:rFonts w:eastAsiaTheme="majorEastAsia"/>
        </w:rPr>
        <w:t>,</w:t>
      </w:r>
      <w:r w:rsidRPr="001836F4">
        <w:rPr>
          <w:rFonts w:eastAsiaTheme="majorEastAsia"/>
        </w:rPr>
        <w:t xml:space="preserve"> and aggregation</w:t>
      </w:r>
      <w:r w:rsidR="48C46E1B" w:rsidRPr="48C46E1B">
        <w:rPr>
          <w:rFonts w:eastAsiaTheme="majorEastAsia"/>
        </w:rPr>
        <w:t>,</w:t>
      </w:r>
      <w:r w:rsidRPr="001836F4">
        <w:rPr>
          <w:rFonts w:eastAsiaTheme="majorEastAsia"/>
        </w:rPr>
        <w:t xml:space="preserve"> making them distinct events that are influenced by Aβ. "Following its structural alteration due to Aβ, we propose that FLNA would be more prone to a transition towards an insoluble state</w:t>
      </w:r>
      <w:r w:rsidR="7ED226BE" w:rsidRPr="7ED226BE">
        <w:rPr>
          <w:rFonts w:eastAsiaTheme="majorEastAsia"/>
        </w:rPr>
        <w:t>" (</w:t>
      </w:r>
      <w:hyperlink r:id="rId93">
        <w:r w:rsidR="7ED226BE" w:rsidRPr="7ED226BE">
          <w:rPr>
            <w:rStyle w:val="Hyperlink"/>
            <w:rFonts w:eastAsiaTheme="majorEastAsia"/>
          </w:rPr>
          <w:t>Aumont et al., 2022</w:t>
        </w:r>
      </w:hyperlink>
      <w:r w:rsidR="7ED226BE" w:rsidRPr="7ED226BE">
        <w:rPr>
          <w:rFonts w:eastAsiaTheme="majorEastAsia"/>
        </w:rPr>
        <w:t>). </w:t>
      </w:r>
    </w:p>
    <w:p w14:paraId="0CB622E0" w14:textId="77777777" w:rsidR="00E80D3E" w:rsidRPr="001836F4" w:rsidRDefault="00E80D3E" w:rsidP="00F84A37">
      <w:pPr>
        <w:spacing w:line="360" w:lineRule="auto"/>
        <w:jc w:val="both"/>
      </w:pPr>
    </w:p>
    <w:p w14:paraId="24851CCE" w14:textId="05D337D7" w:rsidR="00E83BFA" w:rsidRPr="001836F4" w:rsidRDefault="0AFEF097" w:rsidP="0AFEF097">
      <w:pPr>
        <w:spacing w:line="360" w:lineRule="auto"/>
        <w:jc w:val="both"/>
        <w:rPr>
          <w:rFonts w:eastAsiaTheme="majorEastAsia"/>
        </w:rPr>
      </w:pPr>
      <w:r w:rsidRPr="0AFEF097">
        <w:rPr>
          <w:rFonts w:eastAsiaTheme="majorEastAsia"/>
        </w:rPr>
        <w:t>Upon evaluation of the presented data, our conclusion is that FLNA may have an impact on AD, and its link to Aβ is interesting. However, it still needs more studies to prove its importance in AD. Considering the current data, FLNA has not reached a sufficient level of understanding regarding its role in AD for us to deem it relevant - especially when evaluating it as a sole target to reduce or alter AD progression. A sane conclusion to have regarding FLNA’s role in AD - given the current data - is that FLNA has little to do with AD although greater involvement could be discovered.  Still, it would not be rational in our view to say that FLNA is the only protein that needs to be targeted to halt Alzheimer’s progression. On that note, we conclude that FLNA has little to do with AD given the very low research data, that indicate any involvement in it. Furthermore, the potential impact that FLNA could have on Alzheimer’s is too low to have a critical effect on the disease’s progression in our view, considering the existing data. Solely targeting FLNA and its interactions is too small of an impact on such a complicated disease to be the sole contributor to its progression. The extent of FLNA’s influence on AD is still very little understood, if not understood at all in our view.  </w:t>
      </w:r>
    </w:p>
    <w:p w14:paraId="265830D9" w14:textId="77777777" w:rsidR="0075506D" w:rsidRPr="001836F4" w:rsidRDefault="0075506D" w:rsidP="00F84A37">
      <w:pPr>
        <w:spacing w:line="360" w:lineRule="auto"/>
        <w:jc w:val="both"/>
      </w:pPr>
    </w:p>
    <w:p w14:paraId="74B55EDA" w14:textId="77777777" w:rsidR="00017998" w:rsidRPr="001836F4" w:rsidRDefault="00017998" w:rsidP="00F84A37">
      <w:pPr>
        <w:spacing w:line="360" w:lineRule="auto"/>
        <w:jc w:val="both"/>
      </w:pPr>
    </w:p>
    <w:p w14:paraId="1BE02410" w14:textId="77777777" w:rsidR="00017998" w:rsidRPr="001836F4" w:rsidRDefault="5183A6D9" w:rsidP="5183A6D9">
      <w:pPr>
        <w:pStyle w:val="Heading2"/>
        <w:rPr>
          <w:rFonts w:ascii="Times New Roman" w:eastAsia="Times New Roman" w:hAnsi="Times New Roman" w:cs="Times New Roman"/>
          <w:b/>
          <w:bCs/>
          <w:color w:val="auto"/>
        </w:rPr>
      </w:pPr>
      <w:bookmarkStart w:id="27" w:name="_6._Hyperphosphorylation:_Not"/>
      <w:bookmarkStart w:id="28" w:name="_Toc340409140"/>
      <w:bookmarkEnd w:id="27"/>
      <w:r w:rsidRPr="5183A6D9">
        <w:rPr>
          <w:rFonts w:ascii="Times New Roman" w:eastAsia="Times New Roman" w:hAnsi="Times New Roman" w:cs="Times New Roman"/>
          <w:b/>
          <w:bCs/>
          <w:color w:val="auto"/>
        </w:rPr>
        <w:t>6. Hyperphosphorylation: Not a Kinase-Targeting Drug</w:t>
      </w:r>
      <w:bookmarkEnd w:id="28"/>
    </w:p>
    <w:p w14:paraId="00D42846" w14:textId="08D638CF" w:rsidR="00017998" w:rsidRPr="001836F4" w:rsidRDefault="00017998" w:rsidP="00F84A37">
      <w:pPr>
        <w:spacing w:line="360" w:lineRule="auto"/>
        <w:jc w:val="both"/>
      </w:pPr>
      <w:r w:rsidRPr="001836F4">
        <w:t xml:space="preserve">One of the hallmarks of </w:t>
      </w:r>
      <w:r w:rsidR="00017270">
        <w:t>AD</w:t>
      </w:r>
      <w:r w:rsidRPr="001836F4">
        <w:t xml:space="preserve"> is the hyperphosphorylation of tau proteins, which leads to the formation of neurofibrillary tangles</w:t>
      </w:r>
      <w:r w:rsidR="2BA5C440">
        <w:t xml:space="preserve"> (</w:t>
      </w:r>
      <w:r w:rsidR="2BA5C440" w:rsidRPr="2BA5C440">
        <w:rPr>
          <w:rFonts w:eastAsiaTheme="majorEastAsia"/>
        </w:rPr>
        <w:t>NFTs)</w:t>
      </w:r>
      <w:r w:rsidR="2BA5C440">
        <w:t>.</w:t>
      </w:r>
      <w:r w:rsidRPr="001836F4">
        <w:t xml:space="preserve"> </w:t>
      </w:r>
      <w:r w:rsidR="4F0CAF4D">
        <w:t>The most successful</w:t>
      </w:r>
      <w:r w:rsidRPr="001836F4">
        <w:t xml:space="preserve"> efforts to develop AD drugs</w:t>
      </w:r>
      <w:r w:rsidR="4F0CAF4D">
        <w:t>,</w:t>
      </w:r>
      <w:r w:rsidRPr="001836F4">
        <w:t xml:space="preserve"> now </w:t>
      </w:r>
      <w:r w:rsidR="46B89D41">
        <w:t>focus</w:t>
      </w:r>
      <w:r w:rsidRPr="001836F4">
        <w:t xml:space="preserve"> on tau pathology as a more promising target than amyloid.</w:t>
      </w:r>
    </w:p>
    <w:p w14:paraId="6619AA38" w14:textId="4721A1B2" w:rsidR="00017998" w:rsidRPr="001836F4" w:rsidRDefault="00017998" w:rsidP="00F84A37">
      <w:pPr>
        <w:spacing w:line="360" w:lineRule="auto"/>
        <w:jc w:val="both"/>
      </w:pPr>
      <w:r w:rsidRPr="001836F4">
        <w:lastRenderedPageBreak/>
        <w:t>Simufilam, however, does not target kinases or other enzymes involved in tau hyperphosphorylation</w:t>
      </w:r>
      <w:r w:rsidR="0B4D481B">
        <w:t>.</w:t>
      </w:r>
      <w:r w:rsidRPr="001836F4">
        <w:t xml:space="preserve"> Without addressing tau hyperphosphorylation, Simufilam fails to intervene in one of the most significant drivers of cognitive decline in AD. This oversight significantly limits the drug’s potential, as targeting amyloid without addressing </w:t>
      </w:r>
      <w:r w:rsidR="2BA5C440" w:rsidRPr="2BA5C440">
        <w:rPr>
          <w:rFonts w:eastAsiaTheme="majorEastAsia"/>
        </w:rPr>
        <w:t>NFTs</w:t>
      </w:r>
      <w:r w:rsidRPr="001836F4">
        <w:t xml:space="preserve"> has consistently failed to slow disease progression in previous trials.</w:t>
      </w:r>
    </w:p>
    <w:p w14:paraId="705DAF6F" w14:textId="77777777" w:rsidR="00017998" w:rsidRPr="001836F4" w:rsidRDefault="00017998" w:rsidP="00F84A37">
      <w:pPr>
        <w:spacing w:line="360" w:lineRule="auto"/>
        <w:jc w:val="both"/>
      </w:pPr>
    </w:p>
    <w:p w14:paraId="3ED1F92A" w14:textId="5447BB6F" w:rsidR="0028239C" w:rsidRPr="001836F4" w:rsidRDefault="5183A6D9" w:rsidP="00F84A37">
      <w:pPr>
        <w:pStyle w:val="Heading4"/>
        <w:jc w:val="both"/>
        <w:rPr>
          <w:rFonts w:cs="Times New Roman"/>
          <w:color w:val="auto"/>
        </w:rPr>
      </w:pPr>
      <w:bookmarkStart w:id="29" w:name="_Toc112625075"/>
      <w:r w:rsidRPr="5183A6D9">
        <w:rPr>
          <w:rFonts w:cs="Times New Roman"/>
          <w:color w:val="auto"/>
        </w:rPr>
        <w:t>Simufilam does not exert its effects through direct kinase activity or phosphorylation – so how does it do it?</w:t>
      </w:r>
      <w:bookmarkEnd w:id="29"/>
      <w:r w:rsidRPr="5183A6D9">
        <w:rPr>
          <w:rFonts w:cs="Times New Roman"/>
          <w:color w:val="auto"/>
        </w:rPr>
        <w:t> </w:t>
      </w:r>
    </w:p>
    <w:p w14:paraId="1AED1EF1" w14:textId="3B7B1655" w:rsidR="00D50158" w:rsidRPr="001836F4" w:rsidRDefault="0028239C" w:rsidP="00F84A37">
      <w:pPr>
        <w:spacing w:line="360" w:lineRule="auto"/>
        <w:jc w:val="both"/>
        <w:rPr>
          <w:rFonts w:eastAsiaTheme="majorEastAsia"/>
        </w:rPr>
      </w:pPr>
      <w:r w:rsidRPr="001836F4">
        <w:rPr>
          <w:rFonts w:eastAsiaTheme="majorEastAsia"/>
        </w:rPr>
        <w:t>When evaluating the MOA of Simufilam - its impact on the hyperphosphorylation of tau protein in Alzheimer’s, and its effects on the Aβ42</w:t>
      </w:r>
      <w:r w:rsidR="0A33DA18" w:rsidRPr="0A33DA18">
        <w:rPr>
          <w:rFonts w:eastAsiaTheme="majorEastAsia"/>
        </w:rPr>
        <w:t xml:space="preserve"> - </w:t>
      </w:r>
      <w:r w:rsidRPr="001836F4">
        <w:rPr>
          <w:rFonts w:eastAsiaTheme="majorEastAsia"/>
        </w:rPr>
        <w:t xml:space="preserve">α7nAChR interaction. </w:t>
      </w:r>
      <w:r w:rsidR="2BA5C440" w:rsidRPr="2BA5C440">
        <w:rPr>
          <w:rFonts w:eastAsiaTheme="majorEastAsia"/>
        </w:rPr>
        <w:t xml:space="preserve">One must look at </w:t>
      </w:r>
      <w:r w:rsidRPr="001836F4">
        <w:rPr>
          <w:rFonts w:eastAsiaTheme="majorEastAsia"/>
        </w:rPr>
        <w:t>α7-nicotinic acetylcholine receptor (α7nAChR</w:t>
      </w:r>
      <w:r w:rsidR="2BA5C440" w:rsidRPr="2BA5C440">
        <w:rPr>
          <w:rFonts w:eastAsiaTheme="majorEastAsia"/>
        </w:rPr>
        <w:t>),</w:t>
      </w:r>
      <w:r w:rsidRPr="001836F4">
        <w:rPr>
          <w:rFonts w:eastAsiaTheme="majorEastAsia"/>
        </w:rPr>
        <w:t xml:space="preserve"> an ion channel receptor that is part of the nicotinic acetylcholine receptors (nAChRs) family </w:t>
      </w:r>
      <w:r w:rsidR="00D50158" w:rsidRPr="001836F4">
        <w:rPr>
          <w:rFonts w:eastAsiaTheme="majorEastAsia"/>
        </w:rPr>
        <w:t>(</w:t>
      </w:r>
      <w:hyperlink r:id="rId94">
        <w:r w:rsidR="2BA5C440" w:rsidRPr="2BA5C440">
          <w:rPr>
            <w:rStyle w:val="Hyperlink"/>
            <w:rFonts w:eastAsiaTheme="majorEastAsia"/>
          </w:rPr>
          <w:t>IUPHAR/BPS</w:t>
        </w:r>
      </w:hyperlink>
      <w:r w:rsidR="00D50158" w:rsidRPr="001836F4">
        <w:rPr>
          <w:rFonts w:eastAsiaTheme="majorEastAsia"/>
        </w:rPr>
        <w:t>)</w:t>
      </w:r>
      <w:r w:rsidRPr="001836F4">
        <w:rPr>
          <w:rFonts w:eastAsiaTheme="majorEastAsia"/>
        </w:rPr>
        <w:t xml:space="preserve">. </w:t>
      </w:r>
    </w:p>
    <w:p w14:paraId="50700139" w14:textId="77777777" w:rsidR="00D50158" w:rsidRPr="001836F4" w:rsidRDefault="00D50158" w:rsidP="00F84A37">
      <w:pPr>
        <w:spacing w:line="360" w:lineRule="auto"/>
        <w:jc w:val="both"/>
        <w:rPr>
          <w:rFonts w:eastAsiaTheme="majorEastAsia"/>
        </w:rPr>
      </w:pPr>
    </w:p>
    <w:p w14:paraId="18509A53" w14:textId="4069D9D8" w:rsidR="0028239C" w:rsidRPr="001836F4" w:rsidRDefault="0028239C" w:rsidP="00F84A37">
      <w:pPr>
        <w:spacing w:line="360" w:lineRule="auto"/>
        <w:jc w:val="both"/>
        <w:rPr>
          <w:rFonts w:eastAsiaTheme="majorEastAsia"/>
        </w:rPr>
      </w:pPr>
      <w:r w:rsidRPr="001836F4">
        <w:rPr>
          <w:rFonts w:eastAsiaTheme="majorEastAsia"/>
        </w:rPr>
        <w:t xml:space="preserve">α7nAChR is known for its high permeability to calcium ions (Ca²⁺) </w:t>
      </w:r>
      <w:r w:rsidR="00D50158" w:rsidRPr="001836F4">
        <w:rPr>
          <w:rFonts w:eastAsiaTheme="majorEastAsia"/>
        </w:rPr>
        <w:t>(</w:t>
      </w:r>
      <w:hyperlink r:id="rId95">
        <w:r w:rsidR="0A33DA18" w:rsidRPr="0A33DA18">
          <w:rPr>
            <w:rStyle w:val="Hyperlink"/>
            <w:rFonts w:eastAsiaTheme="majorEastAsia"/>
          </w:rPr>
          <w:t>Shen et al., 2009</w:t>
        </w:r>
      </w:hyperlink>
      <w:r w:rsidR="00D50158" w:rsidRPr="001836F4">
        <w:rPr>
          <w:rFonts w:eastAsiaTheme="majorEastAsia"/>
        </w:rPr>
        <w:t xml:space="preserve">) </w:t>
      </w:r>
      <w:r w:rsidRPr="001836F4">
        <w:rPr>
          <w:rFonts w:eastAsiaTheme="majorEastAsia"/>
        </w:rPr>
        <w:t>and plays important roles in neurotransmission, helping in the mediation of communication between neurons in the brain</w:t>
      </w:r>
      <w:r w:rsidR="64D2C293" w:rsidRPr="64D2C293">
        <w:rPr>
          <w:rFonts w:eastAsiaTheme="majorEastAsia"/>
        </w:rPr>
        <w:t>.</w:t>
      </w:r>
      <w:r w:rsidRPr="001836F4">
        <w:rPr>
          <w:rFonts w:eastAsiaTheme="majorEastAsia"/>
        </w:rPr>
        <w:t xml:space="preserve"> </w:t>
      </w:r>
      <w:r w:rsidR="0034151B" w:rsidRPr="001836F4">
        <w:rPr>
          <w:rFonts w:eastAsiaTheme="majorEastAsia"/>
        </w:rPr>
        <w:t>(</w:t>
      </w:r>
      <w:hyperlink r:id="rId96">
        <w:r w:rsidR="0A33DA18" w:rsidRPr="0A33DA18">
          <w:rPr>
            <w:rStyle w:val="Hyperlink"/>
            <w:rFonts w:eastAsiaTheme="majorEastAsia"/>
          </w:rPr>
          <w:t>Natarajan et al., 2020</w:t>
        </w:r>
      </w:hyperlink>
      <w:r w:rsidR="0A33DA18" w:rsidRPr="0A33DA18">
        <w:rPr>
          <w:rFonts w:eastAsiaTheme="majorEastAsia"/>
        </w:rPr>
        <w:t>). </w:t>
      </w:r>
    </w:p>
    <w:p w14:paraId="47C57A1C" w14:textId="77777777" w:rsidR="00FB4610" w:rsidRPr="001836F4" w:rsidRDefault="00FB4610" w:rsidP="00F84A37">
      <w:pPr>
        <w:spacing w:line="360" w:lineRule="auto"/>
        <w:jc w:val="both"/>
      </w:pPr>
    </w:p>
    <w:p w14:paraId="4E63EA51" w14:textId="187497EC" w:rsidR="0044364B" w:rsidRPr="001836F4" w:rsidRDefault="0028239C" w:rsidP="00F84A37">
      <w:pPr>
        <w:spacing w:line="360" w:lineRule="auto"/>
        <w:jc w:val="both"/>
        <w:rPr>
          <w:rFonts w:eastAsiaTheme="majorEastAsia"/>
        </w:rPr>
      </w:pPr>
      <w:r w:rsidRPr="001836F4">
        <w:rPr>
          <w:rFonts w:eastAsiaTheme="majorEastAsia"/>
        </w:rPr>
        <w:t>The question remains</w:t>
      </w:r>
      <w:r w:rsidR="59CABEDE" w:rsidRPr="59CABEDE">
        <w:rPr>
          <w:rFonts w:eastAsiaTheme="majorEastAsia"/>
        </w:rPr>
        <w:t>:</w:t>
      </w:r>
      <w:r w:rsidRPr="001836F4">
        <w:rPr>
          <w:rFonts w:eastAsiaTheme="majorEastAsia"/>
        </w:rPr>
        <w:t xml:space="preserve"> how does </w:t>
      </w:r>
      <w:r w:rsidR="59CABEDE" w:rsidRPr="59CABEDE">
        <w:rPr>
          <w:rFonts w:eastAsiaTheme="majorEastAsia"/>
        </w:rPr>
        <w:t>Simufilam’s</w:t>
      </w:r>
      <w:r w:rsidRPr="001836F4">
        <w:rPr>
          <w:rFonts w:eastAsiaTheme="majorEastAsia"/>
        </w:rPr>
        <w:t xml:space="preserve"> interaction with FLNA affect the relationship between α7nAChR and Aβ42? As explained in the section </w:t>
      </w:r>
      <w:r w:rsidR="4BFB78B3" w:rsidRPr="4BFB78B3">
        <w:rPr>
          <w:rFonts w:eastAsiaTheme="majorEastAsia"/>
          <w:i/>
          <w:iCs/>
        </w:rPr>
        <w:t>Naloxone</w:t>
      </w:r>
      <w:r w:rsidR="0F6EA6F3" w:rsidRPr="4BFB78B3">
        <w:rPr>
          <w:rFonts w:eastAsiaTheme="majorEastAsia"/>
          <w:i/>
        </w:rPr>
        <w:t xml:space="preserve"> Binding to FLNA and the VAKGL Peptide</w:t>
      </w:r>
      <w:r w:rsidR="4BFB78B3" w:rsidRPr="4BFB78B3">
        <w:rPr>
          <w:rFonts w:eastAsiaTheme="majorEastAsia"/>
          <w:i/>
          <w:iCs/>
        </w:rPr>
        <w:t>,</w:t>
      </w:r>
      <w:r w:rsidR="7EF25C3B" w:rsidRPr="7EF25C3B">
        <w:rPr>
          <w:rFonts w:eastAsiaTheme="majorEastAsia"/>
        </w:rPr>
        <w:t xml:space="preserve"> </w:t>
      </w:r>
      <w:r w:rsidRPr="4BFB78B3">
        <w:rPr>
          <w:rFonts w:eastAsiaTheme="majorEastAsia"/>
        </w:rPr>
        <w:t>FLNA</w:t>
      </w:r>
      <w:r w:rsidR="4BFB78B3" w:rsidRPr="4BFB78B3">
        <w:rPr>
          <w:rFonts w:eastAsiaTheme="majorEastAsia"/>
        </w:rPr>
        <w:t xml:space="preserve"> can</w:t>
      </w:r>
      <w:r w:rsidRPr="001836F4">
        <w:rPr>
          <w:rFonts w:eastAsiaTheme="majorEastAsia"/>
        </w:rPr>
        <w:t xml:space="preserve"> bind to various membrane proteins and receptors</w:t>
      </w:r>
      <w:r w:rsidR="4BFB78B3" w:rsidRPr="4BFB78B3">
        <w:rPr>
          <w:rFonts w:eastAsiaTheme="majorEastAsia"/>
        </w:rPr>
        <w:t>,</w:t>
      </w:r>
      <w:r w:rsidRPr="001836F4">
        <w:rPr>
          <w:rFonts w:eastAsiaTheme="majorEastAsia"/>
        </w:rPr>
        <w:t xml:space="preserve"> this allegedly includes α7nAChR</w:t>
      </w:r>
      <w:r w:rsidR="00FB4610" w:rsidRPr="001836F4">
        <w:rPr>
          <w:rFonts w:eastAsiaTheme="majorEastAsia"/>
        </w:rPr>
        <w:t xml:space="preserve"> (</w:t>
      </w:r>
      <w:hyperlink r:id="rId97">
        <w:r w:rsidR="225F8E64" w:rsidRPr="225F8E64">
          <w:rPr>
            <w:rStyle w:val="Hyperlink"/>
            <w:rFonts w:eastAsiaTheme="majorEastAsia"/>
          </w:rPr>
          <w:t>Wang et al., 2023</w:t>
        </w:r>
      </w:hyperlink>
      <w:r w:rsidR="225F8E64" w:rsidRPr="225F8E64">
        <w:rPr>
          <w:rFonts w:eastAsiaTheme="majorEastAsia"/>
        </w:rPr>
        <w:t xml:space="preserve">). </w:t>
      </w:r>
    </w:p>
    <w:p w14:paraId="0F917E02" w14:textId="77777777" w:rsidR="0044364B" w:rsidRPr="001836F4" w:rsidRDefault="0044364B" w:rsidP="00F84A37">
      <w:pPr>
        <w:spacing w:line="360" w:lineRule="auto"/>
        <w:jc w:val="both"/>
        <w:rPr>
          <w:rFonts w:eastAsiaTheme="majorEastAsia"/>
        </w:rPr>
      </w:pPr>
    </w:p>
    <w:p w14:paraId="4A16E0A9" w14:textId="18CFA7A7" w:rsidR="00B3283C" w:rsidRPr="001836F4" w:rsidRDefault="0028239C" w:rsidP="00F84A37">
      <w:pPr>
        <w:spacing w:line="360" w:lineRule="auto"/>
        <w:jc w:val="both"/>
        <w:rPr>
          <w:rFonts w:eastAsiaTheme="majorEastAsia"/>
        </w:rPr>
      </w:pPr>
      <w:r w:rsidRPr="001836F4">
        <w:rPr>
          <w:rFonts w:eastAsiaTheme="majorEastAsia"/>
        </w:rPr>
        <w:t>Thereby</w:t>
      </w:r>
      <w:r w:rsidR="4BFB78B3" w:rsidRPr="4BFB78B3">
        <w:rPr>
          <w:rFonts w:eastAsiaTheme="majorEastAsia"/>
        </w:rPr>
        <w:t>,</w:t>
      </w:r>
      <w:r w:rsidRPr="001836F4">
        <w:rPr>
          <w:rFonts w:eastAsiaTheme="majorEastAsia"/>
        </w:rPr>
        <w:t xml:space="preserve"> FLNA acts as a scaffolding protein that helps </w:t>
      </w:r>
      <w:r w:rsidR="5D119E19" w:rsidRPr="001836F4">
        <w:rPr>
          <w:rFonts w:eastAsiaTheme="majorEastAsia"/>
        </w:rPr>
        <w:t>organize</w:t>
      </w:r>
      <w:r w:rsidRPr="001836F4">
        <w:rPr>
          <w:rFonts w:eastAsiaTheme="majorEastAsia"/>
        </w:rPr>
        <w:t xml:space="preserve"> the cytoskeleton and regulate signaling pathways</w:t>
      </w:r>
      <w:r w:rsidR="0044364B" w:rsidRPr="001836F4">
        <w:rPr>
          <w:rFonts w:eastAsiaTheme="majorEastAsia"/>
        </w:rPr>
        <w:t xml:space="preserve"> (</w:t>
      </w:r>
      <w:hyperlink r:id="rId98">
        <w:r w:rsidR="5D119E19" w:rsidRPr="001836F4">
          <w:rPr>
            <w:rStyle w:val="Hyperlink"/>
            <w:rFonts w:eastAsiaTheme="majorEastAsia"/>
          </w:rPr>
          <w:t>Deng et al., 2012</w:t>
        </w:r>
      </w:hyperlink>
      <w:r w:rsidR="5D119E19" w:rsidRPr="001836F4">
        <w:rPr>
          <w:rFonts w:eastAsiaTheme="majorEastAsia"/>
        </w:rPr>
        <w:t>).</w:t>
      </w:r>
      <w:r w:rsidRPr="001836F4">
        <w:rPr>
          <w:rFonts w:eastAsiaTheme="majorEastAsia"/>
        </w:rPr>
        <w:t xml:space="preserve"> The alleged binding between FLNA and α7nAChR creates a modulation in the receptor’s location, stability, and signaling</w:t>
      </w:r>
      <w:r w:rsidR="00030A8A" w:rsidRPr="001836F4">
        <w:rPr>
          <w:rFonts w:eastAsiaTheme="majorEastAsia"/>
        </w:rPr>
        <w:t xml:space="preserve"> (</w:t>
      </w:r>
      <w:hyperlink r:id="rId99">
        <w:r w:rsidR="5D119E19" w:rsidRPr="001836F4">
          <w:rPr>
            <w:rStyle w:val="Hyperlink"/>
            <w:rFonts w:eastAsiaTheme="majorEastAsia"/>
          </w:rPr>
          <w:t>Burns and Wang, 2017</w:t>
        </w:r>
      </w:hyperlink>
      <w:r w:rsidR="5D119E19" w:rsidRPr="001836F4">
        <w:rPr>
          <w:rFonts w:eastAsiaTheme="majorEastAsia"/>
        </w:rPr>
        <w:t>).</w:t>
      </w:r>
    </w:p>
    <w:p w14:paraId="3B246A59" w14:textId="77777777" w:rsidR="00B3283C" w:rsidRPr="001836F4" w:rsidRDefault="00B3283C" w:rsidP="00F84A37">
      <w:pPr>
        <w:spacing w:line="360" w:lineRule="auto"/>
        <w:jc w:val="both"/>
        <w:rPr>
          <w:rFonts w:eastAsiaTheme="majorEastAsia"/>
        </w:rPr>
      </w:pPr>
    </w:p>
    <w:p w14:paraId="3B8236D5" w14:textId="52082D0E" w:rsidR="00B3283C" w:rsidRPr="001836F4" w:rsidRDefault="0028239C" w:rsidP="00F84A37">
      <w:pPr>
        <w:spacing w:line="360" w:lineRule="auto"/>
        <w:jc w:val="both"/>
        <w:rPr>
          <w:rFonts w:eastAsiaTheme="majorEastAsia"/>
        </w:rPr>
      </w:pPr>
      <w:r w:rsidRPr="001836F4">
        <w:rPr>
          <w:rFonts w:eastAsiaTheme="majorEastAsia"/>
        </w:rPr>
        <w:t>Therefore, taking this into account, an assumption can be forged, that the disruption of the FLNA</w:t>
      </w:r>
      <w:r w:rsidR="073EEF54" w:rsidRPr="073EEF54">
        <w:rPr>
          <w:rFonts w:eastAsiaTheme="majorEastAsia"/>
        </w:rPr>
        <w:t xml:space="preserve"> </w:t>
      </w:r>
      <w:r w:rsidRPr="001836F4">
        <w:rPr>
          <w:rFonts w:eastAsiaTheme="majorEastAsia"/>
        </w:rPr>
        <w:t>- α7nAChR interaction</w:t>
      </w:r>
      <w:r w:rsidR="073EEF54" w:rsidRPr="073EEF54">
        <w:rPr>
          <w:rFonts w:eastAsiaTheme="majorEastAsia"/>
        </w:rPr>
        <w:t>,</w:t>
      </w:r>
      <w:r w:rsidRPr="001836F4">
        <w:rPr>
          <w:rFonts w:eastAsiaTheme="majorEastAsia"/>
        </w:rPr>
        <w:t xml:space="preserve"> allegedly caused by Simufilam could disrupt how α7nAChR behaves and reacts. </w:t>
      </w:r>
    </w:p>
    <w:p w14:paraId="45E79F0C" w14:textId="77777777" w:rsidR="00B3283C" w:rsidRPr="001836F4" w:rsidRDefault="00B3283C" w:rsidP="00F84A37">
      <w:pPr>
        <w:spacing w:line="360" w:lineRule="auto"/>
        <w:jc w:val="both"/>
        <w:rPr>
          <w:rFonts w:eastAsiaTheme="majorEastAsia"/>
        </w:rPr>
      </w:pPr>
    </w:p>
    <w:p w14:paraId="673D225D" w14:textId="3E82981F" w:rsidR="0028239C" w:rsidRPr="001836F4" w:rsidRDefault="0028239C" w:rsidP="00F84A37">
      <w:pPr>
        <w:spacing w:line="360" w:lineRule="auto"/>
        <w:jc w:val="both"/>
        <w:rPr>
          <w:rFonts w:eastAsiaTheme="majorEastAsia"/>
        </w:rPr>
      </w:pPr>
      <w:r w:rsidRPr="001836F4">
        <w:rPr>
          <w:rFonts w:eastAsiaTheme="majorEastAsia"/>
        </w:rPr>
        <w:lastRenderedPageBreak/>
        <w:t>This would include the interaction it has with molecules such as Aβ42</w:t>
      </w:r>
      <w:r w:rsidR="2A270848" w:rsidRPr="2A270848">
        <w:rPr>
          <w:rFonts w:eastAsiaTheme="majorEastAsia"/>
        </w:rPr>
        <w:t>. Thereby</w:t>
      </w:r>
      <w:r w:rsidRPr="001836F4">
        <w:rPr>
          <w:rFonts w:eastAsiaTheme="majorEastAsia"/>
        </w:rPr>
        <w:t xml:space="preserve"> explaining the change in toxicity (the toxicity of Aβ42 is explained in the section </w:t>
      </w:r>
      <w:r w:rsidRPr="45F955C3">
        <w:rPr>
          <w:rFonts w:eastAsiaTheme="majorEastAsia"/>
          <w:i/>
        </w:rPr>
        <w:t>Aβ42 Toxicity</w:t>
      </w:r>
      <w:r w:rsidR="45F955C3" w:rsidRPr="45F955C3">
        <w:rPr>
          <w:rFonts w:eastAsiaTheme="majorEastAsia"/>
          <w:i/>
          <w:iCs/>
        </w:rPr>
        <w:t>: Multiple Causes, No Direct Amyloid Clearance, and No Tau Solution</w:t>
      </w:r>
      <w:r w:rsidR="41EB20BA" w:rsidRPr="41EB20BA">
        <w:rPr>
          <w:rFonts w:eastAsiaTheme="majorEastAsia"/>
        </w:rPr>
        <w:t>).</w:t>
      </w:r>
      <w:r w:rsidRPr="001836F4">
        <w:rPr>
          <w:rFonts w:eastAsiaTheme="majorEastAsia"/>
        </w:rPr>
        <w:t xml:space="preserve"> Accordingly, this would explain the change in the α7nAChR</w:t>
      </w:r>
      <w:r w:rsidR="41EB20BA" w:rsidRPr="41EB20BA">
        <w:rPr>
          <w:rFonts w:eastAsiaTheme="majorEastAsia"/>
        </w:rPr>
        <w:t xml:space="preserve"> </w:t>
      </w:r>
      <w:r w:rsidR="61850326" w:rsidRPr="61850326">
        <w:rPr>
          <w:rFonts w:eastAsiaTheme="majorEastAsia"/>
        </w:rPr>
        <w:t xml:space="preserve">- </w:t>
      </w:r>
      <w:r w:rsidRPr="001836F4">
        <w:rPr>
          <w:rFonts w:eastAsiaTheme="majorEastAsia"/>
        </w:rPr>
        <w:t xml:space="preserve">Aβ42 interaction. Knowing that α7nAChR state could lead – upon </w:t>
      </w:r>
      <w:r w:rsidR="5292B6FC" w:rsidRPr="5292B6FC">
        <w:rPr>
          <w:rFonts w:eastAsiaTheme="majorEastAsia"/>
        </w:rPr>
        <w:t>Simufilam’s</w:t>
      </w:r>
      <w:r w:rsidRPr="001836F4">
        <w:rPr>
          <w:rFonts w:eastAsiaTheme="majorEastAsia"/>
        </w:rPr>
        <w:t xml:space="preserve"> interaction – to a conformational state or localization in the membrane that could have an effect on its interaction with Aβ42 </w:t>
      </w:r>
      <w:r w:rsidR="00B3283C" w:rsidRPr="001836F4">
        <w:rPr>
          <w:rFonts w:eastAsiaTheme="majorEastAsia"/>
        </w:rPr>
        <w:t>(</w:t>
      </w:r>
      <w:hyperlink r:id="rId100">
        <w:r w:rsidR="073EEF54" w:rsidRPr="073EEF54">
          <w:rPr>
            <w:rStyle w:val="Hyperlink"/>
            <w:rFonts w:eastAsiaTheme="majorEastAsia"/>
          </w:rPr>
          <w:t>Burns et al., 2023</w:t>
        </w:r>
      </w:hyperlink>
      <w:r w:rsidR="073EEF54" w:rsidRPr="073EEF54">
        <w:rPr>
          <w:rFonts w:eastAsiaTheme="majorEastAsia"/>
        </w:rPr>
        <w:t>). </w:t>
      </w:r>
    </w:p>
    <w:p w14:paraId="0251C2F5" w14:textId="2866D38F" w:rsidR="222ECDA4" w:rsidRDefault="222ECDA4" w:rsidP="222ECDA4">
      <w:pPr>
        <w:spacing w:line="360" w:lineRule="auto"/>
        <w:jc w:val="both"/>
        <w:rPr>
          <w:rFonts w:eastAsiaTheme="majorEastAsia"/>
        </w:rPr>
      </w:pPr>
    </w:p>
    <w:p w14:paraId="0F71C675" w14:textId="77777777" w:rsidR="003A553C" w:rsidRPr="001836F4" w:rsidRDefault="0028239C" w:rsidP="00F84A37">
      <w:pPr>
        <w:spacing w:line="360" w:lineRule="auto"/>
        <w:jc w:val="both"/>
        <w:rPr>
          <w:rFonts w:eastAsiaTheme="majorEastAsia"/>
        </w:rPr>
      </w:pPr>
      <w:r w:rsidRPr="500EF040">
        <w:rPr>
          <w:rFonts w:eastAsiaTheme="majorEastAsia"/>
          <w:i/>
        </w:rPr>
        <w:t>Conformational state</w:t>
      </w:r>
      <w:r w:rsidRPr="4F79C6B6">
        <w:rPr>
          <w:rFonts w:eastAsiaTheme="majorEastAsia"/>
          <w:i/>
        </w:rPr>
        <w:t>:</w:t>
      </w:r>
      <w:r w:rsidRPr="001836F4">
        <w:rPr>
          <w:rFonts w:eastAsiaTheme="majorEastAsia"/>
        </w:rPr>
        <w:t xml:space="preserve"> meaning that a protein can adopt different three-dimensional structures, that are called ‘conformational state’ </w:t>
      </w:r>
      <w:r w:rsidR="008F01F0" w:rsidRPr="001836F4">
        <w:rPr>
          <w:rFonts w:eastAsiaTheme="majorEastAsia"/>
        </w:rPr>
        <w:t>(</w:t>
      </w:r>
      <w:hyperlink r:id="rId101">
        <w:r w:rsidR="500EF040" w:rsidRPr="500EF040">
          <w:rPr>
            <w:rStyle w:val="Hyperlink"/>
            <w:rFonts w:eastAsiaTheme="majorEastAsia"/>
          </w:rPr>
          <w:t>Monzon et al., 2016</w:t>
        </w:r>
      </w:hyperlink>
      <w:r w:rsidR="500EF040" w:rsidRPr="500EF040">
        <w:rPr>
          <w:rFonts w:eastAsiaTheme="majorEastAsia"/>
        </w:rPr>
        <w:t>).</w:t>
      </w:r>
      <w:r w:rsidRPr="001836F4">
        <w:rPr>
          <w:rFonts w:eastAsiaTheme="majorEastAsia"/>
        </w:rPr>
        <w:t xml:space="preserve"> These changes can occur in the case of binding to ligands, changes in pH, and post-translational modifications </w:t>
      </w:r>
      <w:r w:rsidR="00D870ED" w:rsidRPr="001836F4">
        <w:rPr>
          <w:rFonts w:eastAsiaTheme="majorEastAsia"/>
        </w:rPr>
        <w:t>(</w:t>
      </w:r>
      <w:hyperlink r:id="rId102">
        <w:r w:rsidR="500EF040" w:rsidRPr="500EF040">
          <w:rPr>
            <w:rStyle w:val="Hyperlink"/>
            <w:rFonts w:eastAsiaTheme="majorEastAsia"/>
          </w:rPr>
          <w:t>Saio et al., 2015</w:t>
        </w:r>
      </w:hyperlink>
      <w:r w:rsidR="500EF040" w:rsidRPr="500EF040">
        <w:rPr>
          <w:rFonts w:eastAsiaTheme="majorEastAsia"/>
        </w:rPr>
        <w:t xml:space="preserve">). </w:t>
      </w:r>
    </w:p>
    <w:p w14:paraId="4B3036D4" w14:textId="77777777" w:rsidR="003A553C" w:rsidRPr="001836F4" w:rsidRDefault="003A553C" w:rsidP="00F84A37">
      <w:pPr>
        <w:spacing w:line="360" w:lineRule="auto"/>
        <w:jc w:val="both"/>
        <w:rPr>
          <w:rFonts w:eastAsiaTheme="majorEastAsia"/>
        </w:rPr>
      </w:pPr>
    </w:p>
    <w:p w14:paraId="66E265DA" w14:textId="01124DCD" w:rsidR="00555779" w:rsidRPr="001836F4" w:rsidRDefault="0175B147" w:rsidP="00F84A37">
      <w:pPr>
        <w:spacing w:line="360" w:lineRule="auto"/>
        <w:jc w:val="both"/>
        <w:rPr>
          <w:rFonts w:eastAsiaTheme="majorEastAsia"/>
        </w:rPr>
      </w:pPr>
      <w:r w:rsidRPr="0175B147">
        <w:rPr>
          <w:rFonts w:eastAsiaTheme="majorEastAsia"/>
        </w:rPr>
        <w:t>In addition, these changes in the structure can expose or hide specific binding sites, potentially leading to a change in the ability of the protein to properly interact with proteins, nucleic acids, or other molecules.</w:t>
      </w:r>
      <w:r w:rsidR="0028239C" w:rsidRPr="001836F4">
        <w:rPr>
          <w:rFonts w:eastAsiaTheme="majorEastAsia"/>
        </w:rPr>
        <w:t xml:space="preserve"> This all depends on the binding site structure and arrangement. Therefore, ceasing FLNA</w:t>
      </w:r>
      <w:r w:rsidR="28039502" w:rsidRPr="28039502">
        <w:rPr>
          <w:rFonts w:eastAsiaTheme="majorEastAsia"/>
        </w:rPr>
        <w:t xml:space="preserve"> </w:t>
      </w:r>
      <w:r w:rsidR="0028239C" w:rsidRPr="001836F4">
        <w:rPr>
          <w:rFonts w:eastAsiaTheme="majorEastAsia"/>
        </w:rPr>
        <w:t>- α7nAChR interaction could cause a change in the binding affinity</w:t>
      </w:r>
      <w:r w:rsidR="5B3EBED5" w:rsidRPr="5B3EBED5">
        <w:rPr>
          <w:rFonts w:eastAsiaTheme="majorEastAsia"/>
        </w:rPr>
        <w:t>,</w:t>
      </w:r>
      <w:r w:rsidR="0028239C" w:rsidRPr="001836F4">
        <w:rPr>
          <w:rFonts w:eastAsiaTheme="majorEastAsia"/>
        </w:rPr>
        <w:t xml:space="preserve"> or ability to engage in specific molecular interactions that could either increase</w:t>
      </w:r>
      <w:r w:rsidR="2EFB9DB5" w:rsidRPr="2EFB9DB5">
        <w:rPr>
          <w:rFonts w:eastAsiaTheme="majorEastAsia"/>
        </w:rPr>
        <w:t>,</w:t>
      </w:r>
      <w:r w:rsidR="0028239C" w:rsidRPr="001836F4">
        <w:rPr>
          <w:rFonts w:eastAsiaTheme="majorEastAsia"/>
        </w:rPr>
        <w:t xml:space="preserve"> or decrease for α7nAChR</w:t>
      </w:r>
      <w:r w:rsidR="003A553C" w:rsidRPr="001836F4">
        <w:rPr>
          <w:rFonts w:eastAsiaTheme="majorEastAsia"/>
        </w:rPr>
        <w:t xml:space="preserve"> (</w:t>
      </w:r>
      <w:hyperlink r:id="rId103">
        <w:r w:rsidR="0B6E38AD" w:rsidRPr="0B6E38AD">
          <w:rPr>
            <w:rStyle w:val="Hyperlink"/>
            <w:rFonts w:eastAsiaTheme="majorEastAsia"/>
          </w:rPr>
          <w:t>Liang et al., 2016</w:t>
        </w:r>
      </w:hyperlink>
      <w:r w:rsidR="0B6E38AD" w:rsidRPr="0B6E38AD">
        <w:rPr>
          <w:rFonts w:eastAsiaTheme="majorEastAsia"/>
        </w:rPr>
        <w:t xml:space="preserve">). </w:t>
      </w:r>
    </w:p>
    <w:p w14:paraId="6C35F417" w14:textId="77777777" w:rsidR="00030234" w:rsidRPr="001836F4" w:rsidRDefault="00030234" w:rsidP="00F84A37">
      <w:pPr>
        <w:spacing w:line="360" w:lineRule="auto"/>
        <w:jc w:val="both"/>
        <w:rPr>
          <w:rFonts w:eastAsiaTheme="majorEastAsia"/>
        </w:rPr>
      </w:pPr>
    </w:p>
    <w:p w14:paraId="3F17449E" w14:textId="76DB4661" w:rsidR="000A425D" w:rsidRPr="001836F4" w:rsidRDefault="0028239C" w:rsidP="00F84A37">
      <w:pPr>
        <w:spacing w:line="360" w:lineRule="auto"/>
        <w:jc w:val="both"/>
        <w:rPr>
          <w:rFonts w:eastAsiaTheme="majorEastAsia"/>
        </w:rPr>
      </w:pPr>
      <w:r w:rsidRPr="001836F4">
        <w:rPr>
          <w:rFonts w:eastAsiaTheme="majorEastAsia"/>
        </w:rPr>
        <w:t>Regarding the binding affinity, in a conformational change or a change in the membrane position, both of those can affect the strength of an underlying binding such as the α7nAChR</w:t>
      </w:r>
      <w:r w:rsidR="7D99C713" w:rsidRPr="7D99C713">
        <w:rPr>
          <w:rFonts w:eastAsiaTheme="majorEastAsia"/>
        </w:rPr>
        <w:t xml:space="preserve"> </w:t>
      </w:r>
      <w:r w:rsidRPr="001836F4">
        <w:rPr>
          <w:rFonts w:eastAsiaTheme="majorEastAsia"/>
        </w:rPr>
        <w:t xml:space="preserve">-Aβ42 interaction. </w:t>
      </w:r>
      <w:r w:rsidR="7D99C713" w:rsidRPr="7D99C713">
        <w:rPr>
          <w:rFonts w:eastAsiaTheme="majorEastAsia"/>
        </w:rPr>
        <w:t>(</w:t>
      </w:r>
      <w:hyperlink r:id="rId104">
        <w:r w:rsidR="7D99C713" w:rsidRPr="7D99C713">
          <w:rPr>
            <w:rStyle w:val="Hyperlink"/>
            <w:rFonts w:eastAsiaTheme="majorEastAsia"/>
          </w:rPr>
          <w:t>Feix et al., 2018</w:t>
        </w:r>
      </w:hyperlink>
      <w:r w:rsidR="7D99C713" w:rsidRPr="7D99C713">
        <w:rPr>
          <w:rFonts w:eastAsiaTheme="majorEastAsia"/>
        </w:rPr>
        <w:t>).</w:t>
      </w:r>
    </w:p>
    <w:p w14:paraId="2F5C3D2D" w14:textId="1C388371" w:rsidR="0028239C" w:rsidRPr="001836F4" w:rsidRDefault="0028239C" w:rsidP="00F84A37">
      <w:pPr>
        <w:spacing w:line="360" w:lineRule="auto"/>
        <w:jc w:val="both"/>
      </w:pPr>
      <w:r w:rsidRPr="001836F4">
        <w:rPr>
          <w:rFonts w:eastAsiaTheme="majorEastAsia"/>
        </w:rPr>
        <w:t>  </w:t>
      </w:r>
    </w:p>
    <w:p w14:paraId="00A3B6B3" w14:textId="23594E25" w:rsidR="0028239C" w:rsidRPr="001836F4" w:rsidRDefault="0028239C" w:rsidP="00F84A37">
      <w:pPr>
        <w:spacing w:line="360" w:lineRule="auto"/>
        <w:jc w:val="both"/>
        <w:rPr>
          <w:rFonts w:eastAsiaTheme="majorEastAsia"/>
        </w:rPr>
      </w:pPr>
      <w:r w:rsidRPr="001836F4">
        <w:rPr>
          <w:rFonts w:eastAsiaTheme="majorEastAsia"/>
        </w:rPr>
        <w:t xml:space="preserve">One thing to keep in mind is that this remains highly theoretical and only </w:t>
      </w:r>
      <w:r w:rsidR="38389CAB" w:rsidRPr="38389CAB">
        <w:rPr>
          <w:rFonts w:eastAsiaTheme="majorEastAsia"/>
        </w:rPr>
        <w:t xml:space="preserve">reliable </w:t>
      </w:r>
      <w:r w:rsidRPr="001836F4">
        <w:rPr>
          <w:rFonts w:eastAsiaTheme="majorEastAsia"/>
        </w:rPr>
        <w:t xml:space="preserve">clinical data can </w:t>
      </w:r>
      <w:r w:rsidR="38389CAB" w:rsidRPr="38389CAB">
        <w:rPr>
          <w:rFonts w:eastAsiaTheme="majorEastAsia"/>
        </w:rPr>
        <w:t>assure</w:t>
      </w:r>
      <w:r w:rsidRPr="001836F4">
        <w:rPr>
          <w:rFonts w:eastAsiaTheme="majorEastAsia"/>
        </w:rPr>
        <w:t xml:space="preserve"> us of any significance – which does not exist. The entire FLNA</w:t>
      </w:r>
      <w:r w:rsidR="38389CAB" w:rsidRPr="38389CAB">
        <w:rPr>
          <w:rFonts w:eastAsiaTheme="majorEastAsia"/>
        </w:rPr>
        <w:t xml:space="preserve"> </w:t>
      </w:r>
      <w:r w:rsidRPr="001836F4">
        <w:rPr>
          <w:rFonts w:eastAsiaTheme="majorEastAsia"/>
        </w:rPr>
        <w:t>- α7nAChR</w:t>
      </w:r>
      <w:r w:rsidR="38389CAB" w:rsidRPr="38389CAB">
        <w:rPr>
          <w:rFonts w:eastAsiaTheme="majorEastAsia"/>
        </w:rPr>
        <w:t xml:space="preserve"> - </w:t>
      </w:r>
      <w:r w:rsidRPr="001836F4">
        <w:rPr>
          <w:rFonts w:eastAsiaTheme="majorEastAsia"/>
        </w:rPr>
        <w:t>Aβ42 interaction</w:t>
      </w:r>
      <w:r w:rsidR="38389CAB" w:rsidRPr="38389CAB">
        <w:rPr>
          <w:rFonts w:eastAsiaTheme="majorEastAsia"/>
        </w:rPr>
        <w:t>,</w:t>
      </w:r>
      <w:r w:rsidRPr="001836F4">
        <w:rPr>
          <w:rFonts w:eastAsiaTheme="majorEastAsia"/>
        </w:rPr>
        <w:t xml:space="preserve"> and relationship are still unclear as no data </w:t>
      </w:r>
      <w:r w:rsidR="38389CAB" w:rsidRPr="38389CAB">
        <w:rPr>
          <w:rFonts w:eastAsiaTheme="majorEastAsia"/>
        </w:rPr>
        <w:t xml:space="preserve">can </w:t>
      </w:r>
      <w:r w:rsidRPr="001836F4">
        <w:rPr>
          <w:rFonts w:eastAsiaTheme="majorEastAsia"/>
        </w:rPr>
        <w:t xml:space="preserve">entirely </w:t>
      </w:r>
      <w:r w:rsidR="38389CAB" w:rsidRPr="38389CAB">
        <w:rPr>
          <w:rFonts w:eastAsiaTheme="majorEastAsia"/>
        </w:rPr>
        <w:t xml:space="preserve">explain </w:t>
      </w:r>
      <w:r w:rsidRPr="001836F4">
        <w:rPr>
          <w:rFonts w:eastAsiaTheme="majorEastAsia"/>
        </w:rPr>
        <w:t xml:space="preserve">or </w:t>
      </w:r>
      <w:r w:rsidR="38389CAB" w:rsidRPr="38389CAB">
        <w:rPr>
          <w:rFonts w:eastAsiaTheme="majorEastAsia"/>
        </w:rPr>
        <w:t>show</w:t>
      </w:r>
      <w:r w:rsidRPr="001836F4">
        <w:rPr>
          <w:rFonts w:eastAsiaTheme="majorEastAsia"/>
        </w:rPr>
        <w:t xml:space="preserve"> the effectiveness of </w:t>
      </w:r>
      <w:r w:rsidR="6C18AB88" w:rsidRPr="6C18AB88">
        <w:rPr>
          <w:rFonts w:eastAsiaTheme="majorEastAsia"/>
        </w:rPr>
        <w:t>Simufilam’s MOA.</w:t>
      </w:r>
      <w:r w:rsidRPr="001836F4">
        <w:rPr>
          <w:rFonts w:eastAsiaTheme="majorEastAsia"/>
        </w:rPr>
        <w:t xml:space="preserve"> All this theory is based on “alleged”, “may”, “could”, and has no hard proof to explain </w:t>
      </w:r>
      <w:r w:rsidR="37DCF53D" w:rsidRPr="37DCF53D">
        <w:rPr>
          <w:rFonts w:eastAsiaTheme="majorEastAsia"/>
        </w:rPr>
        <w:t>or prove</w:t>
      </w:r>
      <w:r w:rsidR="38389CAB" w:rsidRPr="38389CAB">
        <w:rPr>
          <w:rFonts w:eastAsiaTheme="majorEastAsia"/>
        </w:rPr>
        <w:t xml:space="preserve"> </w:t>
      </w:r>
      <w:r w:rsidRPr="001836F4">
        <w:rPr>
          <w:rFonts w:eastAsiaTheme="majorEastAsia"/>
        </w:rPr>
        <w:t xml:space="preserve">the MOA </w:t>
      </w:r>
      <w:r w:rsidR="37DCF53D" w:rsidRPr="37DCF53D">
        <w:rPr>
          <w:rFonts w:eastAsiaTheme="majorEastAsia"/>
        </w:rPr>
        <w:t xml:space="preserve">of </w:t>
      </w:r>
      <w:r w:rsidR="1FC4B572" w:rsidRPr="1FC4B572">
        <w:rPr>
          <w:rFonts w:eastAsiaTheme="majorEastAsia"/>
        </w:rPr>
        <w:t>Simufilam.</w:t>
      </w:r>
      <w:r w:rsidRPr="001836F4">
        <w:rPr>
          <w:rFonts w:eastAsiaTheme="majorEastAsia"/>
        </w:rPr>
        <w:t xml:space="preserve"> Moreover, it is important to keep in mind that there </w:t>
      </w:r>
      <w:r w:rsidR="78119AA7" w:rsidRPr="78119AA7">
        <w:rPr>
          <w:rFonts w:eastAsiaTheme="majorEastAsia"/>
        </w:rPr>
        <w:t>is</w:t>
      </w:r>
      <w:r w:rsidR="6A558718" w:rsidRPr="6A558718">
        <w:rPr>
          <w:rFonts w:eastAsiaTheme="majorEastAsia"/>
        </w:rPr>
        <w:t xml:space="preserve"> no </w:t>
      </w:r>
      <w:r w:rsidR="78119AA7" w:rsidRPr="78119AA7">
        <w:rPr>
          <w:rFonts w:eastAsiaTheme="majorEastAsia"/>
        </w:rPr>
        <w:t>external evidence</w:t>
      </w:r>
      <w:r w:rsidR="6A558718" w:rsidRPr="6A558718">
        <w:rPr>
          <w:rFonts w:eastAsiaTheme="majorEastAsia"/>
        </w:rPr>
        <w:t xml:space="preserve"> </w:t>
      </w:r>
      <w:r w:rsidRPr="001836F4">
        <w:rPr>
          <w:rFonts w:eastAsiaTheme="majorEastAsia"/>
        </w:rPr>
        <w:t xml:space="preserve">of Dr. Wang’s work to support his claims. In addition, when assessing his </w:t>
      </w:r>
      <w:r w:rsidR="1919A055" w:rsidRPr="1919A055">
        <w:rPr>
          <w:rFonts w:eastAsiaTheme="majorEastAsia"/>
        </w:rPr>
        <w:t>research</w:t>
      </w:r>
      <w:r w:rsidR="7428F590" w:rsidRPr="7428F590">
        <w:rPr>
          <w:rFonts w:eastAsiaTheme="majorEastAsia"/>
        </w:rPr>
        <w:t>,</w:t>
      </w:r>
      <w:r w:rsidRPr="001836F4">
        <w:rPr>
          <w:rFonts w:eastAsiaTheme="majorEastAsia"/>
        </w:rPr>
        <w:t xml:space="preserve"> no clear explanation arises regarding </w:t>
      </w:r>
      <w:r w:rsidR="7428F590" w:rsidRPr="7428F590">
        <w:rPr>
          <w:rFonts w:eastAsiaTheme="majorEastAsia"/>
        </w:rPr>
        <w:t>Simufilam’s</w:t>
      </w:r>
      <w:r w:rsidRPr="001836F4">
        <w:rPr>
          <w:rFonts w:eastAsiaTheme="majorEastAsia"/>
        </w:rPr>
        <w:t xml:space="preserve"> MOA</w:t>
      </w:r>
      <w:r w:rsidR="1919A055" w:rsidRPr="1919A055">
        <w:rPr>
          <w:rFonts w:eastAsiaTheme="majorEastAsia"/>
        </w:rPr>
        <w:t>,</w:t>
      </w:r>
      <w:r w:rsidRPr="001836F4">
        <w:rPr>
          <w:rFonts w:eastAsiaTheme="majorEastAsia"/>
        </w:rPr>
        <w:t xml:space="preserve"> the reason being that Cassava Science</w:t>
      </w:r>
      <w:r w:rsidR="000368EF" w:rsidRPr="001836F4">
        <w:rPr>
          <w:rFonts w:eastAsiaTheme="majorEastAsia"/>
        </w:rPr>
        <w:t>s</w:t>
      </w:r>
      <w:r w:rsidRPr="001836F4">
        <w:rPr>
          <w:rFonts w:eastAsiaTheme="majorEastAsia"/>
        </w:rPr>
        <w:t xml:space="preserve"> </w:t>
      </w:r>
      <w:r w:rsidR="7E26A193" w:rsidRPr="7E26A193">
        <w:rPr>
          <w:rFonts w:eastAsiaTheme="majorEastAsia"/>
        </w:rPr>
        <w:t>does</w:t>
      </w:r>
      <w:r w:rsidRPr="001836F4">
        <w:rPr>
          <w:rFonts w:eastAsiaTheme="majorEastAsia"/>
        </w:rPr>
        <w:t xml:space="preserve"> not understand </w:t>
      </w:r>
      <w:r w:rsidR="1919A055" w:rsidRPr="1919A055">
        <w:rPr>
          <w:rFonts w:eastAsiaTheme="majorEastAsia"/>
        </w:rPr>
        <w:t>its</w:t>
      </w:r>
      <w:r w:rsidR="000368EF" w:rsidRPr="001836F4">
        <w:rPr>
          <w:rFonts w:eastAsiaTheme="majorEastAsia"/>
        </w:rPr>
        <w:t xml:space="preserve"> own</w:t>
      </w:r>
      <w:r w:rsidRPr="001836F4">
        <w:rPr>
          <w:rFonts w:eastAsiaTheme="majorEastAsia"/>
        </w:rPr>
        <w:t xml:space="preserve"> MOA. Alzheimer’s itself is not well </w:t>
      </w:r>
      <w:r w:rsidRPr="001836F4">
        <w:rPr>
          <w:rFonts w:eastAsiaTheme="majorEastAsia"/>
        </w:rPr>
        <w:lastRenderedPageBreak/>
        <w:t>understood and only adds uncertainty. Therefore, increasing our doubts on the MOA of Simufilam and its capability to achieve any statistical significances in those two-</w:t>
      </w:r>
      <w:r w:rsidR="014F74C6" w:rsidRPr="014F74C6">
        <w:rPr>
          <w:rFonts w:eastAsiaTheme="majorEastAsia"/>
        </w:rPr>
        <w:t>Phase</w:t>
      </w:r>
      <w:r w:rsidRPr="001836F4">
        <w:rPr>
          <w:rFonts w:eastAsiaTheme="majorEastAsia"/>
        </w:rPr>
        <w:t xml:space="preserve"> III trials. </w:t>
      </w:r>
    </w:p>
    <w:p w14:paraId="50A3C2ED" w14:textId="77777777" w:rsidR="00017998" w:rsidRPr="001836F4" w:rsidRDefault="00017998" w:rsidP="00F84A37">
      <w:pPr>
        <w:spacing w:line="360" w:lineRule="auto"/>
        <w:jc w:val="both"/>
      </w:pPr>
    </w:p>
    <w:p w14:paraId="0828B6C5" w14:textId="77777777" w:rsidR="000A3E0D" w:rsidRPr="001836F4" w:rsidRDefault="000A3E0D" w:rsidP="00F84A37">
      <w:pPr>
        <w:spacing w:line="360" w:lineRule="auto"/>
        <w:jc w:val="both"/>
      </w:pPr>
    </w:p>
    <w:p w14:paraId="01A4074E" w14:textId="77777777" w:rsidR="00017998" w:rsidRPr="001836F4" w:rsidRDefault="5183A6D9" w:rsidP="5183A6D9">
      <w:pPr>
        <w:pStyle w:val="Heading2"/>
        <w:rPr>
          <w:rFonts w:ascii="Times New Roman" w:eastAsia="Times New Roman" w:hAnsi="Times New Roman" w:cs="Times New Roman"/>
          <w:b/>
          <w:bCs/>
          <w:color w:val="auto"/>
        </w:rPr>
      </w:pPr>
      <w:bookmarkStart w:id="30" w:name="_7._α7_Nicotinic"/>
      <w:bookmarkStart w:id="31" w:name="_Toc1820833950"/>
      <w:bookmarkEnd w:id="30"/>
      <w:r w:rsidRPr="5183A6D9">
        <w:rPr>
          <w:rFonts w:ascii="Times New Roman" w:eastAsia="Times New Roman" w:hAnsi="Times New Roman" w:cs="Times New Roman"/>
          <w:b/>
          <w:bCs/>
          <w:color w:val="auto"/>
        </w:rPr>
        <w:t>7. α7 Nicotinic Acetylcholine Receptor (nAChR) Drugs Have Already Failed in Alzheimer’s Disease</w:t>
      </w:r>
      <w:bookmarkEnd w:id="31"/>
    </w:p>
    <w:p w14:paraId="0CB8FBED" w14:textId="311DB343" w:rsidR="00017998" w:rsidRPr="001836F4" w:rsidRDefault="00017998" w:rsidP="00F84A37">
      <w:pPr>
        <w:spacing w:line="360" w:lineRule="auto"/>
        <w:jc w:val="both"/>
      </w:pPr>
      <w:r w:rsidRPr="001836F4">
        <w:t>Cassava Sciences claims that Simufilam reduces the toxic interaction between Aβ oligomers and α7nAChRs. However, drugs that target the α7 receptor</w:t>
      </w:r>
      <w:r w:rsidR="2C64CD35">
        <w:t xml:space="preserve"> - </w:t>
      </w:r>
      <w:r w:rsidRPr="001836F4">
        <w:t>either as agonists or antagonists</w:t>
      </w:r>
      <w:r w:rsidR="36B0A40E">
        <w:t xml:space="preserve"> - </w:t>
      </w:r>
      <w:r w:rsidRPr="001836F4">
        <w:t>have already been tested in AD and failed to show clinical benefits. Both α7nAChR agonists and inhibitors have been tested in clinical trials, but none demonstrated significant improvements in cognition or disease progression.</w:t>
      </w:r>
    </w:p>
    <w:p w14:paraId="7BB74CD5" w14:textId="77777777" w:rsidR="0094034B" w:rsidRPr="001836F4" w:rsidRDefault="0094034B" w:rsidP="00F84A37">
      <w:pPr>
        <w:spacing w:line="360" w:lineRule="auto"/>
        <w:jc w:val="both"/>
      </w:pPr>
    </w:p>
    <w:p w14:paraId="2FA57C9B" w14:textId="08CDC8C4" w:rsidR="00017998" w:rsidRPr="001836F4" w:rsidRDefault="00017998" w:rsidP="00F84A37">
      <w:pPr>
        <w:spacing w:line="360" w:lineRule="auto"/>
        <w:jc w:val="both"/>
      </w:pPr>
      <w:r w:rsidRPr="001836F4">
        <w:t xml:space="preserve">Given this history, there is no reason to believe that modulating α7nAChRs through FLNA will </w:t>
      </w:r>
      <w:r w:rsidR="16B8A6FE">
        <w:t>provide</w:t>
      </w:r>
      <w:r w:rsidRPr="001836F4">
        <w:t xml:space="preserve"> better results. </w:t>
      </w:r>
      <w:r w:rsidR="1B65E60B">
        <w:t xml:space="preserve">However, </w:t>
      </w:r>
      <w:r w:rsidR="1E33FDAC">
        <w:t xml:space="preserve">Simufilam </w:t>
      </w:r>
      <w:r w:rsidR="0F092B95">
        <w:t>focuses</w:t>
      </w:r>
      <w:r w:rsidRPr="001836F4">
        <w:t xml:space="preserve"> on this pathway </w:t>
      </w:r>
      <w:r w:rsidR="0F092B95">
        <w:t xml:space="preserve">and </w:t>
      </w:r>
      <w:r w:rsidRPr="001836F4">
        <w:t xml:space="preserve">ignores the overwhelming evidence that targeting </w:t>
      </w:r>
      <w:r w:rsidR="051512E2">
        <w:t>α7nAChR</w:t>
      </w:r>
      <w:r w:rsidRPr="001836F4">
        <w:t xml:space="preserve"> in AD is not a viable therapeutic strategy.</w:t>
      </w:r>
    </w:p>
    <w:p w14:paraId="3C299D54" w14:textId="77777777" w:rsidR="00017998" w:rsidRPr="001836F4" w:rsidRDefault="00017998" w:rsidP="00F84A37">
      <w:pPr>
        <w:spacing w:line="360" w:lineRule="auto"/>
        <w:jc w:val="both"/>
      </w:pPr>
    </w:p>
    <w:p w14:paraId="36A742E2" w14:textId="43BA8F24" w:rsidR="004B3195" w:rsidRPr="001836F4" w:rsidRDefault="0708CD8E" w:rsidP="00F84A37">
      <w:pPr>
        <w:spacing w:line="360" w:lineRule="auto"/>
        <w:jc w:val="both"/>
        <w:rPr>
          <w:rFonts w:eastAsiaTheme="majorEastAsia"/>
        </w:rPr>
      </w:pPr>
      <w:r w:rsidRPr="0708CD8E">
        <w:rPr>
          <w:rFonts w:eastAsiaTheme="majorEastAsia"/>
        </w:rPr>
        <w:t xml:space="preserve">α7nAChR is one of the core actors in </w:t>
      </w:r>
      <w:r w:rsidR="20FB95C4" w:rsidRPr="20FB95C4">
        <w:rPr>
          <w:rFonts w:eastAsiaTheme="majorEastAsia"/>
        </w:rPr>
        <w:t>Simufilam’s</w:t>
      </w:r>
      <w:r w:rsidR="3B162463" w:rsidRPr="3B162463">
        <w:rPr>
          <w:rFonts w:eastAsiaTheme="majorEastAsia"/>
        </w:rPr>
        <w:t xml:space="preserve"> alleged therapeutic effects.</w:t>
      </w:r>
      <w:r w:rsidR="5B4C4DB2" w:rsidRPr="5B4C4DB2">
        <w:rPr>
          <w:rFonts w:eastAsiaTheme="majorEastAsia"/>
        </w:rPr>
        <w:t xml:space="preserve"> </w:t>
      </w:r>
      <w:r w:rsidR="4353FEFE" w:rsidRPr="4353FEFE">
        <w:rPr>
          <w:rFonts w:eastAsiaTheme="majorEastAsia"/>
        </w:rPr>
        <w:t xml:space="preserve">Therefore, </w:t>
      </w:r>
      <w:r w:rsidR="7EB62D66" w:rsidRPr="7EB62D66">
        <w:rPr>
          <w:rFonts w:eastAsiaTheme="majorEastAsia"/>
        </w:rPr>
        <w:t>the</w:t>
      </w:r>
      <w:r w:rsidR="009048D3" w:rsidRPr="001836F4">
        <w:rPr>
          <w:rFonts w:eastAsiaTheme="majorEastAsia"/>
        </w:rPr>
        <w:t xml:space="preserve"> identification of α7nAChR is crucial. α7 nicotinic acetylcholine receptor (α7 nAChR) is a type of nicotinic acetylcholine receptor (nAChR), which is part of a family of ligand-gated ion channels</w:t>
      </w:r>
      <w:r w:rsidR="381DD083" w:rsidRPr="381DD083">
        <w:rPr>
          <w:rFonts w:eastAsiaTheme="majorEastAsia"/>
        </w:rPr>
        <w:t>.</w:t>
      </w:r>
      <w:r w:rsidR="009048D3" w:rsidRPr="001836F4">
        <w:rPr>
          <w:rFonts w:eastAsiaTheme="majorEastAsia"/>
        </w:rPr>
        <w:t xml:space="preserve"> Acetylcholine receptors (AChRs) are functional elements of the cholinergic system studied for their potential therapeutic effects in Alzheimer's </w:t>
      </w:r>
      <w:r w:rsidR="00A93B12" w:rsidRPr="001836F4">
        <w:rPr>
          <w:rFonts w:eastAsiaTheme="majorEastAsia"/>
        </w:rPr>
        <w:t>(</w:t>
      </w:r>
      <w:hyperlink r:id="rId105">
        <w:r w:rsidR="647669B3" w:rsidRPr="001836F4">
          <w:rPr>
            <w:rStyle w:val="Hyperlink"/>
            <w:rFonts w:eastAsiaTheme="majorEastAsia"/>
          </w:rPr>
          <w:t>IUPHAR/BPS</w:t>
        </w:r>
      </w:hyperlink>
      <w:r w:rsidR="647669B3" w:rsidRPr="001836F4">
        <w:rPr>
          <w:rFonts w:eastAsiaTheme="majorEastAsia"/>
        </w:rPr>
        <w:t xml:space="preserve">). </w:t>
      </w:r>
    </w:p>
    <w:p w14:paraId="0AD3B995" w14:textId="77777777" w:rsidR="004B3195" w:rsidRPr="001836F4" w:rsidRDefault="004B3195" w:rsidP="00F84A37">
      <w:pPr>
        <w:spacing w:line="360" w:lineRule="auto"/>
        <w:jc w:val="both"/>
        <w:rPr>
          <w:rFonts w:eastAsiaTheme="majorEastAsia"/>
        </w:rPr>
      </w:pPr>
    </w:p>
    <w:p w14:paraId="0BB9F0E9" w14:textId="32206720" w:rsidR="009575F8" w:rsidRPr="001836F4" w:rsidRDefault="009048D3" w:rsidP="00F84A37">
      <w:pPr>
        <w:spacing w:line="360" w:lineRule="auto"/>
        <w:jc w:val="both"/>
        <w:rPr>
          <w:rFonts w:eastAsiaTheme="majorEastAsia"/>
        </w:rPr>
      </w:pPr>
      <w:r w:rsidRPr="001836F4">
        <w:rPr>
          <w:rFonts w:eastAsiaTheme="majorEastAsia"/>
        </w:rPr>
        <w:t xml:space="preserve">AChRs are distributed roughly in all regions of the brain </w:t>
      </w:r>
      <w:r w:rsidR="006A0A0B" w:rsidRPr="001836F4">
        <w:rPr>
          <w:rFonts w:eastAsiaTheme="majorEastAsia"/>
        </w:rPr>
        <w:t>(</w:t>
      </w:r>
      <w:hyperlink r:id="rId106">
        <w:r w:rsidR="5D119E19" w:rsidRPr="001836F4">
          <w:rPr>
            <w:rStyle w:val="Hyperlink"/>
            <w:rFonts w:eastAsiaTheme="majorEastAsia"/>
          </w:rPr>
          <w:t>Henderson et al., 2015</w:t>
        </w:r>
      </w:hyperlink>
      <w:r w:rsidR="006A0A0B" w:rsidRPr="001836F4">
        <w:rPr>
          <w:rFonts w:eastAsiaTheme="majorEastAsia"/>
        </w:rPr>
        <w:t>)</w:t>
      </w:r>
      <w:r w:rsidRPr="001836F4">
        <w:rPr>
          <w:rFonts w:eastAsiaTheme="majorEastAsia"/>
        </w:rPr>
        <w:t>,</w:t>
      </w:r>
      <w:r w:rsidR="2D865E1C" w:rsidRPr="2D865E1C">
        <w:rPr>
          <w:rFonts w:eastAsiaTheme="majorEastAsia"/>
        </w:rPr>
        <w:t xml:space="preserve"> </w:t>
      </w:r>
      <w:r w:rsidR="54FBB53E" w:rsidRPr="54FBB53E">
        <w:rPr>
          <w:rFonts w:eastAsiaTheme="majorEastAsia"/>
        </w:rPr>
        <w:t>while</w:t>
      </w:r>
      <w:r w:rsidRPr="001836F4">
        <w:rPr>
          <w:rFonts w:eastAsiaTheme="majorEastAsia"/>
        </w:rPr>
        <w:t xml:space="preserve"> </w:t>
      </w:r>
      <w:r w:rsidR="318CE1B8" w:rsidRPr="318CE1B8">
        <w:rPr>
          <w:rFonts w:eastAsiaTheme="majorEastAsia"/>
        </w:rPr>
        <w:t>nAChRs</w:t>
      </w:r>
      <w:r w:rsidRPr="001836F4">
        <w:rPr>
          <w:rFonts w:eastAsiaTheme="majorEastAsia"/>
        </w:rPr>
        <w:t xml:space="preserve"> </w:t>
      </w:r>
      <w:r w:rsidR="2FA3EB94" w:rsidRPr="2FA3EB94">
        <w:rPr>
          <w:rFonts w:eastAsiaTheme="majorEastAsia"/>
        </w:rPr>
        <w:t>are</w:t>
      </w:r>
      <w:r w:rsidRPr="001836F4">
        <w:rPr>
          <w:rFonts w:eastAsiaTheme="majorEastAsia"/>
        </w:rPr>
        <w:t xml:space="preserve"> mostly found in the central nervous system (CNS). The composition of neuronal nAChR is made</w:t>
      </w:r>
      <w:r w:rsidR="5A61D335" w:rsidRPr="5A61D335">
        <w:rPr>
          <w:rFonts w:eastAsiaTheme="majorEastAsia"/>
        </w:rPr>
        <w:t xml:space="preserve"> up</w:t>
      </w:r>
      <w:r w:rsidRPr="001836F4">
        <w:rPr>
          <w:rFonts w:eastAsiaTheme="majorEastAsia"/>
        </w:rPr>
        <w:t xml:space="preserve"> of two subunits</w:t>
      </w:r>
      <w:r w:rsidR="1B501C34" w:rsidRPr="1B501C34">
        <w:rPr>
          <w:rFonts w:eastAsiaTheme="majorEastAsia"/>
        </w:rPr>
        <w:t>,</w:t>
      </w:r>
      <w:r w:rsidRPr="001836F4">
        <w:rPr>
          <w:rFonts w:eastAsiaTheme="majorEastAsia"/>
        </w:rPr>
        <w:t xml:space="preserve"> α and β</w:t>
      </w:r>
      <w:r w:rsidR="1B501C34" w:rsidRPr="1B501C34">
        <w:rPr>
          <w:rFonts w:eastAsiaTheme="majorEastAsia"/>
        </w:rPr>
        <w:t>;</w:t>
      </w:r>
      <w:r w:rsidRPr="001836F4">
        <w:rPr>
          <w:rFonts w:eastAsiaTheme="majorEastAsia"/>
        </w:rPr>
        <w:t xml:space="preserve"> they assemble and form either a heteromeric or a homomeric arrangement</w:t>
      </w:r>
      <w:r w:rsidR="00100FE2" w:rsidRPr="001836F4">
        <w:rPr>
          <w:rFonts w:eastAsiaTheme="majorEastAsia"/>
        </w:rPr>
        <w:t xml:space="preserve"> (</w:t>
      </w:r>
      <w:hyperlink r:id="rId107">
        <w:r w:rsidR="5D119E19" w:rsidRPr="001836F4">
          <w:rPr>
            <w:rStyle w:val="Hyperlink"/>
            <w:rFonts w:eastAsiaTheme="majorEastAsia"/>
          </w:rPr>
          <w:t>Gay and Yakel, 2007</w:t>
        </w:r>
      </w:hyperlink>
      <w:r w:rsidR="5D119E19" w:rsidRPr="001836F4">
        <w:rPr>
          <w:rFonts w:eastAsiaTheme="majorEastAsia"/>
        </w:rPr>
        <w:t>).</w:t>
      </w:r>
      <w:r w:rsidRPr="001836F4">
        <w:rPr>
          <w:rFonts w:eastAsiaTheme="majorEastAsia"/>
        </w:rPr>
        <w:t xml:space="preserve"> </w:t>
      </w:r>
      <w:r w:rsidR="37889CFA" w:rsidRPr="001836F4">
        <w:rPr>
          <w:rFonts w:eastAsiaTheme="majorEastAsia"/>
        </w:rPr>
        <w:t>α7</w:t>
      </w:r>
      <w:r w:rsidRPr="001836F4">
        <w:rPr>
          <w:rFonts w:eastAsiaTheme="majorEastAsia"/>
        </w:rPr>
        <w:t xml:space="preserve"> is one of the subunits that has been identified in brain </w:t>
      </w:r>
      <w:r w:rsidR="11141945" w:rsidRPr="11141945">
        <w:rPr>
          <w:rFonts w:eastAsiaTheme="majorEastAsia"/>
        </w:rPr>
        <w:t>tissues</w:t>
      </w:r>
      <w:r w:rsidRPr="001836F4">
        <w:rPr>
          <w:rFonts w:eastAsiaTheme="majorEastAsia"/>
        </w:rPr>
        <w:t xml:space="preserve"> </w:t>
      </w:r>
      <w:r w:rsidR="004550A2" w:rsidRPr="001836F4">
        <w:rPr>
          <w:rFonts w:eastAsiaTheme="majorEastAsia"/>
        </w:rPr>
        <w:t>(</w:t>
      </w:r>
      <w:hyperlink r:id="rId108">
        <w:r w:rsidR="5D119E19" w:rsidRPr="001836F4">
          <w:rPr>
            <w:rStyle w:val="Hyperlink"/>
            <w:rFonts w:eastAsiaTheme="majorEastAsia"/>
          </w:rPr>
          <w:t>Millar, 2008</w:t>
        </w:r>
      </w:hyperlink>
      <w:r w:rsidR="5D119E19" w:rsidRPr="001836F4">
        <w:rPr>
          <w:rFonts w:eastAsiaTheme="majorEastAsia"/>
        </w:rPr>
        <w:t>) and is one of the subtypes most heavily involved with neurological diseases such as Alzheimer’s (</w:t>
      </w:r>
      <w:hyperlink r:id="rId109">
        <w:r w:rsidR="5D119E19" w:rsidRPr="001836F4">
          <w:rPr>
            <w:rStyle w:val="Hyperlink"/>
            <w:rFonts w:eastAsiaTheme="majorEastAsia"/>
          </w:rPr>
          <w:t>Terry et al., 2023</w:t>
        </w:r>
      </w:hyperlink>
      <w:r w:rsidR="5D119E19" w:rsidRPr="001836F4">
        <w:rPr>
          <w:rFonts w:eastAsiaTheme="majorEastAsia"/>
        </w:rPr>
        <w:t xml:space="preserve">). </w:t>
      </w:r>
    </w:p>
    <w:p w14:paraId="188C2699" w14:textId="77777777" w:rsidR="009575F8" w:rsidRPr="001836F4" w:rsidRDefault="009575F8" w:rsidP="00F84A37">
      <w:pPr>
        <w:spacing w:line="360" w:lineRule="auto"/>
        <w:jc w:val="both"/>
        <w:rPr>
          <w:rFonts w:eastAsiaTheme="majorEastAsia"/>
        </w:rPr>
      </w:pPr>
    </w:p>
    <w:p w14:paraId="0DB263D1" w14:textId="378096E7" w:rsidR="009048D3" w:rsidRPr="001836F4" w:rsidRDefault="009048D3" w:rsidP="00F84A37">
      <w:pPr>
        <w:spacing w:line="360" w:lineRule="auto"/>
        <w:jc w:val="both"/>
      </w:pPr>
      <w:r w:rsidRPr="001836F4">
        <w:rPr>
          <w:rFonts w:eastAsiaTheme="majorEastAsia"/>
        </w:rPr>
        <w:lastRenderedPageBreak/>
        <w:t xml:space="preserve">Α7nAChR is activated by acetylcholine (ACh), </w:t>
      </w:r>
      <w:r w:rsidR="374D1A10" w:rsidRPr="374D1A10">
        <w:rPr>
          <w:rFonts w:eastAsiaTheme="majorEastAsia"/>
        </w:rPr>
        <w:t>which</w:t>
      </w:r>
      <w:r w:rsidRPr="001836F4">
        <w:rPr>
          <w:rFonts w:eastAsiaTheme="majorEastAsia"/>
        </w:rPr>
        <w:t xml:space="preserve"> is responsible for the cholinergic signaling in the brain. ACh can bind to receptors and will open a pathway that allows ions - mostly calcium (Ca²⁺) - to </w:t>
      </w:r>
      <w:r w:rsidR="55D38F11" w:rsidRPr="55D38F11">
        <w:rPr>
          <w:rFonts w:eastAsiaTheme="majorEastAsia"/>
        </w:rPr>
        <w:t>enter</w:t>
      </w:r>
      <w:r w:rsidRPr="001836F4">
        <w:rPr>
          <w:rFonts w:eastAsiaTheme="majorEastAsia"/>
        </w:rPr>
        <w:t xml:space="preserve"> the neuron. Furthermore, α7nAChR is </w:t>
      </w:r>
      <w:r w:rsidR="514A1308" w:rsidRPr="514A1308">
        <w:rPr>
          <w:rFonts w:eastAsiaTheme="majorEastAsia"/>
        </w:rPr>
        <w:t>mainly present</w:t>
      </w:r>
      <w:r w:rsidRPr="001836F4">
        <w:rPr>
          <w:rFonts w:eastAsiaTheme="majorEastAsia"/>
        </w:rPr>
        <w:t xml:space="preserve"> in the cortex, hippocampus – </w:t>
      </w:r>
      <w:r w:rsidR="2457BF62" w:rsidRPr="2457BF62">
        <w:rPr>
          <w:rFonts w:eastAsiaTheme="majorEastAsia"/>
        </w:rPr>
        <w:t xml:space="preserve">CA1- </w:t>
      </w:r>
      <w:r w:rsidRPr="001836F4">
        <w:rPr>
          <w:rFonts w:eastAsiaTheme="majorEastAsia"/>
        </w:rPr>
        <w:t xml:space="preserve">CA3 and dentate gyrus regions </w:t>
      </w:r>
      <w:r w:rsidR="00B4670B" w:rsidRPr="001836F4">
        <w:rPr>
          <w:rFonts w:eastAsiaTheme="majorEastAsia"/>
        </w:rPr>
        <w:t>(</w:t>
      </w:r>
      <w:hyperlink r:id="rId110">
        <w:r w:rsidR="5D119E19" w:rsidRPr="001836F4">
          <w:rPr>
            <w:rStyle w:val="Hyperlink"/>
            <w:rFonts w:eastAsiaTheme="majorEastAsia"/>
          </w:rPr>
          <w:t>Picciotto et al., 2001</w:t>
        </w:r>
      </w:hyperlink>
      <w:r w:rsidR="00B4670B" w:rsidRPr="001836F4">
        <w:rPr>
          <w:rFonts w:eastAsiaTheme="majorEastAsia"/>
        </w:rPr>
        <w:t>)</w:t>
      </w:r>
      <w:r w:rsidRPr="001836F4">
        <w:rPr>
          <w:rFonts w:eastAsiaTheme="majorEastAsia"/>
        </w:rPr>
        <w:t xml:space="preserve"> – those regions are associated with cognition, memory, and learning</w:t>
      </w:r>
      <w:r w:rsidR="00386DCA" w:rsidRPr="001836F4">
        <w:rPr>
          <w:rFonts w:eastAsiaTheme="majorEastAsia"/>
        </w:rPr>
        <w:t xml:space="preserve"> (</w:t>
      </w:r>
      <w:hyperlink r:id="rId111">
        <w:r w:rsidR="5D119E19" w:rsidRPr="001836F4">
          <w:rPr>
            <w:rStyle w:val="Hyperlink"/>
            <w:rFonts w:eastAsiaTheme="majorEastAsia"/>
          </w:rPr>
          <w:t>Leanza et al., 1996</w:t>
        </w:r>
      </w:hyperlink>
      <w:r w:rsidR="5D119E19" w:rsidRPr="001836F4">
        <w:rPr>
          <w:rFonts w:eastAsiaTheme="majorEastAsia"/>
        </w:rPr>
        <w:t>).</w:t>
      </w:r>
      <w:r w:rsidRPr="001836F4">
        <w:rPr>
          <w:rFonts w:eastAsiaTheme="majorEastAsia"/>
        </w:rPr>
        <w:t xml:space="preserve"> Making α7nAChR a potential target for cognitive decline associated with Alzheimer’s.  </w:t>
      </w:r>
    </w:p>
    <w:p w14:paraId="0FABF74F" w14:textId="77777777" w:rsidR="009048D3" w:rsidRPr="001836F4" w:rsidRDefault="009048D3" w:rsidP="00F84A37">
      <w:pPr>
        <w:spacing w:line="360" w:lineRule="auto"/>
        <w:jc w:val="both"/>
      </w:pPr>
      <w:r w:rsidRPr="001836F4">
        <w:rPr>
          <w:rFonts w:eastAsiaTheme="majorEastAsia"/>
        </w:rPr>
        <w:t> </w:t>
      </w:r>
    </w:p>
    <w:p w14:paraId="5177EFEA" w14:textId="2555F0E4" w:rsidR="006A3667" w:rsidRPr="001836F4" w:rsidRDefault="009048D3" w:rsidP="00F84A37">
      <w:pPr>
        <w:spacing w:line="360" w:lineRule="auto"/>
        <w:jc w:val="both"/>
        <w:rPr>
          <w:rFonts w:eastAsiaTheme="majorEastAsia"/>
        </w:rPr>
      </w:pPr>
      <w:r w:rsidRPr="001836F4">
        <w:rPr>
          <w:rFonts w:eastAsiaTheme="majorEastAsia"/>
        </w:rPr>
        <w:t xml:space="preserve">An interesting paper was published in 2024 </w:t>
      </w:r>
      <w:r w:rsidR="00386DCA" w:rsidRPr="001836F4">
        <w:rPr>
          <w:rFonts w:eastAsiaTheme="majorEastAsia"/>
        </w:rPr>
        <w:t>(</w:t>
      </w:r>
      <w:hyperlink r:id="rId112" w:history="1">
        <w:r w:rsidR="00386DCA" w:rsidRPr="001836F4">
          <w:rPr>
            <w:rStyle w:val="Hyperlink"/>
            <w:rFonts w:eastAsiaTheme="majorEastAsia"/>
          </w:rPr>
          <w:t>Crest</w:t>
        </w:r>
        <w:r w:rsidR="004E7E4A" w:rsidRPr="001836F4">
          <w:rPr>
            <w:rStyle w:val="Hyperlink"/>
            <w:rFonts w:eastAsiaTheme="majorEastAsia"/>
          </w:rPr>
          <w:t xml:space="preserve">ini et al., </w:t>
        </w:r>
        <w:r w:rsidR="006A3667" w:rsidRPr="001836F4">
          <w:rPr>
            <w:rStyle w:val="Hyperlink"/>
            <w:rFonts w:eastAsiaTheme="majorEastAsia"/>
          </w:rPr>
          <w:t>2024</w:t>
        </w:r>
      </w:hyperlink>
      <w:r w:rsidR="6FADBD85" w:rsidRPr="6FADBD85">
        <w:rPr>
          <w:rFonts w:eastAsiaTheme="majorEastAsia"/>
        </w:rPr>
        <w:t>);</w:t>
      </w:r>
      <w:r w:rsidRPr="001836F4">
        <w:rPr>
          <w:rFonts w:eastAsiaTheme="majorEastAsia"/>
        </w:rPr>
        <w:t xml:space="preserve"> it assessed and accounted for all the clinical trials that included nAChR as </w:t>
      </w:r>
      <w:r w:rsidR="2DC398AD" w:rsidRPr="2DC398AD">
        <w:rPr>
          <w:rFonts w:eastAsiaTheme="majorEastAsia"/>
        </w:rPr>
        <w:t xml:space="preserve">a </w:t>
      </w:r>
      <w:r w:rsidR="0D947816" w:rsidRPr="0D947816">
        <w:rPr>
          <w:rFonts w:eastAsiaTheme="majorEastAsia"/>
        </w:rPr>
        <w:t>target for an</w:t>
      </w:r>
      <w:r w:rsidRPr="001836F4">
        <w:rPr>
          <w:rFonts w:eastAsiaTheme="majorEastAsia"/>
        </w:rPr>
        <w:t xml:space="preserve"> Alzheimer’s </w:t>
      </w:r>
      <w:r w:rsidR="623DB97B" w:rsidRPr="623DB97B">
        <w:rPr>
          <w:rFonts w:eastAsiaTheme="majorEastAsia"/>
        </w:rPr>
        <w:t xml:space="preserve">drug </w:t>
      </w:r>
      <w:r w:rsidRPr="001836F4">
        <w:rPr>
          <w:rFonts w:eastAsiaTheme="majorEastAsia"/>
        </w:rPr>
        <w:t xml:space="preserve">– </w:t>
      </w:r>
      <w:r w:rsidR="44F709A0" w:rsidRPr="44F709A0">
        <w:rPr>
          <w:rFonts w:eastAsiaTheme="majorEastAsia"/>
        </w:rPr>
        <w:t xml:space="preserve">whether </w:t>
      </w:r>
      <w:r w:rsidRPr="001836F4">
        <w:rPr>
          <w:rFonts w:eastAsiaTheme="majorEastAsia"/>
        </w:rPr>
        <w:t>finished or in progress</w:t>
      </w:r>
      <w:r w:rsidR="44F709A0" w:rsidRPr="44F709A0">
        <w:rPr>
          <w:rFonts w:eastAsiaTheme="majorEastAsia"/>
        </w:rPr>
        <w:t>.</w:t>
      </w:r>
      <w:r w:rsidRPr="001836F4">
        <w:rPr>
          <w:rFonts w:eastAsiaTheme="majorEastAsia"/>
        </w:rPr>
        <w:t xml:space="preserve"> The focus of the paper was to assess the safety profile and efficacy profile of nAChR in Alzheimer’s</w:t>
      </w:r>
      <w:r w:rsidR="58AFC3CD" w:rsidRPr="58AFC3CD">
        <w:rPr>
          <w:rFonts w:eastAsiaTheme="majorEastAsia"/>
        </w:rPr>
        <w:t xml:space="preserve"> </w:t>
      </w:r>
      <w:r w:rsidR="7570346D" w:rsidRPr="7570346D">
        <w:rPr>
          <w:rFonts w:eastAsiaTheme="majorEastAsia"/>
        </w:rPr>
        <w:t>-</w:t>
      </w:r>
      <w:r w:rsidR="1EB8913E" w:rsidRPr="1EB8913E">
        <w:rPr>
          <w:rFonts w:eastAsiaTheme="majorEastAsia"/>
        </w:rPr>
        <w:t xml:space="preserve"> </w:t>
      </w:r>
      <w:r w:rsidR="7570346D" w:rsidRPr="7570346D">
        <w:rPr>
          <w:rFonts w:eastAsiaTheme="majorEastAsia"/>
        </w:rPr>
        <w:t>as a target.</w:t>
      </w:r>
      <w:r w:rsidRPr="001836F4">
        <w:rPr>
          <w:rFonts w:eastAsiaTheme="majorEastAsia"/>
        </w:rPr>
        <w:t xml:space="preserve"> </w:t>
      </w:r>
      <w:r w:rsidR="29B85414" w:rsidRPr="29B85414">
        <w:rPr>
          <w:rFonts w:eastAsiaTheme="majorEastAsia"/>
        </w:rPr>
        <w:t>The study used</w:t>
      </w:r>
      <w:r w:rsidRPr="001836F4">
        <w:rPr>
          <w:rFonts w:eastAsiaTheme="majorEastAsia"/>
        </w:rPr>
        <w:t xml:space="preserve"> </w:t>
      </w:r>
      <w:r w:rsidRPr="1B3ECDBB">
        <w:rPr>
          <w:rFonts w:eastAsiaTheme="majorEastAsia"/>
          <w:i/>
        </w:rPr>
        <w:t xml:space="preserve">39 </w:t>
      </w:r>
      <w:r w:rsidRPr="001836F4">
        <w:rPr>
          <w:rFonts w:eastAsiaTheme="majorEastAsia"/>
        </w:rPr>
        <w:t xml:space="preserve">trials </w:t>
      </w:r>
      <w:r w:rsidR="1AC534FB" w:rsidRPr="1AC534FB">
        <w:rPr>
          <w:rFonts w:eastAsiaTheme="majorEastAsia"/>
        </w:rPr>
        <w:t>in which</w:t>
      </w:r>
      <w:r w:rsidR="7237DD08" w:rsidRPr="7237DD08">
        <w:rPr>
          <w:rFonts w:eastAsiaTheme="majorEastAsia"/>
        </w:rPr>
        <w:t xml:space="preserve"> nAChR was a </w:t>
      </w:r>
      <w:r w:rsidR="4EFC25F9" w:rsidRPr="4EFC25F9">
        <w:rPr>
          <w:rFonts w:eastAsiaTheme="majorEastAsia"/>
        </w:rPr>
        <w:t xml:space="preserve">target for </w:t>
      </w:r>
      <w:r w:rsidR="677895B4" w:rsidRPr="677895B4">
        <w:rPr>
          <w:rFonts w:eastAsiaTheme="majorEastAsia"/>
        </w:rPr>
        <w:t>an</w:t>
      </w:r>
      <w:r w:rsidRPr="001836F4">
        <w:rPr>
          <w:rFonts w:eastAsiaTheme="majorEastAsia"/>
        </w:rPr>
        <w:t xml:space="preserve"> Alzheimer’s </w:t>
      </w:r>
      <w:r w:rsidR="57B249CC" w:rsidRPr="57B249CC">
        <w:rPr>
          <w:rFonts w:eastAsiaTheme="majorEastAsia"/>
        </w:rPr>
        <w:t>drug</w:t>
      </w:r>
      <w:r w:rsidR="0E1A5F8A" w:rsidRPr="0E1A5F8A">
        <w:rPr>
          <w:rFonts w:eastAsiaTheme="majorEastAsia"/>
        </w:rPr>
        <w:t xml:space="preserve"> -</w:t>
      </w:r>
      <w:r w:rsidRPr="001836F4">
        <w:rPr>
          <w:rFonts w:eastAsiaTheme="majorEastAsia"/>
        </w:rPr>
        <w:t xml:space="preserve"> the majority were </w:t>
      </w:r>
      <w:r w:rsidR="3175FFD0" w:rsidRPr="3175FFD0">
        <w:rPr>
          <w:rFonts w:eastAsiaTheme="majorEastAsia"/>
        </w:rPr>
        <w:t>Phase</w:t>
      </w:r>
      <w:r w:rsidRPr="001836F4">
        <w:rPr>
          <w:rFonts w:eastAsiaTheme="majorEastAsia"/>
        </w:rPr>
        <w:t xml:space="preserve"> II trials. </w:t>
      </w:r>
    </w:p>
    <w:p w14:paraId="6ECEDE65" w14:textId="77777777" w:rsidR="006A3667" w:rsidRPr="001836F4" w:rsidRDefault="006A3667" w:rsidP="00F84A37">
      <w:pPr>
        <w:spacing w:line="360" w:lineRule="auto"/>
        <w:jc w:val="both"/>
        <w:rPr>
          <w:rFonts w:eastAsiaTheme="majorEastAsia"/>
        </w:rPr>
      </w:pPr>
    </w:p>
    <w:p w14:paraId="11E4B2CC" w14:textId="7107CB9F" w:rsidR="009048D3" w:rsidRPr="001836F4" w:rsidRDefault="009048D3" w:rsidP="57505A96">
      <w:pPr>
        <w:spacing w:line="360" w:lineRule="auto"/>
        <w:jc w:val="both"/>
        <w:rPr>
          <w:rFonts w:eastAsiaTheme="majorEastAsia"/>
        </w:rPr>
      </w:pPr>
      <w:r w:rsidRPr="001836F4">
        <w:rPr>
          <w:rFonts w:eastAsiaTheme="majorEastAsia"/>
        </w:rPr>
        <w:t>Firstly, evaluating the safety profile of nAChR when activated or inhibited by drugs for Alzheimer’s. They reported that “no concerns appear to have been raised on their tolerability, expect for some sporadically occurring gastrointestinal disorders</w:t>
      </w:r>
      <w:r w:rsidR="1D079823" w:rsidRPr="1D079823">
        <w:rPr>
          <w:rFonts w:eastAsiaTheme="majorEastAsia"/>
        </w:rPr>
        <w:t>.” (</w:t>
      </w:r>
      <w:hyperlink r:id="rId113" w:history="1">
        <w:r w:rsidR="6A41EABC" w:rsidRPr="6A41EABC">
          <w:rPr>
            <w:rStyle w:val="Hyperlink"/>
            <w:rFonts w:eastAsiaTheme="majorEastAsia"/>
          </w:rPr>
          <w:t>Crestini et al., 2024</w:t>
        </w:r>
      </w:hyperlink>
      <w:r w:rsidR="46A435B6" w:rsidRPr="46A435B6">
        <w:rPr>
          <w:rFonts w:eastAsiaTheme="majorEastAsia"/>
        </w:rPr>
        <w:t>).</w:t>
      </w:r>
    </w:p>
    <w:p w14:paraId="68C10B57" w14:textId="0D8BF59D" w:rsidR="009048D3" w:rsidRPr="001836F4" w:rsidRDefault="009048D3" w:rsidP="57505A96">
      <w:pPr>
        <w:spacing w:line="360" w:lineRule="auto"/>
        <w:jc w:val="both"/>
        <w:rPr>
          <w:rFonts w:eastAsiaTheme="majorEastAsia"/>
        </w:rPr>
      </w:pPr>
    </w:p>
    <w:p w14:paraId="265AA42F" w14:textId="2DDA8662" w:rsidR="009048D3" w:rsidRPr="001836F4" w:rsidRDefault="009048D3" w:rsidP="00F84A37">
      <w:pPr>
        <w:spacing w:line="360" w:lineRule="auto"/>
        <w:jc w:val="both"/>
        <w:rPr>
          <w:rFonts w:eastAsiaTheme="majorEastAsia"/>
        </w:rPr>
      </w:pPr>
      <w:r w:rsidRPr="001836F4">
        <w:rPr>
          <w:rFonts w:eastAsiaTheme="majorEastAsia"/>
        </w:rPr>
        <w:t>In addition, when assessing the safety profile of Simufilam - which is included in their paper</w:t>
      </w:r>
      <w:r w:rsidR="57505A96" w:rsidRPr="57505A96">
        <w:rPr>
          <w:rFonts w:eastAsiaTheme="majorEastAsia"/>
        </w:rPr>
        <w:t xml:space="preserve"> </w:t>
      </w:r>
      <w:r w:rsidRPr="001836F4">
        <w:rPr>
          <w:rFonts w:eastAsiaTheme="majorEastAsia"/>
        </w:rPr>
        <w:t>– Cassava Sciences reported on their Phase II a good safety profile with no major events. Therefore, it would be wise to say that the safety profile of nAChR and therefore Simufilam in Alzheimer’s is good. </w:t>
      </w:r>
    </w:p>
    <w:p w14:paraId="5B9809A0" w14:textId="77777777" w:rsidR="006A3667" w:rsidRPr="001836F4" w:rsidRDefault="006A3667" w:rsidP="00F84A37">
      <w:pPr>
        <w:spacing w:line="360" w:lineRule="auto"/>
        <w:jc w:val="both"/>
        <w:rPr>
          <w:rFonts w:eastAsiaTheme="majorEastAsia"/>
        </w:rPr>
      </w:pPr>
    </w:p>
    <w:p w14:paraId="7E5953D2" w14:textId="794F0958" w:rsidR="009048D3" w:rsidRPr="001836F4" w:rsidRDefault="009048D3" w:rsidP="00F84A37">
      <w:pPr>
        <w:spacing w:line="360" w:lineRule="auto"/>
        <w:jc w:val="both"/>
        <w:rPr>
          <w:rFonts w:eastAsiaTheme="majorEastAsia"/>
        </w:rPr>
      </w:pPr>
      <w:r w:rsidRPr="001836F4">
        <w:rPr>
          <w:rFonts w:eastAsiaTheme="majorEastAsia"/>
        </w:rPr>
        <w:t xml:space="preserve">Secondly, </w:t>
      </w:r>
      <w:r w:rsidR="3746FB1D" w:rsidRPr="3746FB1D">
        <w:rPr>
          <w:rFonts w:eastAsiaTheme="majorEastAsia"/>
        </w:rPr>
        <w:t>when they evaluated</w:t>
      </w:r>
      <w:r w:rsidRPr="001836F4">
        <w:rPr>
          <w:rFonts w:eastAsiaTheme="majorEastAsia"/>
        </w:rPr>
        <w:t xml:space="preserve"> the efficacy of nAChR</w:t>
      </w:r>
      <w:r w:rsidR="3A3FD196" w:rsidRPr="3A3FD196">
        <w:rPr>
          <w:rFonts w:eastAsiaTheme="majorEastAsia"/>
        </w:rPr>
        <w:t>,</w:t>
      </w:r>
      <w:r w:rsidRPr="001836F4">
        <w:rPr>
          <w:rFonts w:eastAsiaTheme="majorEastAsia"/>
        </w:rPr>
        <w:t xml:space="preserve"> either activated or inhibited by a drug aimed at Alzheimer’s, the results </w:t>
      </w:r>
      <w:r w:rsidR="6C1DE5C4" w:rsidRPr="6C1DE5C4">
        <w:rPr>
          <w:rFonts w:eastAsiaTheme="majorEastAsia"/>
        </w:rPr>
        <w:t>were</w:t>
      </w:r>
      <w:r w:rsidRPr="001836F4">
        <w:rPr>
          <w:rFonts w:eastAsiaTheme="majorEastAsia"/>
        </w:rPr>
        <w:t xml:space="preserve"> not as fruitful as </w:t>
      </w:r>
      <w:r w:rsidR="6C1DE5C4" w:rsidRPr="6C1DE5C4">
        <w:rPr>
          <w:rFonts w:eastAsiaTheme="majorEastAsia"/>
        </w:rPr>
        <w:t xml:space="preserve">those </w:t>
      </w:r>
      <w:r w:rsidRPr="001836F4">
        <w:rPr>
          <w:rFonts w:eastAsiaTheme="majorEastAsia"/>
        </w:rPr>
        <w:t xml:space="preserve">for the safety profile. Indeed, as the data reported “confirm that the lack of success in clinical efficacy is the main reason, which led to discontinuation of research on this class of drugs”. </w:t>
      </w:r>
      <w:r w:rsidR="426A1BB1" w:rsidRPr="426A1BB1">
        <w:rPr>
          <w:rFonts w:eastAsiaTheme="majorEastAsia"/>
        </w:rPr>
        <w:t>α7nAChR</w:t>
      </w:r>
      <w:r w:rsidRPr="001836F4">
        <w:rPr>
          <w:rFonts w:eastAsiaTheme="majorEastAsia"/>
        </w:rPr>
        <w:t xml:space="preserve"> being no exception in this statement, the clinical safety is confirmed</w:t>
      </w:r>
      <w:r w:rsidR="65F3DC3B" w:rsidRPr="65F3DC3B">
        <w:rPr>
          <w:rFonts w:eastAsiaTheme="majorEastAsia"/>
        </w:rPr>
        <w:t>;</w:t>
      </w:r>
      <w:r w:rsidRPr="001836F4">
        <w:rPr>
          <w:rFonts w:eastAsiaTheme="majorEastAsia"/>
        </w:rPr>
        <w:t xml:space="preserve"> however</w:t>
      </w:r>
      <w:r w:rsidR="65F3DC3B" w:rsidRPr="65F3DC3B">
        <w:rPr>
          <w:rFonts w:eastAsiaTheme="majorEastAsia"/>
        </w:rPr>
        <w:t>,</w:t>
      </w:r>
      <w:r w:rsidRPr="001836F4">
        <w:rPr>
          <w:rFonts w:eastAsiaTheme="majorEastAsia"/>
        </w:rPr>
        <w:t xml:space="preserve"> the potential for action and therapeutic effects when implicating α7nAChR as a main actor in a drug aimed at Alzheimer’s proves to be statistically and clinically insignificant. </w:t>
      </w:r>
      <w:r w:rsidR="162B50C7" w:rsidRPr="162B50C7">
        <w:rPr>
          <w:rFonts w:eastAsiaTheme="majorEastAsia"/>
        </w:rPr>
        <w:t>See</w:t>
      </w:r>
      <w:r w:rsidR="162B50C7" w:rsidRPr="162B50C7">
        <w:rPr>
          <w:rFonts w:eastAsiaTheme="majorEastAsia"/>
          <w:i/>
          <w:iCs/>
        </w:rPr>
        <w:t xml:space="preserve"> </w:t>
      </w:r>
      <w:r w:rsidR="763AF7C0" w:rsidRPr="763AF7C0">
        <w:rPr>
          <w:rFonts w:eastAsiaTheme="majorEastAsia"/>
          <w:i/>
          <w:iCs/>
        </w:rPr>
        <w:t>Figures</w:t>
      </w:r>
      <w:r w:rsidR="294CDD01" w:rsidRPr="294CDD01">
        <w:rPr>
          <w:rFonts w:eastAsiaTheme="majorEastAsia"/>
          <w:i/>
          <w:iCs/>
        </w:rPr>
        <w:t xml:space="preserve"> 6</w:t>
      </w:r>
      <w:r w:rsidRPr="001836F4">
        <w:rPr>
          <w:rFonts w:eastAsiaTheme="majorEastAsia"/>
          <w:i/>
        </w:rPr>
        <w:t xml:space="preserve"> and </w:t>
      </w:r>
      <w:r w:rsidR="294CDD01" w:rsidRPr="294CDD01">
        <w:rPr>
          <w:rFonts w:eastAsiaTheme="majorEastAsia"/>
          <w:i/>
          <w:iCs/>
        </w:rPr>
        <w:t>7</w:t>
      </w:r>
      <w:r w:rsidRPr="294CDD01">
        <w:rPr>
          <w:rFonts w:eastAsiaTheme="majorEastAsia"/>
          <w:i/>
        </w:rPr>
        <w:t xml:space="preserve"> </w:t>
      </w:r>
      <w:r w:rsidRPr="001836F4">
        <w:rPr>
          <w:rFonts w:eastAsiaTheme="majorEastAsia"/>
        </w:rPr>
        <w:t xml:space="preserve">for more comprehensive data on the </w:t>
      </w:r>
      <w:r w:rsidRPr="1E205A83">
        <w:rPr>
          <w:rFonts w:eastAsiaTheme="majorEastAsia"/>
          <w:i/>
        </w:rPr>
        <w:t>Therapeutic Effect Summary</w:t>
      </w:r>
      <w:r w:rsidR="593C0013" w:rsidRPr="593C0013">
        <w:rPr>
          <w:rFonts w:eastAsiaTheme="majorEastAsia"/>
        </w:rPr>
        <w:t>.</w:t>
      </w:r>
      <w:r w:rsidRPr="001836F4">
        <w:rPr>
          <w:rFonts w:eastAsiaTheme="majorEastAsia"/>
        </w:rPr>
        <w:t> </w:t>
      </w:r>
    </w:p>
    <w:p w14:paraId="7AD4B85B" w14:textId="77777777" w:rsidR="006A3667" w:rsidRPr="001836F4" w:rsidRDefault="006A3667" w:rsidP="00F84A37">
      <w:pPr>
        <w:spacing w:line="360" w:lineRule="auto"/>
        <w:jc w:val="both"/>
      </w:pPr>
    </w:p>
    <w:p w14:paraId="43F19AB2" w14:textId="3D1FDE14" w:rsidR="009048D3" w:rsidRPr="001836F4" w:rsidRDefault="009048D3" w:rsidP="00F84A37">
      <w:pPr>
        <w:spacing w:line="360" w:lineRule="auto"/>
        <w:jc w:val="both"/>
        <w:rPr>
          <w:rFonts w:eastAsiaTheme="majorEastAsia"/>
        </w:rPr>
      </w:pPr>
      <w:r w:rsidRPr="001836F4">
        <w:rPr>
          <w:rFonts w:eastAsiaTheme="majorEastAsia"/>
        </w:rPr>
        <w:lastRenderedPageBreak/>
        <w:t xml:space="preserve">Thirdly, </w:t>
      </w:r>
      <w:hyperlink r:id="rId114">
        <w:r w:rsidR="0687E40A" w:rsidRPr="001836F4">
          <w:rPr>
            <w:rStyle w:val="Hyperlink"/>
            <w:rFonts w:eastAsiaTheme="majorEastAsia"/>
          </w:rPr>
          <w:t>the paper</w:t>
        </w:r>
      </w:hyperlink>
      <w:r w:rsidRPr="001836F4">
        <w:rPr>
          <w:rFonts w:eastAsiaTheme="majorEastAsia"/>
        </w:rPr>
        <w:t xml:space="preserve"> includes an interesting point that should be noted as relevant to our understanding of nAChR when inhibited or activated by a drug </w:t>
      </w:r>
      <w:r w:rsidR="332C36E9" w:rsidRPr="332C36E9">
        <w:rPr>
          <w:rFonts w:eastAsiaTheme="majorEastAsia"/>
        </w:rPr>
        <w:t>aimed at Alzheimer's.</w:t>
      </w:r>
      <w:r w:rsidRPr="001836F4">
        <w:rPr>
          <w:rFonts w:eastAsiaTheme="majorEastAsia"/>
        </w:rPr>
        <w:t xml:space="preserve"> In their conclusion, they included the </w:t>
      </w:r>
      <w:r w:rsidR="6DCFC225" w:rsidRPr="6DCFC225">
        <w:rPr>
          <w:rFonts w:eastAsiaTheme="majorEastAsia"/>
        </w:rPr>
        <w:t>opinion</w:t>
      </w:r>
      <w:r w:rsidRPr="001836F4">
        <w:rPr>
          <w:rFonts w:eastAsiaTheme="majorEastAsia"/>
        </w:rPr>
        <w:t xml:space="preserve"> that further investigation in high-quality trials would be needed to assess the true extent of nAChR and its potential use as an </w:t>
      </w:r>
      <w:r w:rsidR="64B9BB10" w:rsidRPr="64B9BB10">
        <w:rPr>
          <w:rFonts w:eastAsiaTheme="majorEastAsia"/>
        </w:rPr>
        <w:t>Alzheimer's drug.</w:t>
      </w:r>
      <w:r w:rsidRPr="001836F4">
        <w:rPr>
          <w:rFonts w:eastAsiaTheme="majorEastAsia"/>
        </w:rPr>
        <w:t xml:space="preserve"> The need for high-quality trials is crucial since the available data </w:t>
      </w:r>
      <w:r w:rsidR="40CE1640" w:rsidRPr="40CE1640">
        <w:rPr>
          <w:rFonts w:eastAsiaTheme="majorEastAsia"/>
        </w:rPr>
        <w:t>pool</w:t>
      </w:r>
      <w:r w:rsidR="0DF38B3F" w:rsidRPr="0DF38B3F">
        <w:rPr>
          <w:rFonts w:eastAsiaTheme="majorEastAsia"/>
        </w:rPr>
        <w:t xml:space="preserve"> </w:t>
      </w:r>
      <w:r w:rsidRPr="001836F4">
        <w:rPr>
          <w:rFonts w:eastAsiaTheme="majorEastAsia"/>
        </w:rPr>
        <w:t xml:space="preserve">is relatively small. Therefore, it cannot lead to a conclusive, evidence-based evaluation </w:t>
      </w:r>
      <w:r w:rsidR="0FB574A3" w:rsidRPr="0FB574A3">
        <w:rPr>
          <w:rFonts w:eastAsiaTheme="majorEastAsia"/>
        </w:rPr>
        <w:t>of nAChR</w:t>
      </w:r>
      <w:r w:rsidRPr="001836F4">
        <w:rPr>
          <w:rFonts w:eastAsiaTheme="majorEastAsia"/>
        </w:rPr>
        <w:t xml:space="preserve"> efficacy as a </w:t>
      </w:r>
      <w:r w:rsidR="6EA3D2EB" w:rsidRPr="6EA3D2EB">
        <w:rPr>
          <w:rFonts w:eastAsiaTheme="majorEastAsia"/>
        </w:rPr>
        <w:t>target candidate</w:t>
      </w:r>
      <w:r w:rsidRPr="001836F4">
        <w:rPr>
          <w:rFonts w:eastAsiaTheme="majorEastAsia"/>
        </w:rPr>
        <w:t xml:space="preserve"> in Alzheimer’s.</w:t>
      </w:r>
    </w:p>
    <w:p w14:paraId="26C87ECD" w14:textId="77777777" w:rsidR="009048D3" w:rsidRPr="001836F4" w:rsidRDefault="009048D3" w:rsidP="00F84A37">
      <w:pPr>
        <w:spacing w:line="360" w:lineRule="auto"/>
        <w:jc w:val="both"/>
      </w:pPr>
      <w:r w:rsidRPr="001836F4">
        <w:rPr>
          <w:rFonts w:eastAsiaTheme="majorEastAsia"/>
        </w:rPr>
        <w:t> </w:t>
      </w:r>
    </w:p>
    <w:p w14:paraId="74B533AB" w14:textId="77777777" w:rsidR="009048D3" w:rsidRPr="001836F4" w:rsidRDefault="009048D3" w:rsidP="00F84A37">
      <w:pPr>
        <w:spacing w:line="360" w:lineRule="auto"/>
        <w:jc w:val="both"/>
      </w:pPr>
      <w:r w:rsidRPr="001836F4">
        <w:rPr>
          <w:rFonts w:eastAsiaTheme="majorEastAsia"/>
        </w:rPr>
        <w:t> </w:t>
      </w:r>
    </w:p>
    <w:p w14:paraId="1810E8CA" w14:textId="0251B976" w:rsidR="009048D3" w:rsidRPr="001836F4" w:rsidRDefault="009048D3" w:rsidP="13193480">
      <w:pPr>
        <w:spacing w:line="360" w:lineRule="auto"/>
        <w:jc w:val="both"/>
        <w:rPr>
          <w:rFonts w:eastAsiaTheme="majorEastAsia"/>
        </w:rPr>
      </w:pPr>
      <w:r>
        <w:rPr>
          <w:noProof/>
        </w:rPr>
        <w:drawing>
          <wp:inline distT="0" distB="0" distL="0" distR="0" wp14:anchorId="76D773E5" wp14:editId="35903E74">
            <wp:extent cx="5644159" cy="4842760"/>
            <wp:effectExtent l="0" t="0" r="0" b="5715"/>
            <wp:docPr id="2027205490" name="Picture 9" descr="A table of medical inform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15">
                      <a:extLst>
                        <a:ext uri="{28A0092B-C50C-407E-A947-70E740481C1C}">
                          <a14:useLocalDpi xmlns:a14="http://schemas.microsoft.com/office/drawing/2010/main" val="0"/>
                        </a:ext>
                      </a:extLst>
                    </a:blip>
                    <a:stretch>
                      <a:fillRect/>
                    </a:stretch>
                  </pic:blipFill>
                  <pic:spPr>
                    <a:xfrm>
                      <a:off x="0" y="0"/>
                      <a:ext cx="5644159" cy="4842760"/>
                    </a:xfrm>
                    <a:prstGeom prst="rect">
                      <a:avLst/>
                    </a:prstGeom>
                  </pic:spPr>
                </pic:pic>
              </a:graphicData>
            </a:graphic>
          </wp:inline>
        </w:drawing>
      </w:r>
      <w:r w:rsidR="2628A740" w:rsidRPr="2628A740">
        <w:rPr>
          <w:rFonts w:eastAsiaTheme="majorEastAsia"/>
          <w:b/>
          <w:bCs/>
        </w:rPr>
        <w:t> </w:t>
      </w:r>
    </w:p>
    <w:p w14:paraId="668C25F9" w14:textId="20F61FFD" w:rsidR="009048D3" w:rsidRPr="001836F4" w:rsidRDefault="2628A740" w:rsidP="00F84A37">
      <w:pPr>
        <w:spacing w:line="360" w:lineRule="auto"/>
        <w:jc w:val="both"/>
        <w:rPr>
          <w:rFonts w:eastAsiaTheme="majorEastAsia"/>
        </w:rPr>
      </w:pPr>
      <w:r w:rsidRPr="2628A740">
        <w:rPr>
          <w:rFonts w:eastAsiaTheme="majorEastAsia"/>
          <w:b/>
          <w:bCs/>
        </w:rPr>
        <w:t>Figure 6.</w:t>
      </w:r>
      <w:r w:rsidRPr="2628A740">
        <w:rPr>
          <w:rFonts w:eastAsiaTheme="majorEastAsia"/>
        </w:rPr>
        <w:t xml:space="preserve"> Synopsis of the mechanisms of action and therapeutic effects of the major nAChR agonists,</w:t>
      </w:r>
      <w:r w:rsidR="02E272A5" w:rsidRPr="02E272A5">
        <w:rPr>
          <w:rFonts w:eastAsiaTheme="majorEastAsia"/>
        </w:rPr>
        <w:t xml:space="preserve"> </w:t>
      </w:r>
      <w:r w:rsidRPr="2628A740">
        <w:rPr>
          <w:rFonts w:eastAsiaTheme="majorEastAsia"/>
        </w:rPr>
        <w:t>as reported in published clinical trials</w:t>
      </w:r>
      <w:r w:rsidR="02E272A5" w:rsidRPr="02E272A5">
        <w:rPr>
          <w:rFonts w:eastAsiaTheme="majorEastAsia"/>
        </w:rPr>
        <w:t xml:space="preserve"> (</w:t>
      </w:r>
      <w:hyperlink r:id="rId116">
        <w:r w:rsidR="02E272A5" w:rsidRPr="02E272A5">
          <w:rPr>
            <w:rStyle w:val="Hyperlink"/>
            <w:rFonts w:eastAsiaTheme="majorEastAsia"/>
          </w:rPr>
          <w:t>Crestini et al., 2024</w:t>
        </w:r>
      </w:hyperlink>
      <w:r w:rsidR="02E272A5" w:rsidRPr="02E272A5">
        <w:rPr>
          <w:rFonts w:eastAsiaTheme="majorEastAsia"/>
        </w:rPr>
        <w:t>).</w:t>
      </w:r>
    </w:p>
    <w:p w14:paraId="78FCA6B0" w14:textId="1F7961F8" w:rsidR="009048D3" w:rsidRPr="001836F4" w:rsidRDefault="009048D3" w:rsidP="00F84A37">
      <w:pPr>
        <w:spacing w:line="360" w:lineRule="auto"/>
        <w:jc w:val="both"/>
      </w:pPr>
      <w:r>
        <w:rPr>
          <w:noProof/>
        </w:rPr>
        <w:lastRenderedPageBreak/>
        <w:drawing>
          <wp:inline distT="0" distB="0" distL="0" distR="0" wp14:anchorId="2C0C9BC1" wp14:editId="4980EB9F">
            <wp:extent cx="5672926" cy="3789829"/>
            <wp:effectExtent l="0" t="0" r="0" b="4445"/>
            <wp:docPr id="714869075" name="Picture 8" descr="A table of medical inform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17">
                      <a:extLst>
                        <a:ext uri="{28A0092B-C50C-407E-A947-70E740481C1C}">
                          <a14:useLocalDpi xmlns:a14="http://schemas.microsoft.com/office/drawing/2010/main" val="0"/>
                        </a:ext>
                      </a:extLst>
                    </a:blip>
                    <a:stretch>
                      <a:fillRect/>
                    </a:stretch>
                  </pic:blipFill>
                  <pic:spPr>
                    <a:xfrm>
                      <a:off x="0" y="0"/>
                      <a:ext cx="5672926" cy="3789829"/>
                    </a:xfrm>
                    <a:prstGeom prst="rect">
                      <a:avLst/>
                    </a:prstGeom>
                  </pic:spPr>
                </pic:pic>
              </a:graphicData>
            </a:graphic>
          </wp:inline>
        </w:drawing>
      </w:r>
      <w:r w:rsidR="3CE015E9" w:rsidRPr="3CE015E9">
        <w:rPr>
          <w:rFonts w:eastAsiaTheme="majorEastAsia"/>
          <w:b/>
          <w:bCs/>
        </w:rPr>
        <w:t> </w:t>
      </w:r>
    </w:p>
    <w:p w14:paraId="2999AF3B" w14:textId="1C4C45CE" w:rsidR="009048D3" w:rsidRPr="001836F4" w:rsidRDefault="02E272A5" w:rsidP="00F84A37">
      <w:pPr>
        <w:spacing w:line="360" w:lineRule="auto"/>
        <w:jc w:val="both"/>
      </w:pPr>
      <w:r w:rsidRPr="02E272A5">
        <w:rPr>
          <w:rFonts w:eastAsiaTheme="majorEastAsia"/>
          <w:b/>
          <w:bCs/>
        </w:rPr>
        <w:t>Figure 7.</w:t>
      </w:r>
      <w:r w:rsidRPr="7F88B1C5">
        <w:rPr>
          <w:rFonts w:eastAsiaTheme="majorEastAsia"/>
          <w:b/>
        </w:rPr>
        <w:t xml:space="preserve"> </w:t>
      </w:r>
      <w:r w:rsidRPr="02E272A5">
        <w:rPr>
          <w:rFonts w:eastAsiaTheme="majorEastAsia"/>
        </w:rPr>
        <w:t xml:space="preserve">Synopsis of the mechanisms of action and therapeutic effects of the major nAChR agonists, as reported in published clinical trials </w:t>
      </w:r>
      <w:r w:rsidR="22AC1F03" w:rsidRPr="22AC1F03">
        <w:rPr>
          <w:rFonts w:eastAsiaTheme="majorEastAsia"/>
        </w:rPr>
        <w:t>(</w:t>
      </w:r>
      <w:hyperlink r:id="rId118">
        <w:r w:rsidR="22AC1F03" w:rsidRPr="22AC1F03">
          <w:rPr>
            <w:rStyle w:val="Hyperlink"/>
            <w:rFonts w:eastAsiaTheme="majorEastAsia"/>
          </w:rPr>
          <w:t>Crestini et al., 2024</w:t>
        </w:r>
      </w:hyperlink>
      <w:r w:rsidR="22AC1F03" w:rsidRPr="22AC1F03">
        <w:rPr>
          <w:rFonts w:eastAsiaTheme="majorEastAsia"/>
        </w:rPr>
        <w:t>).</w:t>
      </w:r>
    </w:p>
    <w:p w14:paraId="07E421E2" w14:textId="77777777" w:rsidR="009048D3" w:rsidRPr="001836F4" w:rsidRDefault="009048D3" w:rsidP="00F84A37">
      <w:pPr>
        <w:spacing w:line="360" w:lineRule="auto"/>
        <w:jc w:val="both"/>
      </w:pPr>
      <w:r w:rsidRPr="001836F4">
        <w:rPr>
          <w:rFonts w:eastAsiaTheme="majorEastAsia"/>
        </w:rPr>
        <w:t> </w:t>
      </w:r>
    </w:p>
    <w:p w14:paraId="55F49E76" w14:textId="1644EB87" w:rsidR="009048D3" w:rsidRPr="001836F4" w:rsidRDefault="2A3C0387" w:rsidP="00F84A37">
      <w:pPr>
        <w:spacing w:line="360" w:lineRule="auto"/>
        <w:jc w:val="both"/>
        <w:rPr>
          <w:rFonts w:eastAsiaTheme="majorEastAsia"/>
        </w:rPr>
      </w:pPr>
      <w:r w:rsidRPr="2A3C0387">
        <w:rPr>
          <w:rFonts w:eastAsiaTheme="majorEastAsia"/>
        </w:rPr>
        <w:t>No</w:t>
      </w:r>
      <w:r w:rsidR="009048D3" w:rsidRPr="001836F4">
        <w:rPr>
          <w:rFonts w:eastAsiaTheme="majorEastAsia"/>
        </w:rPr>
        <w:t xml:space="preserve"> clinical or statistical efficacy has been shown by either inhibiting or activating nAChR in Alzheimer’s. Moreover, the conclusion that we </w:t>
      </w:r>
      <w:r w:rsidR="77B33E26" w:rsidRPr="77B33E26">
        <w:rPr>
          <w:rFonts w:eastAsiaTheme="majorEastAsia"/>
        </w:rPr>
        <w:t xml:space="preserve">have </w:t>
      </w:r>
      <w:r w:rsidR="182AA55D" w:rsidRPr="182AA55D">
        <w:rPr>
          <w:rFonts w:eastAsiaTheme="majorEastAsia"/>
        </w:rPr>
        <w:t>drawn</w:t>
      </w:r>
      <w:r w:rsidR="77B33E26" w:rsidRPr="77B33E26">
        <w:rPr>
          <w:rFonts w:eastAsiaTheme="majorEastAsia"/>
        </w:rPr>
        <w:t xml:space="preserve"> after</w:t>
      </w:r>
      <w:r w:rsidR="009048D3" w:rsidRPr="001836F4">
        <w:rPr>
          <w:rFonts w:eastAsiaTheme="majorEastAsia"/>
        </w:rPr>
        <w:t xml:space="preserve"> evaluating this data is that targeting nAChR can be useful</w:t>
      </w:r>
      <w:r w:rsidR="7CBB050D" w:rsidRPr="7CBB050D">
        <w:rPr>
          <w:rFonts w:eastAsiaTheme="majorEastAsia"/>
        </w:rPr>
        <w:t xml:space="preserve"> - </w:t>
      </w:r>
      <w:r w:rsidR="009048D3" w:rsidRPr="001836F4">
        <w:rPr>
          <w:rFonts w:eastAsiaTheme="majorEastAsia"/>
        </w:rPr>
        <w:t>especially α7nAChR</w:t>
      </w:r>
      <w:r w:rsidR="182AA55D" w:rsidRPr="182AA55D">
        <w:rPr>
          <w:rFonts w:eastAsiaTheme="majorEastAsia"/>
        </w:rPr>
        <w:t>, which is</w:t>
      </w:r>
      <w:r w:rsidR="009048D3" w:rsidRPr="001836F4">
        <w:rPr>
          <w:rFonts w:eastAsiaTheme="majorEastAsia"/>
        </w:rPr>
        <w:t xml:space="preserve"> involved in cognitive functions</w:t>
      </w:r>
      <w:r w:rsidR="7CBB050D" w:rsidRPr="7CBB050D">
        <w:rPr>
          <w:rFonts w:eastAsiaTheme="majorEastAsia"/>
        </w:rPr>
        <w:t xml:space="preserve"> - </w:t>
      </w:r>
      <w:r w:rsidR="009048D3" w:rsidRPr="001836F4">
        <w:rPr>
          <w:rFonts w:eastAsiaTheme="majorEastAsia"/>
        </w:rPr>
        <w:t xml:space="preserve">but it cannot be </w:t>
      </w:r>
      <w:r w:rsidR="182AA55D" w:rsidRPr="182AA55D">
        <w:rPr>
          <w:rFonts w:eastAsiaTheme="majorEastAsia"/>
        </w:rPr>
        <w:t>the</w:t>
      </w:r>
      <w:r w:rsidR="009048D3" w:rsidRPr="001836F4">
        <w:rPr>
          <w:rFonts w:eastAsiaTheme="majorEastAsia"/>
        </w:rPr>
        <w:t xml:space="preserve"> main actor </w:t>
      </w:r>
      <w:r w:rsidR="182AA55D" w:rsidRPr="182AA55D">
        <w:rPr>
          <w:rFonts w:eastAsiaTheme="majorEastAsia"/>
        </w:rPr>
        <w:t>in</w:t>
      </w:r>
      <w:r w:rsidR="009048D3" w:rsidRPr="001836F4">
        <w:rPr>
          <w:rFonts w:eastAsiaTheme="majorEastAsia"/>
        </w:rPr>
        <w:t xml:space="preserve"> the treatment. Still, it can act as a robust contributor to a multi-targeting Alzheimer’s drug. </w:t>
      </w:r>
      <w:r w:rsidR="7CBB050D" w:rsidRPr="7CBB050D">
        <w:rPr>
          <w:rFonts w:eastAsiaTheme="majorEastAsia"/>
        </w:rPr>
        <w:t>We</w:t>
      </w:r>
      <w:r w:rsidR="009048D3" w:rsidRPr="001836F4">
        <w:rPr>
          <w:rFonts w:eastAsiaTheme="majorEastAsia"/>
        </w:rPr>
        <w:t xml:space="preserve"> find ourselves </w:t>
      </w:r>
      <w:r w:rsidR="7CBB050D" w:rsidRPr="7CBB050D">
        <w:rPr>
          <w:rFonts w:eastAsiaTheme="majorEastAsia"/>
        </w:rPr>
        <w:t>once again</w:t>
      </w:r>
      <w:r w:rsidR="009048D3" w:rsidRPr="001836F4">
        <w:rPr>
          <w:rFonts w:eastAsiaTheme="majorEastAsia"/>
        </w:rPr>
        <w:t xml:space="preserve"> skeptical of </w:t>
      </w:r>
      <w:r w:rsidR="3FE9D91A" w:rsidRPr="001836F4">
        <w:rPr>
          <w:rFonts w:eastAsiaTheme="majorEastAsia"/>
        </w:rPr>
        <w:t xml:space="preserve">Simufilam’s </w:t>
      </w:r>
      <w:r w:rsidR="009048D3" w:rsidRPr="001836F4">
        <w:rPr>
          <w:rFonts w:eastAsiaTheme="majorEastAsia"/>
        </w:rPr>
        <w:t xml:space="preserve">efficacy when taking this additional data into account. Making an impact on </w:t>
      </w:r>
      <w:r w:rsidR="2338A3B3" w:rsidRPr="001836F4">
        <w:rPr>
          <w:rFonts w:eastAsiaTheme="majorEastAsia"/>
        </w:rPr>
        <w:t xml:space="preserve">Simufilam’s </w:t>
      </w:r>
      <w:r w:rsidR="009048D3" w:rsidRPr="001836F4">
        <w:rPr>
          <w:rFonts w:eastAsiaTheme="majorEastAsia"/>
        </w:rPr>
        <w:t>credibility as a candidate drug in Alzheimer’s. </w:t>
      </w:r>
    </w:p>
    <w:p w14:paraId="7AC5B4B4" w14:textId="77777777" w:rsidR="009048D3" w:rsidRPr="001836F4" w:rsidRDefault="009048D3" w:rsidP="00F84A37">
      <w:pPr>
        <w:spacing w:line="360" w:lineRule="auto"/>
        <w:jc w:val="both"/>
      </w:pPr>
    </w:p>
    <w:p w14:paraId="4F882C85" w14:textId="77777777" w:rsidR="00017998" w:rsidRPr="001836F4" w:rsidRDefault="00017998" w:rsidP="00F84A37">
      <w:pPr>
        <w:spacing w:line="360" w:lineRule="auto"/>
        <w:jc w:val="both"/>
      </w:pPr>
    </w:p>
    <w:p w14:paraId="7AAA0C8D" w14:textId="77777777" w:rsidR="00017998" w:rsidRPr="001836F4" w:rsidRDefault="5183A6D9" w:rsidP="5183A6D9">
      <w:pPr>
        <w:pStyle w:val="Heading2"/>
        <w:rPr>
          <w:rFonts w:ascii="Times New Roman" w:eastAsia="Times New Roman" w:hAnsi="Times New Roman" w:cs="Times New Roman"/>
          <w:b/>
          <w:bCs/>
          <w:color w:val="auto"/>
        </w:rPr>
      </w:pPr>
      <w:bookmarkStart w:id="32" w:name="_8._Aβ42_Toxicity:"/>
      <w:bookmarkStart w:id="33" w:name="_Toc1091867617"/>
      <w:bookmarkEnd w:id="32"/>
      <w:r w:rsidRPr="5183A6D9">
        <w:rPr>
          <w:rFonts w:ascii="Times New Roman" w:eastAsia="Times New Roman" w:hAnsi="Times New Roman" w:cs="Times New Roman"/>
          <w:b/>
          <w:bCs/>
          <w:color w:val="auto"/>
        </w:rPr>
        <w:t>8. Aβ42 Toxicity: Multiple Causes, No Direct Amyloid Clearance, and No Tau Solution</w:t>
      </w:r>
      <w:bookmarkEnd w:id="33"/>
    </w:p>
    <w:p w14:paraId="68B0754B" w14:textId="32717D84" w:rsidR="00017998" w:rsidRPr="001836F4" w:rsidRDefault="00017998" w:rsidP="00F84A37">
      <w:pPr>
        <w:spacing w:line="360" w:lineRule="auto"/>
        <w:jc w:val="both"/>
      </w:pPr>
      <w:r w:rsidRPr="001836F4">
        <w:t>Simufilam’s mechanism relies on reducing the neurotoxic effects of Aβ42</w:t>
      </w:r>
      <w:r w:rsidR="5E37A465" w:rsidRPr="001836F4">
        <w:t>. However,</w:t>
      </w:r>
      <w:r w:rsidRPr="001836F4">
        <w:t xml:space="preserve"> Aβ toxicity arises from multiple </w:t>
      </w:r>
      <w:r w:rsidR="024C4A94" w:rsidRPr="001836F4">
        <w:t>causes</w:t>
      </w:r>
      <w:r w:rsidR="0884EB80" w:rsidRPr="001836F4">
        <w:t>,</w:t>
      </w:r>
      <w:r w:rsidR="50223BA3" w:rsidRPr="001836F4">
        <w:t xml:space="preserve"> </w:t>
      </w:r>
      <w:r w:rsidR="024C4A94" w:rsidRPr="001836F4">
        <w:t>including</w:t>
      </w:r>
      <w:r w:rsidRPr="001836F4">
        <w:t xml:space="preserve"> oligomer formation, plaque accumulation, and interactions </w:t>
      </w:r>
      <w:r w:rsidRPr="001836F4">
        <w:lastRenderedPageBreak/>
        <w:t>with other proteins. Simply modulating one interaction is unlikely to address the broader pathology of Aβ in AD. Moreover, Simufilam does not directly clear amyloid plaques, a key target in AD treatment.</w:t>
      </w:r>
    </w:p>
    <w:p w14:paraId="53328D69" w14:textId="77777777" w:rsidR="0085791B" w:rsidRPr="001836F4" w:rsidRDefault="0085791B" w:rsidP="00F84A37">
      <w:pPr>
        <w:spacing w:line="360" w:lineRule="auto"/>
        <w:jc w:val="both"/>
      </w:pPr>
    </w:p>
    <w:p w14:paraId="5490AE6A" w14:textId="301AFC70" w:rsidR="00017998" w:rsidRPr="001836F4" w:rsidRDefault="00017998" w:rsidP="00F84A37">
      <w:pPr>
        <w:spacing w:line="360" w:lineRule="auto"/>
        <w:jc w:val="both"/>
      </w:pPr>
      <w:r w:rsidRPr="001836F4">
        <w:t xml:space="preserve">Even if Simufilam successfully reduced </w:t>
      </w:r>
      <w:r w:rsidR="222248F4">
        <w:t xml:space="preserve">some </w:t>
      </w:r>
      <w:r w:rsidRPr="001836F4">
        <w:t xml:space="preserve">Aβ toxicity, it does not address </w:t>
      </w:r>
      <w:r w:rsidR="222248F4">
        <w:t>NFTs</w:t>
      </w:r>
      <w:r w:rsidRPr="001836F4">
        <w:t xml:space="preserve"> or neuroinflammation, which are critical contributors to cognitive decline. Without a tau-targeting strategy</w:t>
      </w:r>
      <w:r w:rsidR="222248F4">
        <w:t>,</w:t>
      </w:r>
      <w:r w:rsidRPr="001836F4">
        <w:t xml:space="preserve"> or a mechanism to clear amyloid, Simufilam’s therapeutic potential is severely limited.</w:t>
      </w:r>
    </w:p>
    <w:p w14:paraId="168BC23A" w14:textId="77777777" w:rsidR="00017998" w:rsidRPr="001836F4" w:rsidRDefault="00017998" w:rsidP="00F84A37">
      <w:pPr>
        <w:spacing w:line="360" w:lineRule="auto"/>
        <w:jc w:val="both"/>
      </w:pPr>
    </w:p>
    <w:p w14:paraId="68C776AE" w14:textId="63C6A09C" w:rsidR="0013521F" w:rsidRPr="001836F4" w:rsidRDefault="0013521F" w:rsidP="00F84A37">
      <w:pPr>
        <w:spacing w:line="360" w:lineRule="auto"/>
        <w:jc w:val="both"/>
        <w:rPr>
          <w:rFonts w:eastAsiaTheme="majorEastAsia"/>
        </w:rPr>
      </w:pPr>
      <w:r w:rsidRPr="001836F4">
        <w:rPr>
          <w:rFonts w:eastAsiaTheme="majorEastAsia"/>
        </w:rPr>
        <w:t xml:space="preserve">A main component of Alzheimer’s is </w:t>
      </w:r>
      <w:r w:rsidR="45EF4C86" w:rsidRPr="45EF4C86">
        <w:rPr>
          <w:rFonts w:eastAsiaTheme="majorEastAsia"/>
        </w:rPr>
        <w:t>Aβ42 - a</w:t>
      </w:r>
      <w:r w:rsidRPr="001836F4">
        <w:rPr>
          <w:rFonts w:eastAsiaTheme="majorEastAsia"/>
        </w:rPr>
        <w:t xml:space="preserve"> 42-amino acid long peptide </w:t>
      </w:r>
      <w:r w:rsidR="003F6602" w:rsidRPr="001836F4">
        <w:rPr>
          <w:rFonts w:eastAsiaTheme="majorEastAsia"/>
        </w:rPr>
        <w:t>(</w:t>
      </w:r>
      <w:hyperlink r:id="rId119">
        <w:r w:rsidR="160976AF" w:rsidRPr="001836F4">
          <w:rPr>
            <w:rStyle w:val="Hyperlink"/>
            <w:rFonts w:eastAsiaTheme="majorEastAsia"/>
          </w:rPr>
          <w:t>Zhang et al., 2023</w:t>
        </w:r>
      </w:hyperlink>
      <w:r w:rsidR="160976AF" w:rsidRPr="001836F4">
        <w:rPr>
          <w:rFonts w:eastAsiaTheme="majorEastAsia"/>
        </w:rPr>
        <w:t>).</w:t>
      </w:r>
      <w:r w:rsidRPr="001836F4">
        <w:rPr>
          <w:rFonts w:eastAsiaTheme="majorEastAsia"/>
        </w:rPr>
        <w:t xml:space="preserve"> Two main types of amyloid beta (Aβ) peptides exist, Aβ42 and Aβ40 - both derived from the amyloid precursor protein (APP)</w:t>
      </w:r>
      <w:r w:rsidR="003F6602" w:rsidRPr="001836F4">
        <w:rPr>
          <w:rFonts w:eastAsiaTheme="majorEastAsia"/>
        </w:rPr>
        <w:t xml:space="preserve"> (</w:t>
      </w:r>
      <w:hyperlink r:id="rId120">
        <w:r w:rsidR="160976AF" w:rsidRPr="001836F4">
          <w:rPr>
            <w:rStyle w:val="Hyperlink"/>
            <w:rFonts w:eastAsiaTheme="majorEastAsia"/>
          </w:rPr>
          <w:t>Chen et al., 2014</w:t>
        </w:r>
      </w:hyperlink>
      <w:r w:rsidR="003F6602" w:rsidRPr="001836F4">
        <w:rPr>
          <w:rFonts w:eastAsiaTheme="majorEastAsia"/>
        </w:rPr>
        <w:t>)</w:t>
      </w:r>
      <w:r w:rsidRPr="001836F4">
        <w:rPr>
          <w:rFonts w:eastAsiaTheme="majorEastAsia"/>
        </w:rPr>
        <w:t>. Aβ42 is the major component of amyloid plaques found in the brains of Alzheimer's disease patients</w:t>
      </w:r>
      <w:r w:rsidR="45EF4C86" w:rsidRPr="45EF4C86">
        <w:rPr>
          <w:rFonts w:eastAsiaTheme="majorEastAsia"/>
        </w:rPr>
        <w:t>.</w:t>
      </w:r>
      <w:r w:rsidRPr="001836F4">
        <w:rPr>
          <w:rFonts w:eastAsiaTheme="majorEastAsia"/>
        </w:rPr>
        <w:t xml:space="preserve"> Aβ42 toxicity in Alzheimer’s is complex and has multiple pathways and mechanisms that </w:t>
      </w:r>
      <w:r w:rsidR="222248F4" w:rsidRPr="222248F4">
        <w:rPr>
          <w:rFonts w:eastAsiaTheme="majorEastAsia"/>
        </w:rPr>
        <w:t>cause</w:t>
      </w:r>
      <w:r w:rsidRPr="001836F4">
        <w:rPr>
          <w:rFonts w:eastAsiaTheme="majorEastAsia"/>
        </w:rPr>
        <w:t xml:space="preserve"> the underlying toxicity that is observed</w:t>
      </w:r>
      <w:r w:rsidR="00D25A62" w:rsidRPr="001836F4">
        <w:rPr>
          <w:rFonts w:eastAsiaTheme="majorEastAsia"/>
        </w:rPr>
        <w:t xml:space="preserve"> (</w:t>
      </w:r>
      <w:hyperlink r:id="rId121">
        <w:r w:rsidR="160976AF" w:rsidRPr="001836F4">
          <w:rPr>
            <w:rStyle w:val="Hyperlink"/>
            <w:rFonts w:eastAsiaTheme="majorEastAsia"/>
          </w:rPr>
          <w:t>Lim et al., 2007</w:t>
        </w:r>
      </w:hyperlink>
      <w:r w:rsidR="478259A3" w:rsidRPr="478259A3">
        <w:rPr>
          <w:rFonts w:eastAsiaTheme="majorEastAsia"/>
        </w:rPr>
        <w:t>).</w:t>
      </w:r>
    </w:p>
    <w:p w14:paraId="029E9EF1" w14:textId="77777777" w:rsidR="00DB7BF8" w:rsidRPr="001836F4" w:rsidRDefault="00DB7BF8" w:rsidP="00F84A37">
      <w:pPr>
        <w:spacing w:line="360" w:lineRule="auto"/>
        <w:jc w:val="both"/>
      </w:pPr>
    </w:p>
    <w:p w14:paraId="4720E0B4" w14:textId="4E9268FE" w:rsidR="0013521F" w:rsidRPr="001836F4" w:rsidRDefault="0013521F" w:rsidP="00F84A37">
      <w:pPr>
        <w:spacing w:line="360" w:lineRule="auto"/>
        <w:jc w:val="both"/>
        <w:rPr>
          <w:rFonts w:eastAsiaTheme="majorEastAsia"/>
        </w:rPr>
      </w:pPr>
      <w:r w:rsidRPr="001836F4">
        <w:rPr>
          <w:rFonts w:eastAsiaTheme="majorEastAsia"/>
        </w:rPr>
        <w:t xml:space="preserve">As written in the </w:t>
      </w:r>
      <w:r w:rsidR="222248F4" w:rsidRPr="222248F4">
        <w:rPr>
          <w:rFonts w:eastAsiaTheme="majorEastAsia"/>
          <w:i/>
          <w:iCs/>
        </w:rPr>
        <w:t>Simufilam's Proposed Mechanism of Action</w:t>
      </w:r>
      <w:r w:rsidRPr="222248F4">
        <w:rPr>
          <w:rFonts w:eastAsiaTheme="majorEastAsia"/>
        </w:rPr>
        <w:t xml:space="preserve"> </w:t>
      </w:r>
      <w:r w:rsidRPr="001836F4">
        <w:rPr>
          <w:rFonts w:eastAsiaTheme="majorEastAsia"/>
        </w:rPr>
        <w:t xml:space="preserve">section of this paper, Simufilam aims to restore </w:t>
      </w:r>
      <w:r w:rsidR="222248F4" w:rsidRPr="222248F4">
        <w:rPr>
          <w:rFonts w:eastAsiaTheme="majorEastAsia"/>
        </w:rPr>
        <w:t>FLNA’s</w:t>
      </w:r>
      <w:r w:rsidRPr="001836F4">
        <w:rPr>
          <w:rFonts w:eastAsiaTheme="majorEastAsia"/>
        </w:rPr>
        <w:t xml:space="preserve"> initial shape and function. By stabilizing FLNA, Simufilam seeks to correct the toxic effects that arise from α7nAChR</w:t>
      </w:r>
      <w:r w:rsidR="222248F4" w:rsidRPr="222248F4">
        <w:rPr>
          <w:rFonts w:eastAsiaTheme="majorEastAsia"/>
        </w:rPr>
        <w:t xml:space="preserve"> - </w:t>
      </w:r>
      <w:r w:rsidRPr="001836F4">
        <w:rPr>
          <w:rFonts w:eastAsiaTheme="majorEastAsia"/>
        </w:rPr>
        <w:t>Aβ42 binding</w:t>
      </w:r>
      <w:r w:rsidR="00906A52" w:rsidRPr="001836F4">
        <w:rPr>
          <w:rFonts w:eastAsiaTheme="majorEastAsia"/>
        </w:rPr>
        <w:t xml:space="preserve"> (</w:t>
      </w:r>
      <w:hyperlink r:id="rId122">
        <w:r w:rsidR="222248F4" w:rsidRPr="222248F4">
          <w:rPr>
            <w:rStyle w:val="Hyperlink"/>
            <w:rFonts w:eastAsiaTheme="majorEastAsia"/>
          </w:rPr>
          <w:t>Wang et al., 2023</w:t>
        </w:r>
      </w:hyperlink>
      <w:r w:rsidR="222248F4" w:rsidRPr="222248F4">
        <w:rPr>
          <w:rFonts w:eastAsiaTheme="majorEastAsia"/>
        </w:rPr>
        <w:t>).</w:t>
      </w:r>
      <w:r w:rsidRPr="001836F4">
        <w:rPr>
          <w:rFonts w:eastAsiaTheme="majorEastAsia"/>
        </w:rPr>
        <w:t xml:space="preserve"> However, multiple issues arise when evaluating this approach </w:t>
      </w:r>
      <w:r w:rsidR="00610EC4" w:rsidRPr="001836F4">
        <w:rPr>
          <w:rFonts w:eastAsiaTheme="majorEastAsia"/>
        </w:rPr>
        <w:t>regarding</w:t>
      </w:r>
      <w:r w:rsidRPr="001836F4">
        <w:rPr>
          <w:rFonts w:eastAsiaTheme="majorEastAsia"/>
        </w:rPr>
        <w:t xml:space="preserve"> its efficacy on A</w:t>
      </w:r>
      <w:r w:rsidR="00D431AC" w:rsidRPr="001836F4">
        <w:rPr>
          <w:rFonts w:eastAsiaTheme="majorEastAsia"/>
        </w:rPr>
        <w:t>D</w:t>
      </w:r>
      <w:r w:rsidRPr="001836F4">
        <w:rPr>
          <w:rFonts w:eastAsiaTheme="majorEastAsia"/>
        </w:rPr>
        <w:t>. </w:t>
      </w:r>
    </w:p>
    <w:p w14:paraId="4755E9D4" w14:textId="77777777" w:rsidR="00DB7BF8" w:rsidRPr="001836F4" w:rsidRDefault="00DB7BF8" w:rsidP="00F84A37">
      <w:pPr>
        <w:spacing w:line="360" w:lineRule="auto"/>
        <w:jc w:val="both"/>
      </w:pPr>
    </w:p>
    <w:p w14:paraId="7EF6FA69" w14:textId="48299F23" w:rsidR="00653B39" w:rsidRPr="001836F4" w:rsidRDefault="222248F4" w:rsidP="222248F4">
      <w:pPr>
        <w:spacing w:line="360" w:lineRule="auto"/>
        <w:jc w:val="both"/>
        <w:rPr>
          <w:rFonts w:eastAsiaTheme="majorEastAsia"/>
        </w:rPr>
      </w:pPr>
      <w:r w:rsidRPr="222248F4">
        <w:rPr>
          <w:rFonts w:eastAsiaTheme="majorEastAsia"/>
        </w:rPr>
        <w:t>Firstly, Simufilam has a major limitation that could have a grand impact on its efficacy and impact on Alzheimer’s. The drug does not promote any clearance of Aβ42 or amyloid plaques. Amyloid plaques are a great part of Alzheimer’s, and their clearance has been of major concern in the development and design of existing and new drug candidates for Alzheimer's (</w:t>
      </w:r>
      <w:hyperlink r:id="rId123">
        <w:r w:rsidR="289B0720" w:rsidRPr="001836F4">
          <w:rPr>
            <w:rStyle w:val="Hyperlink"/>
            <w:rFonts w:eastAsiaTheme="majorEastAsia"/>
          </w:rPr>
          <w:t>Zhang et al., 2023</w:t>
        </w:r>
      </w:hyperlink>
      <w:r w:rsidRPr="222248F4">
        <w:rPr>
          <w:rFonts w:eastAsiaTheme="majorEastAsia"/>
        </w:rPr>
        <w:t>). The fact that Simufilam does not have any direct clearance effects on amyloid plaques is a great limitation for the drug. Without addressing the amyloid plaques issue, Simufilam disregards the accumulation of Aβ42 as insoluble plaques and could therefore allow a buildup of it. Moreover, this buildup of the amyloid plaques would signify an increase in overall neurotoxicity and inflammation (</w:t>
      </w:r>
      <w:hyperlink r:id="rId124">
        <w:r w:rsidR="289B0720" w:rsidRPr="001836F4">
          <w:rPr>
            <w:rStyle w:val="Hyperlink"/>
          </w:rPr>
          <w:t>Azargoonjahromi, 2024</w:t>
        </w:r>
      </w:hyperlink>
      <w:r>
        <w:t>)</w:t>
      </w:r>
      <w:r w:rsidRPr="222248F4">
        <w:rPr>
          <w:rFonts w:eastAsiaTheme="majorEastAsia"/>
        </w:rPr>
        <w:t>. Simufilam’s lack of amyloid clearance indicates an inability to remove Aβ42, which could mean that Aβ42 may remain active even when Simufilam is present in the brain. </w:t>
      </w:r>
    </w:p>
    <w:p w14:paraId="7EF99B5A" w14:textId="23C9045D" w:rsidR="00653B39" w:rsidRPr="001836F4" w:rsidRDefault="00653B39" w:rsidP="222248F4">
      <w:pPr>
        <w:spacing w:line="360" w:lineRule="auto"/>
        <w:jc w:val="both"/>
        <w:rPr>
          <w:rFonts w:eastAsiaTheme="majorEastAsia"/>
        </w:rPr>
      </w:pPr>
    </w:p>
    <w:p w14:paraId="22F57594" w14:textId="42BE58ED" w:rsidR="00653B39" w:rsidRPr="001836F4" w:rsidRDefault="0013521F" w:rsidP="222248F4">
      <w:pPr>
        <w:spacing w:line="360" w:lineRule="auto"/>
        <w:jc w:val="both"/>
        <w:rPr>
          <w:rFonts w:eastAsiaTheme="majorEastAsia"/>
        </w:rPr>
      </w:pPr>
      <w:r w:rsidRPr="001836F4">
        <w:rPr>
          <w:rFonts w:eastAsiaTheme="majorEastAsia"/>
        </w:rPr>
        <w:t xml:space="preserve">Secondly, the toxicity of Aβ42 is multifactorial </w:t>
      </w:r>
      <w:r w:rsidR="222248F4" w:rsidRPr="222248F4">
        <w:rPr>
          <w:rFonts w:eastAsiaTheme="majorEastAsia"/>
        </w:rPr>
        <w:t xml:space="preserve">in </w:t>
      </w:r>
      <w:r w:rsidRPr="001836F4">
        <w:rPr>
          <w:rFonts w:eastAsiaTheme="majorEastAsia"/>
        </w:rPr>
        <w:t>nature</w:t>
      </w:r>
      <w:r w:rsidR="222248F4" w:rsidRPr="222248F4">
        <w:rPr>
          <w:rFonts w:eastAsiaTheme="majorEastAsia"/>
        </w:rPr>
        <w:t>,</w:t>
      </w:r>
      <w:r w:rsidRPr="001836F4">
        <w:rPr>
          <w:rFonts w:eastAsiaTheme="majorEastAsia"/>
        </w:rPr>
        <w:t xml:space="preserve"> and simply stopping the α7nAChR</w:t>
      </w:r>
      <w:r w:rsidR="222248F4" w:rsidRPr="222248F4">
        <w:rPr>
          <w:rFonts w:eastAsiaTheme="majorEastAsia"/>
        </w:rPr>
        <w:t xml:space="preserve"> - </w:t>
      </w:r>
      <w:r w:rsidRPr="001836F4">
        <w:rPr>
          <w:rFonts w:eastAsiaTheme="majorEastAsia"/>
        </w:rPr>
        <w:t xml:space="preserve">Aβ42 interaction would not </w:t>
      </w:r>
      <w:r w:rsidR="222248F4" w:rsidRPr="222248F4">
        <w:rPr>
          <w:rFonts w:eastAsiaTheme="majorEastAsia"/>
        </w:rPr>
        <w:t xml:space="preserve">eliminate the </w:t>
      </w:r>
      <w:r w:rsidRPr="001836F4">
        <w:rPr>
          <w:rFonts w:eastAsiaTheme="majorEastAsia"/>
        </w:rPr>
        <w:t xml:space="preserve">total toxicity of Aβ42 </w:t>
      </w:r>
      <w:r w:rsidR="007D4C30" w:rsidRPr="001836F4">
        <w:rPr>
          <w:rFonts w:eastAsiaTheme="majorEastAsia"/>
        </w:rPr>
        <w:t>(</w:t>
      </w:r>
      <w:hyperlink r:id="rId125">
        <w:r w:rsidR="6C3EDC1D" w:rsidRPr="001836F4">
          <w:rPr>
            <w:rStyle w:val="Hyperlink"/>
            <w:rFonts w:eastAsiaTheme="majorEastAsia"/>
          </w:rPr>
          <w:t>Moore et al., 2018</w:t>
        </w:r>
      </w:hyperlink>
      <w:r w:rsidR="007D4C30" w:rsidRPr="001836F4">
        <w:rPr>
          <w:rFonts w:eastAsiaTheme="majorEastAsia"/>
        </w:rPr>
        <w:t>)</w:t>
      </w:r>
      <w:r w:rsidRPr="001836F4">
        <w:rPr>
          <w:rFonts w:eastAsiaTheme="majorEastAsia"/>
        </w:rPr>
        <w:t xml:space="preserve">. Therefore, </w:t>
      </w:r>
      <w:r w:rsidR="222248F4" w:rsidRPr="222248F4">
        <w:rPr>
          <w:rFonts w:eastAsiaTheme="majorEastAsia"/>
        </w:rPr>
        <w:t>it proves the inefficacy</w:t>
      </w:r>
      <w:r w:rsidRPr="001836F4">
        <w:rPr>
          <w:rFonts w:eastAsiaTheme="majorEastAsia"/>
        </w:rPr>
        <w:t xml:space="preserve"> of Simufilam in Alzheimer's. Knowing that the alleged </w:t>
      </w:r>
      <w:r w:rsidR="222248F4" w:rsidRPr="222248F4">
        <w:t>interference</w:t>
      </w:r>
      <w:r w:rsidRPr="001836F4">
        <w:rPr>
          <w:rFonts w:eastAsiaTheme="majorEastAsia"/>
        </w:rPr>
        <w:t xml:space="preserve"> of Simufilam between α7nAChR and Aβ42 would not stop the toxicity of Aβ42</w:t>
      </w:r>
      <w:r w:rsidR="222248F4" w:rsidRPr="222248F4">
        <w:rPr>
          <w:rFonts w:eastAsiaTheme="majorEastAsia"/>
        </w:rPr>
        <w:t>,</w:t>
      </w:r>
      <w:r w:rsidRPr="001836F4">
        <w:rPr>
          <w:rFonts w:eastAsiaTheme="majorEastAsia"/>
        </w:rPr>
        <w:t xml:space="preserve"> even if the drug were to work as promoted by Cassava Sciences.</w:t>
      </w:r>
    </w:p>
    <w:p w14:paraId="597E76C0" w14:textId="689ED62A" w:rsidR="00653B39" w:rsidRPr="001836F4" w:rsidRDefault="00653B39" w:rsidP="222248F4">
      <w:pPr>
        <w:spacing w:line="360" w:lineRule="auto"/>
        <w:jc w:val="both"/>
        <w:rPr>
          <w:rFonts w:eastAsiaTheme="majorEastAsia"/>
        </w:rPr>
      </w:pPr>
    </w:p>
    <w:p w14:paraId="21B33E9C" w14:textId="4ABC911A" w:rsidR="00653B39" w:rsidRPr="001836F4" w:rsidRDefault="0013521F" w:rsidP="00F84A37">
      <w:pPr>
        <w:spacing w:line="360" w:lineRule="auto"/>
        <w:jc w:val="both"/>
        <w:rPr>
          <w:rFonts w:eastAsiaTheme="majorEastAsia"/>
        </w:rPr>
      </w:pPr>
      <w:r w:rsidRPr="001836F4">
        <w:rPr>
          <w:rFonts w:eastAsiaTheme="majorEastAsia"/>
        </w:rPr>
        <w:t>Simufilam focuses on the FLNA</w:t>
      </w:r>
      <w:r w:rsidR="222248F4" w:rsidRPr="222248F4">
        <w:rPr>
          <w:rFonts w:eastAsiaTheme="majorEastAsia"/>
        </w:rPr>
        <w:t xml:space="preserve"> </w:t>
      </w:r>
      <w:r w:rsidRPr="001836F4">
        <w:rPr>
          <w:rFonts w:eastAsiaTheme="majorEastAsia"/>
        </w:rPr>
        <w:t>- α7nAChR</w:t>
      </w:r>
      <w:r w:rsidR="222248F4" w:rsidRPr="222248F4">
        <w:rPr>
          <w:rFonts w:eastAsiaTheme="majorEastAsia"/>
        </w:rPr>
        <w:t xml:space="preserve"> - </w:t>
      </w:r>
      <w:r w:rsidRPr="001836F4">
        <w:rPr>
          <w:rFonts w:eastAsiaTheme="majorEastAsia"/>
        </w:rPr>
        <w:t xml:space="preserve">Aβ42 interaction and its impact on Alzheimer’s. However, it is not sufficient to </w:t>
      </w:r>
      <w:r w:rsidR="222248F4" w:rsidRPr="222248F4">
        <w:rPr>
          <w:rFonts w:eastAsiaTheme="majorEastAsia"/>
        </w:rPr>
        <w:t>focus solely on</w:t>
      </w:r>
      <w:r w:rsidRPr="001836F4">
        <w:rPr>
          <w:rFonts w:eastAsiaTheme="majorEastAsia"/>
        </w:rPr>
        <w:t xml:space="preserve"> this mechanism of Aβ42 toxicity, </w:t>
      </w:r>
      <w:r w:rsidR="6C3EDC1D" w:rsidRPr="001836F4">
        <w:rPr>
          <w:rFonts w:eastAsiaTheme="majorEastAsia"/>
        </w:rPr>
        <w:t>since</w:t>
      </w:r>
      <w:r w:rsidRPr="001836F4">
        <w:rPr>
          <w:rFonts w:eastAsiaTheme="majorEastAsia"/>
        </w:rPr>
        <w:t xml:space="preserve"> Aβ42 exerts its toxicity through multiple channels</w:t>
      </w:r>
      <w:r w:rsidR="222248F4" w:rsidRPr="222248F4">
        <w:rPr>
          <w:rFonts w:eastAsiaTheme="majorEastAsia"/>
        </w:rPr>
        <w:t>,</w:t>
      </w:r>
      <w:r w:rsidRPr="001836F4">
        <w:rPr>
          <w:rFonts w:eastAsiaTheme="majorEastAsia"/>
        </w:rPr>
        <w:t xml:space="preserve"> and stopping just one of them (α7nAChR) might not be </w:t>
      </w:r>
      <w:r w:rsidR="222248F4" w:rsidRPr="222248F4">
        <w:t>enough</w:t>
      </w:r>
      <w:r w:rsidRPr="001836F4">
        <w:rPr>
          <w:rFonts w:eastAsiaTheme="majorEastAsia"/>
        </w:rPr>
        <w:t xml:space="preserve"> to protect </w:t>
      </w:r>
      <w:r w:rsidR="222248F4" w:rsidRPr="222248F4">
        <w:rPr>
          <w:rFonts w:eastAsiaTheme="majorEastAsia"/>
        </w:rPr>
        <w:t xml:space="preserve">against </w:t>
      </w:r>
      <w:r w:rsidRPr="001836F4">
        <w:rPr>
          <w:rFonts w:eastAsiaTheme="majorEastAsia"/>
        </w:rPr>
        <w:t xml:space="preserve">neuronal damage and </w:t>
      </w:r>
      <w:r w:rsidR="222248F4" w:rsidRPr="222248F4">
        <w:rPr>
          <w:rFonts w:eastAsiaTheme="majorEastAsia"/>
        </w:rPr>
        <w:t xml:space="preserve">the </w:t>
      </w:r>
      <w:r w:rsidRPr="001836F4">
        <w:rPr>
          <w:rFonts w:eastAsiaTheme="majorEastAsia"/>
        </w:rPr>
        <w:t xml:space="preserve">overall damage caused by Aβ42 in Alzheimer’s </w:t>
      </w:r>
      <w:r w:rsidR="00A61A3C" w:rsidRPr="001836F4">
        <w:rPr>
          <w:rFonts w:eastAsiaTheme="majorEastAsia"/>
        </w:rPr>
        <w:t>(</w:t>
      </w:r>
      <w:hyperlink r:id="rId126">
        <w:r w:rsidR="6C3EDC1D" w:rsidRPr="001836F4">
          <w:rPr>
            <w:rStyle w:val="Hyperlink"/>
          </w:rPr>
          <w:t>Azargoonjahromi, 2024</w:t>
        </w:r>
      </w:hyperlink>
      <w:r w:rsidR="00A61A3C" w:rsidRPr="001836F4">
        <w:rPr>
          <w:rFonts w:eastAsiaTheme="majorEastAsia"/>
        </w:rPr>
        <w:t>)</w:t>
      </w:r>
      <w:r w:rsidRPr="001836F4">
        <w:rPr>
          <w:rFonts w:eastAsiaTheme="majorEastAsia"/>
        </w:rPr>
        <w:t xml:space="preserve">. </w:t>
      </w:r>
    </w:p>
    <w:p w14:paraId="5F5C8D54" w14:textId="77777777" w:rsidR="00653B39" w:rsidRPr="001836F4" w:rsidRDefault="00653B39" w:rsidP="00F84A37">
      <w:pPr>
        <w:spacing w:line="360" w:lineRule="auto"/>
        <w:jc w:val="both"/>
        <w:rPr>
          <w:rFonts w:eastAsiaTheme="majorEastAsia"/>
        </w:rPr>
      </w:pPr>
    </w:p>
    <w:p w14:paraId="75879953" w14:textId="594AF9F5" w:rsidR="6DE93532" w:rsidRPr="001836F4" w:rsidRDefault="0013521F" w:rsidP="6DE93532">
      <w:pPr>
        <w:spacing w:line="360" w:lineRule="auto"/>
        <w:jc w:val="both"/>
        <w:rPr>
          <w:rFonts w:eastAsiaTheme="majorEastAsia"/>
        </w:rPr>
      </w:pPr>
      <w:r w:rsidRPr="001836F4">
        <w:rPr>
          <w:rFonts w:eastAsiaTheme="majorEastAsia"/>
        </w:rPr>
        <w:t>Furthermore, Alzheimer’s</w:t>
      </w:r>
      <w:r w:rsidR="222248F4" w:rsidRPr="222248F4">
        <w:rPr>
          <w:rFonts w:eastAsiaTheme="majorEastAsia"/>
        </w:rPr>
        <w:t>,</w:t>
      </w:r>
      <w:r w:rsidRPr="001836F4">
        <w:rPr>
          <w:rFonts w:eastAsiaTheme="majorEastAsia"/>
        </w:rPr>
        <w:t xml:space="preserve"> being a complicated disease</w:t>
      </w:r>
      <w:r w:rsidR="222248F4" w:rsidRPr="222248F4">
        <w:rPr>
          <w:rFonts w:eastAsiaTheme="majorEastAsia"/>
        </w:rPr>
        <w:t>,</w:t>
      </w:r>
      <w:r w:rsidRPr="001836F4">
        <w:rPr>
          <w:rFonts w:eastAsiaTheme="majorEastAsia"/>
        </w:rPr>
        <w:t xml:space="preserve"> might </w:t>
      </w:r>
      <w:r w:rsidR="222248F4" w:rsidRPr="222248F4">
        <w:t>require</w:t>
      </w:r>
      <w:r w:rsidRPr="001836F4">
        <w:rPr>
          <w:rFonts w:eastAsiaTheme="majorEastAsia"/>
        </w:rPr>
        <w:t xml:space="preserve"> combined therapy to have a full effect, considering that it is a multi-factorial disease </w:t>
      </w:r>
      <w:r w:rsidR="00653B39" w:rsidRPr="001836F4">
        <w:rPr>
          <w:rFonts w:eastAsiaTheme="majorEastAsia"/>
        </w:rPr>
        <w:t>(</w:t>
      </w:r>
      <w:hyperlink r:id="rId127">
        <w:r w:rsidR="6DE93532" w:rsidRPr="001836F4">
          <w:rPr>
            <w:rStyle w:val="Hyperlink"/>
            <w:rFonts w:eastAsiaTheme="majorEastAsia"/>
          </w:rPr>
          <w:t>Carreiras et al., 2013</w:t>
        </w:r>
      </w:hyperlink>
      <w:r w:rsidR="6DE93532" w:rsidRPr="001836F4">
        <w:rPr>
          <w:rFonts w:eastAsiaTheme="majorEastAsia"/>
        </w:rPr>
        <w:t>).</w:t>
      </w:r>
      <w:r w:rsidRPr="001836F4">
        <w:rPr>
          <w:rFonts w:eastAsiaTheme="majorEastAsia"/>
        </w:rPr>
        <w:t xml:space="preserve"> Multiple therapeutic agents composed </w:t>
      </w:r>
      <w:r w:rsidR="222248F4" w:rsidRPr="222248F4">
        <w:rPr>
          <w:rFonts w:eastAsiaTheme="majorEastAsia"/>
        </w:rPr>
        <w:t xml:space="preserve">of </w:t>
      </w:r>
      <w:r w:rsidRPr="001836F4">
        <w:rPr>
          <w:rFonts w:eastAsiaTheme="majorEastAsia"/>
        </w:rPr>
        <w:t>amyloid clearance, reduction of tau pathology, and additional mechanisms of Alzheimer's disease could be the solution</w:t>
      </w:r>
      <w:r w:rsidR="222248F4" w:rsidRPr="222248F4">
        <w:rPr>
          <w:rFonts w:eastAsiaTheme="majorEastAsia"/>
        </w:rPr>
        <w:t>;</w:t>
      </w:r>
      <w:r w:rsidRPr="001836F4">
        <w:rPr>
          <w:rFonts w:eastAsiaTheme="majorEastAsia"/>
        </w:rPr>
        <w:t xml:space="preserve"> still</w:t>
      </w:r>
      <w:r w:rsidR="222248F4" w:rsidRPr="222248F4">
        <w:rPr>
          <w:rFonts w:eastAsiaTheme="majorEastAsia"/>
        </w:rPr>
        <w:t>,</w:t>
      </w:r>
      <w:r w:rsidRPr="001836F4">
        <w:rPr>
          <w:rFonts w:eastAsiaTheme="majorEastAsia"/>
        </w:rPr>
        <w:t xml:space="preserve"> this is only a theory.</w:t>
      </w:r>
    </w:p>
    <w:p w14:paraId="79D7C125" w14:textId="69248877" w:rsidR="222248F4" w:rsidRDefault="222248F4" w:rsidP="222248F4">
      <w:pPr>
        <w:spacing w:line="360" w:lineRule="auto"/>
        <w:jc w:val="both"/>
        <w:rPr>
          <w:rFonts w:eastAsiaTheme="majorEastAsia"/>
        </w:rPr>
      </w:pPr>
    </w:p>
    <w:p w14:paraId="0950E575" w14:textId="36EE3912" w:rsidR="0013521F" w:rsidRPr="001836F4" w:rsidRDefault="0013521F" w:rsidP="00F84A37">
      <w:pPr>
        <w:spacing w:line="360" w:lineRule="auto"/>
        <w:jc w:val="both"/>
        <w:rPr>
          <w:rFonts w:eastAsiaTheme="majorEastAsia"/>
        </w:rPr>
      </w:pPr>
      <w:r w:rsidRPr="001836F4">
        <w:rPr>
          <w:rFonts w:eastAsiaTheme="majorEastAsia"/>
        </w:rPr>
        <w:t xml:space="preserve">Thirdly, </w:t>
      </w:r>
      <w:r w:rsidR="0C4784F5" w:rsidRPr="0C4784F5">
        <w:rPr>
          <w:rFonts w:eastAsiaTheme="majorEastAsia"/>
        </w:rPr>
        <w:t>Simufilam’s</w:t>
      </w:r>
      <w:r w:rsidRPr="001836F4">
        <w:rPr>
          <w:rFonts w:eastAsiaTheme="majorEastAsia"/>
        </w:rPr>
        <w:t xml:space="preserve"> limited efficacy on microglial activation is also a critical limitation. Although Simufilam claims to have some anti-inflammatory effects, it does not cover the </w:t>
      </w:r>
      <w:r w:rsidR="222248F4" w:rsidRPr="222248F4">
        <w:rPr>
          <w:rFonts w:eastAsiaTheme="majorEastAsia"/>
        </w:rPr>
        <w:t>full</w:t>
      </w:r>
      <w:r w:rsidRPr="001836F4">
        <w:rPr>
          <w:rFonts w:eastAsiaTheme="majorEastAsia"/>
        </w:rPr>
        <w:t xml:space="preserve"> scope of the effects</w:t>
      </w:r>
      <w:r w:rsidR="00281F6C" w:rsidRPr="001836F4">
        <w:rPr>
          <w:rFonts w:eastAsiaTheme="majorEastAsia"/>
        </w:rPr>
        <w:t xml:space="preserve"> (</w:t>
      </w:r>
      <w:hyperlink r:id="rId128">
        <w:r w:rsidR="0C4784F5" w:rsidRPr="0C4784F5">
          <w:rPr>
            <w:rStyle w:val="Hyperlink"/>
            <w:rFonts w:eastAsiaTheme="majorEastAsia"/>
          </w:rPr>
          <w:t>Meraz-Rios et al., 2013</w:t>
        </w:r>
      </w:hyperlink>
      <w:r w:rsidR="00281F6C" w:rsidRPr="001836F4">
        <w:rPr>
          <w:rFonts w:eastAsiaTheme="majorEastAsia"/>
        </w:rPr>
        <w:t>)</w:t>
      </w:r>
      <w:r w:rsidRPr="001836F4">
        <w:rPr>
          <w:rFonts w:eastAsiaTheme="majorEastAsia"/>
        </w:rPr>
        <w:t xml:space="preserve">. It does not directly target chronic neuroinflammation, </w:t>
      </w:r>
      <w:r w:rsidR="222248F4" w:rsidRPr="222248F4">
        <w:rPr>
          <w:rFonts w:eastAsiaTheme="majorEastAsia"/>
        </w:rPr>
        <w:t xml:space="preserve">which </w:t>
      </w:r>
      <w:r w:rsidRPr="001836F4">
        <w:rPr>
          <w:rFonts w:eastAsiaTheme="majorEastAsia"/>
        </w:rPr>
        <w:t xml:space="preserve">is in most cases associated with Aβ42 accumulation. The importance of </w:t>
      </w:r>
      <w:r w:rsidR="222248F4" w:rsidRPr="222248F4">
        <w:rPr>
          <w:rFonts w:eastAsiaTheme="majorEastAsia"/>
        </w:rPr>
        <w:t>this is</w:t>
      </w:r>
      <w:r w:rsidRPr="001836F4">
        <w:rPr>
          <w:rFonts w:eastAsiaTheme="majorEastAsia"/>
        </w:rPr>
        <w:t xml:space="preserve"> that chronic neuroinflammation increases neurodegeneration and contributes to cognitive decline</w:t>
      </w:r>
      <w:r w:rsidR="00792759" w:rsidRPr="001836F4">
        <w:rPr>
          <w:rFonts w:eastAsiaTheme="majorEastAsia"/>
        </w:rPr>
        <w:t xml:space="preserve"> (</w:t>
      </w:r>
      <w:hyperlink r:id="rId129">
        <w:r w:rsidR="0C4784F5" w:rsidRPr="0C4784F5">
          <w:rPr>
            <w:rStyle w:val="Hyperlink"/>
            <w:rFonts w:eastAsiaTheme="majorEastAsia"/>
          </w:rPr>
          <w:t>Chen and Yu, 2023</w:t>
        </w:r>
      </w:hyperlink>
      <w:r w:rsidR="0C4784F5" w:rsidRPr="0C4784F5">
        <w:rPr>
          <w:rFonts w:eastAsiaTheme="majorEastAsia"/>
        </w:rPr>
        <w:t>) (</w:t>
      </w:r>
      <w:hyperlink r:id="rId130">
        <w:r w:rsidR="0C4784F5" w:rsidRPr="0C4784F5">
          <w:rPr>
            <w:rStyle w:val="Hyperlink"/>
            <w:rFonts w:eastAsiaTheme="majorEastAsia"/>
          </w:rPr>
          <w:t>Zi-Zhen et al., 2023</w:t>
        </w:r>
      </w:hyperlink>
      <w:r w:rsidR="0C4784F5" w:rsidRPr="0C4784F5">
        <w:rPr>
          <w:rFonts w:eastAsiaTheme="majorEastAsia"/>
        </w:rPr>
        <w:t>).</w:t>
      </w:r>
      <w:r w:rsidRPr="001836F4">
        <w:rPr>
          <w:rFonts w:eastAsiaTheme="majorEastAsia"/>
        </w:rPr>
        <w:t xml:space="preserve"> This grave issue is not </w:t>
      </w:r>
      <w:r w:rsidR="222248F4" w:rsidRPr="222248F4">
        <w:rPr>
          <w:rFonts w:eastAsiaTheme="majorEastAsia"/>
        </w:rPr>
        <w:t>adequately addressed</w:t>
      </w:r>
      <w:r w:rsidRPr="001836F4">
        <w:rPr>
          <w:rFonts w:eastAsiaTheme="majorEastAsia"/>
        </w:rPr>
        <w:t xml:space="preserve"> or focused </w:t>
      </w:r>
      <w:r w:rsidR="222248F4" w:rsidRPr="222248F4">
        <w:rPr>
          <w:rFonts w:eastAsiaTheme="majorEastAsia"/>
        </w:rPr>
        <w:t xml:space="preserve">on </w:t>
      </w:r>
      <w:r w:rsidRPr="001836F4">
        <w:rPr>
          <w:rFonts w:eastAsiaTheme="majorEastAsia"/>
        </w:rPr>
        <w:t xml:space="preserve">by </w:t>
      </w:r>
      <w:r w:rsidR="222248F4" w:rsidRPr="222248F4">
        <w:rPr>
          <w:rFonts w:eastAsiaTheme="majorEastAsia"/>
        </w:rPr>
        <w:t>Simufilam</w:t>
      </w:r>
      <w:r w:rsidRPr="001836F4">
        <w:rPr>
          <w:rFonts w:eastAsiaTheme="majorEastAsia"/>
        </w:rPr>
        <w:t xml:space="preserve">, which makes </w:t>
      </w:r>
      <w:r w:rsidR="222248F4" w:rsidRPr="222248F4">
        <w:rPr>
          <w:rFonts w:eastAsiaTheme="majorEastAsia"/>
        </w:rPr>
        <w:t xml:space="preserve">it an </w:t>
      </w:r>
      <w:r w:rsidRPr="001836F4">
        <w:rPr>
          <w:rFonts w:eastAsiaTheme="majorEastAsia"/>
        </w:rPr>
        <w:t>even less eligible candidate</w:t>
      </w:r>
      <w:r w:rsidR="222248F4" w:rsidRPr="222248F4">
        <w:rPr>
          <w:rFonts w:eastAsiaTheme="majorEastAsia"/>
        </w:rPr>
        <w:t>,</w:t>
      </w:r>
      <w:r w:rsidRPr="001836F4">
        <w:rPr>
          <w:rFonts w:eastAsiaTheme="majorEastAsia"/>
        </w:rPr>
        <w:t xml:space="preserve"> as it does not affect neuronal death that occurs in Alzheimer’s </w:t>
      </w:r>
      <w:r w:rsidR="00151371" w:rsidRPr="001836F4">
        <w:rPr>
          <w:rFonts w:eastAsiaTheme="majorEastAsia"/>
        </w:rPr>
        <w:t>(</w:t>
      </w:r>
      <w:hyperlink r:id="rId131">
        <w:r w:rsidR="0C4784F5" w:rsidRPr="0C4784F5">
          <w:rPr>
            <w:rStyle w:val="Hyperlink"/>
            <w:rFonts w:eastAsiaTheme="majorEastAsia"/>
          </w:rPr>
          <w:t>Takuma et al., 2004</w:t>
        </w:r>
      </w:hyperlink>
      <w:r w:rsidR="00151371" w:rsidRPr="001836F4">
        <w:rPr>
          <w:rFonts w:eastAsiaTheme="majorEastAsia"/>
        </w:rPr>
        <w:t>)</w:t>
      </w:r>
      <w:r w:rsidR="00537785" w:rsidRPr="001836F4">
        <w:rPr>
          <w:rFonts w:eastAsiaTheme="majorEastAsia"/>
        </w:rPr>
        <w:t>.</w:t>
      </w:r>
      <w:r w:rsidRPr="001836F4">
        <w:rPr>
          <w:rFonts w:eastAsiaTheme="majorEastAsia"/>
        </w:rPr>
        <w:t xml:space="preserve"> In addition, Simufilam </w:t>
      </w:r>
      <w:r w:rsidR="222248F4" w:rsidRPr="222248F4">
        <w:rPr>
          <w:rFonts w:eastAsiaTheme="majorEastAsia"/>
        </w:rPr>
        <w:t>has been shown</w:t>
      </w:r>
      <w:r w:rsidRPr="001836F4">
        <w:rPr>
          <w:rFonts w:eastAsiaTheme="majorEastAsia"/>
        </w:rPr>
        <w:t xml:space="preserve"> to be ineffective against inflammatory cytokine release. The release of pro-inflammatory cytokines in response to Aβ42 accumulation</w:t>
      </w:r>
      <w:r w:rsidR="222248F4" w:rsidRPr="222248F4">
        <w:rPr>
          <w:rFonts w:eastAsiaTheme="majorEastAsia"/>
        </w:rPr>
        <w:t>,</w:t>
      </w:r>
      <w:r w:rsidRPr="001836F4">
        <w:rPr>
          <w:rFonts w:eastAsiaTheme="majorEastAsia"/>
        </w:rPr>
        <w:t xml:space="preserve"> and the increase level of amyloid plaques that occurs in Alzheimer’s is not challenged by Simufilam. Thereby allowing neuroinflammation to continue its growth and impact. </w:t>
      </w:r>
    </w:p>
    <w:p w14:paraId="4F506AB7" w14:textId="77777777" w:rsidR="00537785" w:rsidRPr="001836F4" w:rsidRDefault="00537785" w:rsidP="00F84A37">
      <w:pPr>
        <w:spacing w:line="360" w:lineRule="auto"/>
        <w:jc w:val="both"/>
      </w:pPr>
    </w:p>
    <w:p w14:paraId="42540914" w14:textId="7539B2BE" w:rsidR="798B4E7A" w:rsidRDefault="0013521F" w:rsidP="798B4E7A">
      <w:pPr>
        <w:spacing w:line="360" w:lineRule="auto"/>
        <w:jc w:val="both"/>
        <w:rPr>
          <w:rFonts w:eastAsiaTheme="majorEastAsia"/>
        </w:rPr>
      </w:pPr>
      <w:r w:rsidRPr="001836F4">
        <w:rPr>
          <w:rFonts w:eastAsiaTheme="majorEastAsia"/>
        </w:rPr>
        <w:lastRenderedPageBreak/>
        <w:t xml:space="preserve">Fourthly, when evaluating the efficiency of Simufilam </w:t>
      </w:r>
      <w:r w:rsidR="222248F4" w:rsidRPr="222248F4">
        <w:rPr>
          <w:rFonts w:eastAsiaTheme="majorEastAsia"/>
        </w:rPr>
        <w:t>in relation to</w:t>
      </w:r>
      <w:r w:rsidRPr="001836F4">
        <w:rPr>
          <w:rFonts w:eastAsiaTheme="majorEastAsia"/>
        </w:rPr>
        <w:t xml:space="preserve"> synaptic damage that occurs in Alzheimer’s</w:t>
      </w:r>
      <w:r w:rsidR="222248F4" w:rsidRPr="222248F4">
        <w:rPr>
          <w:rFonts w:eastAsiaTheme="majorEastAsia"/>
        </w:rPr>
        <w:t xml:space="preserve"> disease.</w:t>
      </w:r>
      <w:r w:rsidRPr="001836F4">
        <w:rPr>
          <w:rFonts w:eastAsiaTheme="majorEastAsia"/>
        </w:rPr>
        <w:t xml:space="preserve"> Simufilam </w:t>
      </w:r>
      <w:r w:rsidR="222248F4" w:rsidRPr="222248F4">
        <w:rPr>
          <w:rFonts w:eastAsiaTheme="majorEastAsia"/>
        </w:rPr>
        <w:t>allegedly</w:t>
      </w:r>
      <w:r w:rsidRPr="001836F4">
        <w:rPr>
          <w:rFonts w:eastAsiaTheme="majorEastAsia"/>
        </w:rPr>
        <w:t xml:space="preserve"> partially improves synaptic function through its effects on </w:t>
      </w:r>
      <w:r w:rsidR="5B2FB453" w:rsidRPr="001836F4">
        <w:rPr>
          <w:rFonts w:eastAsiaTheme="majorEastAsia"/>
        </w:rPr>
        <w:t>FLNA</w:t>
      </w:r>
      <w:r w:rsidR="300282F3" w:rsidRPr="001836F4">
        <w:rPr>
          <w:rFonts w:eastAsiaTheme="majorEastAsia"/>
        </w:rPr>
        <w:t xml:space="preserve"> (</w:t>
      </w:r>
      <w:hyperlink r:id="rId132">
        <w:r w:rsidR="300282F3" w:rsidRPr="001836F4">
          <w:rPr>
            <w:rStyle w:val="Hyperlink"/>
            <w:rFonts w:eastAsiaTheme="majorEastAsia"/>
          </w:rPr>
          <w:t>Wang et al., 2023</w:t>
        </w:r>
      </w:hyperlink>
      <w:r w:rsidR="61770642" w:rsidRPr="001836F4">
        <w:rPr>
          <w:rFonts w:eastAsiaTheme="majorEastAsia"/>
        </w:rPr>
        <w:t xml:space="preserve">). </w:t>
      </w:r>
      <w:r w:rsidRPr="001836F4">
        <w:rPr>
          <w:rFonts w:eastAsiaTheme="majorEastAsia"/>
        </w:rPr>
        <w:t xml:space="preserve">However, it may not fully restore synaptic integrity </w:t>
      </w:r>
      <w:r w:rsidR="222248F4" w:rsidRPr="222248F4">
        <w:rPr>
          <w:rFonts w:eastAsiaTheme="majorEastAsia"/>
        </w:rPr>
        <w:t xml:space="preserve">or restore it at all, given the </w:t>
      </w:r>
      <w:r w:rsidRPr="001836F4">
        <w:rPr>
          <w:rFonts w:eastAsiaTheme="majorEastAsia"/>
        </w:rPr>
        <w:t xml:space="preserve">remaining high levels of Aβ42 caused by </w:t>
      </w:r>
      <w:r w:rsidR="222248F4" w:rsidRPr="222248F4">
        <w:rPr>
          <w:rFonts w:eastAsiaTheme="majorEastAsia"/>
        </w:rPr>
        <w:t>its</w:t>
      </w:r>
      <w:r w:rsidRPr="001836F4">
        <w:rPr>
          <w:rFonts w:eastAsiaTheme="majorEastAsia"/>
        </w:rPr>
        <w:t xml:space="preserve"> non-clearance</w:t>
      </w:r>
      <w:r w:rsidR="222248F4" w:rsidRPr="222248F4">
        <w:rPr>
          <w:rFonts w:eastAsiaTheme="majorEastAsia"/>
        </w:rPr>
        <w:t>.</w:t>
      </w:r>
      <w:r w:rsidRPr="001836F4">
        <w:rPr>
          <w:rFonts w:eastAsiaTheme="majorEastAsia"/>
        </w:rPr>
        <w:t xml:space="preserve"> Despite the alleged FLNA stabilization, some Aβ42 toxicity could remain. These toxicities could cause disruption of synaptic signaling and the receptor internalization. In addition, the limited efficacy that Simufilam has on oligomer toxicity</w:t>
      </w:r>
      <w:r w:rsidR="222248F4" w:rsidRPr="222248F4">
        <w:rPr>
          <w:rFonts w:eastAsiaTheme="majorEastAsia"/>
        </w:rPr>
        <w:t>,</w:t>
      </w:r>
      <w:r w:rsidRPr="001836F4">
        <w:rPr>
          <w:rFonts w:eastAsiaTheme="majorEastAsia"/>
        </w:rPr>
        <w:t xml:space="preserve"> such as Aβ42</w:t>
      </w:r>
      <w:r w:rsidR="222248F4" w:rsidRPr="222248F4">
        <w:rPr>
          <w:rFonts w:eastAsiaTheme="majorEastAsia"/>
        </w:rPr>
        <w:t>,</w:t>
      </w:r>
      <w:r w:rsidRPr="001836F4">
        <w:rPr>
          <w:rFonts w:eastAsiaTheme="majorEastAsia"/>
        </w:rPr>
        <w:t xml:space="preserve"> can lead to synaptic damage in Alzheimer’s</w:t>
      </w:r>
      <w:r w:rsidR="222248F4" w:rsidRPr="222248F4">
        <w:rPr>
          <w:rFonts w:eastAsiaTheme="majorEastAsia"/>
        </w:rPr>
        <w:t>.</w:t>
      </w:r>
      <w:r w:rsidRPr="001836F4">
        <w:rPr>
          <w:rFonts w:eastAsiaTheme="majorEastAsia"/>
        </w:rPr>
        <w:t xml:space="preserve"> </w:t>
      </w:r>
      <w:r w:rsidR="00705B6B" w:rsidRPr="001836F4">
        <w:rPr>
          <w:rFonts w:eastAsiaTheme="majorEastAsia"/>
        </w:rPr>
        <w:t>(</w:t>
      </w:r>
      <w:hyperlink r:id="rId133">
        <w:r w:rsidR="5D119E19" w:rsidRPr="001836F4">
          <w:rPr>
            <w:rStyle w:val="Hyperlink"/>
            <w:rFonts w:eastAsiaTheme="majorEastAsia"/>
          </w:rPr>
          <w:t>Barucker et al., 2015</w:t>
        </w:r>
      </w:hyperlink>
      <w:r w:rsidR="5D119E19" w:rsidRPr="001836F4">
        <w:rPr>
          <w:rFonts w:eastAsiaTheme="majorEastAsia"/>
        </w:rPr>
        <w:t xml:space="preserve">). The sole action of </w:t>
      </w:r>
      <w:r w:rsidR="10C65D06" w:rsidRPr="10C65D06">
        <w:rPr>
          <w:rFonts w:eastAsiaTheme="majorEastAsia"/>
        </w:rPr>
        <w:t>Simufilam</w:t>
      </w:r>
      <w:r w:rsidR="5D119E19" w:rsidRPr="001836F4">
        <w:rPr>
          <w:rFonts w:eastAsiaTheme="majorEastAsia"/>
        </w:rPr>
        <w:t xml:space="preserve"> on FLNA,</w:t>
      </w:r>
      <w:r w:rsidRPr="001836F4">
        <w:rPr>
          <w:rFonts w:eastAsiaTheme="majorEastAsia"/>
        </w:rPr>
        <w:t xml:space="preserve"> even if successful, would not be </w:t>
      </w:r>
      <w:r w:rsidR="0EE0FA0C" w:rsidRPr="0EE0FA0C">
        <w:rPr>
          <w:rFonts w:eastAsiaTheme="majorEastAsia"/>
        </w:rPr>
        <w:t>sufficient</w:t>
      </w:r>
      <w:r w:rsidRPr="001836F4">
        <w:rPr>
          <w:rFonts w:eastAsiaTheme="majorEastAsia"/>
        </w:rPr>
        <w:t xml:space="preserve"> to nearly counteract the multiple damaging effects of Aβ42 oligomers on synapses</w:t>
      </w:r>
      <w:r w:rsidR="10C65D06" w:rsidRPr="10C65D06">
        <w:rPr>
          <w:rFonts w:eastAsiaTheme="majorEastAsia"/>
        </w:rPr>
        <w:t>.</w:t>
      </w:r>
      <w:r w:rsidRPr="001836F4">
        <w:rPr>
          <w:rFonts w:eastAsiaTheme="majorEastAsia"/>
        </w:rPr>
        <w:t xml:space="preserve"> </w:t>
      </w:r>
      <w:r w:rsidR="00624A40" w:rsidRPr="001836F4">
        <w:rPr>
          <w:rFonts w:eastAsiaTheme="majorEastAsia"/>
        </w:rPr>
        <w:t>(</w:t>
      </w:r>
      <w:hyperlink r:id="rId134">
        <w:r w:rsidR="5D119E19" w:rsidRPr="001836F4">
          <w:rPr>
            <w:rStyle w:val="Hyperlink"/>
            <w:rFonts w:eastAsiaTheme="majorEastAsia"/>
          </w:rPr>
          <w:t>Takahashi et al., 2004</w:t>
        </w:r>
      </w:hyperlink>
      <w:r w:rsidR="798B4E7A" w:rsidRPr="798B4E7A">
        <w:rPr>
          <w:rFonts w:eastAsiaTheme="majorEastAsia"/>
        </w:rPr>
        <w:t>). Therefore, Simufilam is prone to inefficacy concerning synaptic damage.</w:t>
      </w:r>
    </w:p>
    <w:p w14:paraId="62D2AEED" w14:textId="77777777" w:rsidR="00D5178B" w:rsidRPr="001836F4" w:rsidRDefault="00D5178B" w:rsidP="00F84A37">
      <w:pPr>
        <w:spacing w:line="360" w:lineRule="auto"/>
        <w:jc w:val="both"/>
        <w:rPr>
          <w:rFonts w:eastAsiaTheme="majorEastAsia"/>
        </w:rPr>
      </w:pPr>
    </w:p>
    <w:p w14:paraId="5C931337" w14:textId="48396A2B" w:rsidR="0013521F" w:rsidRPr="001836F4" w:rsidRDefault="0013521F" w:rsidP="0E5DBA30">
      <w:pPr>
        <w:spacing w:line="360" w:lineRule="auto"/>
        <w:jc w:val="both"/>
        <w:rPr>
          <w:rFonts w:eastAsiaTheme="majorEastAsia"/>
        </w:rPr>
      </w:pPr>
      <w:r w:rsidRPr="001836F4">
        <w:rPr>
          <w:rFonts w:eastAsiaTheme="majorEastAsia"/>
        </w:rPr>
        <w:t xml:space="preserve">Fifthly, Simufilam provides no clear </w:t>
      </w:r>
      <w:r w:rsidR="0E5DBA30" w:rsidRPr="0E5DBA30">
        <w:rPr>
          <w:rFonts w:eastAsiaTheme="majorEastAsia"/>
        </w:rPr>
        <w:t>proof of a</w:t>
      </w:r>
      <w:r w:rsidRPr="001836F4">
        <w:rPr>
          <w:rFonts w:eastAsiaTheme="majorEastAsia"/>
        </w:rPr>
        <w:t xml:space="preserve"> solution for tau pathology</w:t>
      </w:r>
      <w:r w:rsidR="0E5DBA30" w:rsidRPr="0E5DBA30">
        <w:rPr>
          <w:rFonts w:eastAsiaTheme="majorEastAsia"/>
        </w:rPr>
        <w:t>.</w:t>
      </w:r>
      <w:r w:rsidRPr="001836F4">
        <w:rPr>
          <w:rFonts w:eastAsiaTheme="majorEastAsia"/>
        </w:rPr>
        <w:t xml:space="preserve"> The tau pathology involves hyperphosphorylation of tau protein and </w:t>
      </w:r>
      <w:r w:rsidR="0E5DBA30" w:rsidRPr="0E5DBA30">
        <w:rPr>
          <w:rFonts w:eastAsiaTheme="majorEastAsia"/>
        </w:rPr>
        <w:t>increased levels</w:t>
      </w:r>
      <w:r w:rsidRPr="001836F4">
        <w:rPr>
          <w:rFonts w:eastAsiaTheme="majorEastAsia"/>
        </w:rPr>
        <w:t xml:space="preserve"> and aggregation of the tau protein</w:t>
      </w:r>
      <w:r w:rsidR="0E5DBA30" w:rsidRPr="0E5DBA30">
        <w:rPr>
          <w:rFonts w:eastAsiaTheme="majorEastAsia"/>
        </w:rPr>
        <w:t>;</w:t>
      </w:r>
      <w:r w:rsidRPr="001836F4">
        <w:rPr>
          <w:rFonts w:eastAsiaTheme="majorEastAsia"/>
        </w:rPr>
        <w:t xml:space="preserve"> this leads to the formation of neurofibrillary tangles (NFTs)</w:t>
      </w:r>
      <w:r w:rsidR="00D5178B" w:rsidRPr="001836F4">
        <w:rPr>
          <w:rFonts w:eastAsiaTheme="majorEastAsia"/>
        </w:rPr>
        <w:t xml:space="preserve"> (</w:t>
      </w:r>
      <w:hyperlink r:id="rId135">
        <w:r w:rsidR="5D119E19" w:rsidRPr="001836F4">
          <w:rPr>
            <w:rStyle w:val="Hyperlink"/>
            <w:rFonts w:eastAsiaTheme="majorEastAsia"/>
          </w:rPr>
          <w:t>Miao et al., 2019</w:t>
        </w:r>
      </w:hyperlink>
      <w:r w:rsidR="5D119E19" w:rsidRPr="001836F4">
        <w:rPr>
          <w:rFonts w:eastAsiaTheme="majorEastAsia"/>
        </w:rPr>
        <w:t>).</w:t>
      </w:r>
      <w:r w:rsidRPr="001836F4">
        <w:rPr>
          <w:rFonts w:eastAsiaTheme="majorEastAsia"/>
        </w:rPr>
        <w:t xml:space="preserve"> NFTs have a decisive role in the development of Alzheimer’s with Aβ - as they are the hallmarks in Alzheimer’s </w:t>
      </w:r>
      <w:r w:rsidR="0005015A" w:rsidRPr="001836F4">
        <w:rPr>
          <w:rFonts w:eastAsiaTheme="majorEastAsia"/>
        </w:rPr>
        <w:t>(</w:t>
      </w:r>
      <w:hyperlink r:id="rId136">
        <w:r w:rsidR="5D119E19" w:rsidRPr="001836F4">
          <w:rPr>
            <w:rStyle w:val="Hyperlink"/>
            <w:rFonts w:eastAsiaTheme="majorEastAsia"/>
          </w:rPr>
          <w:t>Mahaman et al., 2021</w:t>
        </w:r>
      </w:hyperlink>
      <w:r w:rsidR="0005015A" w:rsidRPr="001836F4">
        <w:rPr>
          <w:rFonts w:eastAsiaTheme="majorEastAsia"/>
        </w:rPr>
        <w:t>)</w:t>
      </w:r>
      <w:r w:rsidRPr="001836F4">
        <w:rPr>
          <w:rFonts w:eastAsiaTheme="majorEastAsia"/>
        </w:rPr>
        <w:t xml:space="preserve">. Besides, Simufilam does not engage in the blockade or reduction of tau hyperphosphorylation. This lack of impact on tau hyperphosphorylation or aggregation is a critical limitation for Simufilam’s efficiency, as tau proteins are </w:t>
      </w:r>
      <w:r w:rsidR="0E5DBA30" w:rsidRPr="0E5DBA30">
        <w:rPr>
          <w:rFonts w:eastAsiaTheme="majorEastAsia"/>
        </w:rPr>
        <w:t>among</w:t>
      </w:r>
      <w:r w:rsidRPr="001836F4">
        <w:rPr>
          <w:rFonts w:eastAsiaTheme="majorEastAsia"/>
        </w:rPr>
        <w:t xml:space="preserve"> the main </w:t>
      </w:r>
      <w:r w:rsidR="0E5DBA30" w:rsidRPr="0E5DBA30">
        <w:rPr>
          <w:rFonts w:eastAsiaTheme="majorEastAsia"/>
        </w:rPr>
        <w:t>contributors to</w:t>
      </w:r>
      <w:r w:rsidRPr="001836F4">
        <w:rPr>
          <w:rFonts w:eastAsiaTheme="majorEastAsia"/>
        </w:rPr>
        <w:t xml:space="preserve"> Alzheimer’s </w:t>
      </w:r>
      <w:r w:rsidR="00EF13EE" w:rsidRPr="001836F4">
        <w:rPr>
          <w:rFonts w:eastAsiaTheme="majorEastAsia"/>
        </w:rPr>
        <w:t>(</w:t>
      </w:r>
      <w:hyperlink r:id="rId137">
        <w:r w:rsidR="5D119E19" w:rsidRPr="001836F4">
          <w:rPr>
            <w:rStyle w:val="Hyperlink"/>
            <w:rFonts w:eastAsiaTheme="majorEastAsia"/>
          </w:rPr>
          <w:t>Korgiopoulou, 2020</w:t>
        </w:r>
      </w:hyperlink>
      <w:r w:rsidR="5D119E19" w:rsidRPr="001836F4">
        <w:rPr>
          <w:rFonts w:eastAsiaTheme="majorEastAsia"/>
        </w:rPr>
        <w:t>).</w:t>
      </w:r>
    </w:p>
    <w:p w14:paraId="2255CCA9" w14:textId="7F24919E" w:rsidR="0013521F" w:rsidRPr="001836F4" w:rsidRDefault="0013521F" w:rsidP="0E5DBA30">
      <w:pPr>
        <w:spacing w:line="360" w:lineRule="auto"/>
        <w:jc w:val="both"/>
        <w:rPr>
          <w:rFonts w:eastAsiaTheme="majorEastAsia"/>
        </w:rPr>
      </w:pPr>
    </w:p>
    <w:p w14:paraId="5D4972C9" w14:textId="30910E9D" w:rsidR="0013521F" w:rsidRPr="001836F4" w:rsidRDefault="0AFEF097" w:rsidP="0AFEF097">
      <w:pPr>
        <w:spacing w:line="360" w:lineRule="auto"/>
        <w:jc w:val="both"/>
        <w:rPr>
          <w:rFonts w:eastAsiaTheme="majorEastAsia"/>
        </w:rPr>
      </w:pPr>
      <w:r w:rsidRPr="0AFEF097">
        <w:rPr>
          <w:rFonts w:eastAsiaTheme="majorEastAsia"/>
        </w:rPr>
        <w:t>Moreover, regarding the non-impact of Simufilam on tau pathology, it does not directly inhibit any enzymes involved in the phosphorylation of the tau protein. Some of these enzymes are GSK-3β (glycogen synthase kinase-3 beta) and CDK5 (cyclin-dependent kinase 5) (</w:t>
      </w:r>
      <w:hyperlink r:id="rId138">
        <w:r w:rsidRPr="0AFEF097">
          <w:rPr>
            <w:rStyle w:val="Hyperlink"/>
            <w:rFonts w:eastAsiaTheme="majorEastAsia"/>
          </w:rPr>
          <w:t>Xia et al., 2021</w:t>
        </w:r>
      </w:hyperlink>
      <w:r w:rsidRPr="0AFEF097">
        <w:rPr>
          <w:rFonts w:eastAsiaTheme="majorEastAsia"/>
        </w:rPr>
        <w:t>). Not targeting these kinases means that Simufilam does little to none to prevent the formation and development of NFTs. Therefore, the tau pathology will most likely continue its progression, even if the amyloid toxicity is reduced (</w:t>
      </w:r>
      <w:hyperlink r:id="rId139">
        <w:r w:rsidRPr="0AFEF097">
          <w:rPr>
            <w:rStyle w:val="Hyperlink"/>
            <w:rFonts w:eastAsiaTheme="majorEastAsia"/>
          </w:rPr>
          <w:t>Knox, 2022</w:t>
        </w:r>
      </w:hyperlink>
      <w:r w:rsidRPr="0AFEF097">
        <w:rPr>
          <w:rFonts w:eastAsiaTheme="majorEastAsia"/>
        </w:rPr>
        <w:t>). </w:t>
      </w:r>
    </w:p>
    <w:p w14:paraId="61FB6CA8" w14:textId="38A02297" w:rsidR="0E5DBA30" w:rsidRDefault="0E5DBA30" w:rsidP="0E5DBA30">
      <w:pPr>
        <w:spacing w:line="360" w:lineRule="auto"/>
        <w:jc w:val="both"/>
        <w:rPr>
          <w:rFonts w:eastAsiaTheme="majorEastAsia"/>
        </w:rPr>
      </w:pPr>
    </w:p>
    <w:p w14:paraId="226770C3" w14:textId="0DBF2062" w:rsidR="0E5DBA30" w:rsidRDefault="5183A6D9" w:rsidP="5183A6D9">
      <w:pPr>
        <w:spacing w:line="360" w:lineRule="auto"/>
        <w:jc w:val="both"/>
        <w:rPr>
          <w:rFonts w:eastAsiaTheme="majorEastAsia"/>
        </w:rPr>
      </w:pPr>
      <w:r w:rsidRPr="5183A6D9">
        <w:rPr>
          <w:rFonts w:eastAsiaTheme="majorEastAsia"/>
        </w:rPr>
        <w:t>To conclude, Simufilam has an overall low efficacy from data that has been reported both from Cassava Sciences and other relevant scientific papers. Simufilam does little to none to prevent the accumulation of the two main hallmarks of Alzheimer’s, which can only lead to an efficacy failure for Simufilam in this Phase III trial, in our view.</w:t>
      </w:r>
    </w:p>
    <w:p w14:paraId="3629484D" w14:textId="77777777" w:rsidR="0013521F" w:rsidRPr="001836F4" w:rsidRDefault="0013521F" w:rsidP="00F84A37">
      <w:pPr>
        <w:spacing w:line="360" w:lineRule="auto"/>
        <w:jc w:val="both"/>
      </w:pPr>
    </w:p>
    <w:p w14:paraId="40A89C07" w14:textId="77777777" w:rsidR="00017998" w:rsidRPr="001836F4" w:rsidRDefault="00017998" w:rsidP="00F84A37">
      <w:pPr>
        <w:spacing w:line="360" w:lineRule="auto"/>
        <w:jc w:val="both"/>
      </w:pPr>
    </w:p>
    <w:p w14:paraId="4D7FEF20" w14:textId="55C7E63D" w:rsidR="00017998" w:rsidRPr="001836F4" w:rsidRDefault="5183A6D9" w:rsidP="5183A6D9">
      <w:pPr>
        <w:pStyle w:val="Heading2"/>
        <w:rPr>
          <w:rFonts w:ascii="Times New Roman" w:eastAsia="Times New Roman" w:hAnsi="Times New Roman" w:cs="Times New Roman"/>
          <w:b/>
          <w:bCs/>
          <w:color w:val="auto"/>
        </w:rPr>
      </w:pPr>
      <w:bookmarkStart w:id="34" w:name="_9._Dimebon_Phase"/>
      <w:bookmarkStart w:id="35" w:name="_Toc96885901"/>
      <w:bookmarkEnd w:id="34"/>
      <w:r w:rsidRPr="5183A6D9">
        <w:rPr>
          <w:rFonts w:ascii="Times New Roman" w:eastAsia="Times New Roman" w:hAnsi="Times New Roman" w:cs="Times New Roman"/>
          <w:b/>
          <w:bCs/>
          <w:color w:val="auto"/>
        </w:rPr>
        <w:t>9. Dimebon Phase III Failure: A Cautionary Tale</w:t>
      </w:r>
      <w:bookmarkEnd w:id="35"/>
    </w:p>
    <w:p w14:paraId="40057791" w14:textId="3C8D0E44" w:rsidR="00017998" w:rsidRPr="001836F4" w:rsidRDefault="00017998" w:rsidP="00F84A37">
      <w:pPr>
        <w:spacing w:line="360" w:lineRule="auto"/>
        <w:jc w:val="both"/>
      </w:pPr>
      <w:r w:rsidRPr="001836F4">
        <w:t xml:space="preserve">The failure of Dimebon in </w:t>
      </w:r>
      <w:r w:rsidR="0E5DBA30">
        <w:t xml:space="preserve">its </w:t>
      </w:r>
      <w:r w:rsidRPr="001836F4">
        <w:t xml:space="preserve">Phase </w:t>
      </w:r>
      <w:r w:rsidR="16626210">
        <w:t>III</w:t>
      </w:r>
      <w:r w:rsidRPr="001836F4">
        <w:t xml:space="preserve"> clinical </w:t>
      </w:r>
      <w:r w:rsidR="0E5DBA30">
        <w:t>trial</w:t>
      </w:r>
      <w:r w:rsidRPr="001836F4">
        <w:t xml:space="preserve"> serves as a cautionary example for Simufilam. Dimebon was initially believed to offer significant cognitive benefits in AD, but subsequent trials revealed no efficacy. Simufilam faces similar risks, as its early-stage data is based on open-label studies with inherent biases and methodological weaknesses.</w:t>
      </w:r>
    </w:p>
    <w:p w14:paraId="73C6F471" w14:textId="7FF003EE" w:rsidR="0E5DBA30" w:rsidRDefault="0E5DBA30" w:rsidP="0E5DBA30">
      <w:pPr>
        <w:spacing w:line="360" w:lineRule="auto"/>
        <w:jc w:val="both"/>
      </w:pPr>
    </w:p>
    <w:p w14:paraId="2CC8C075" w14:textId="721242B4" w:rsidR="00017998" w:rsidRPr="001836F4" w:rsidRDefault="00017998" w:rsidP="00F84A37">
      <w:pPr>
        <w:spacing w:line="360" w:lineRule="auto"/>
        <w:jc w:val="both"/>
      </w:pPr>
      <w:r w:rsidRPr="001836F4">
        <w:t>Just like Dimebon, Simufilam is at risk of showing early promise</w:t>
      </w:r>
      <w:r w:rsidR="0E5DBA30">
        <w:t xml:space="preserve"> – even if they are not really promising as the data is weak -</w:t>
      </w:r>
      <w:r w:rsidRPr="001836F4">
        <w:t xml:space="preserve"> only to fail in </w:t>
      </w:r>
      <w:r w:rsidR="4A1123B3" w:rsidRPr="001836F4">
        <w:t xml:space="preserve">the </w:t>
      </w:r>
      <w:r w:rsidRPr="001836F4">
        <w:t xml:space="preserve">rigorous </w:t>
      </w:r>
      <w:r w:rsidR="0E5DBA30">
        <w:t>Phase</w:t>
      </w:r>
      <w:r w:rsidR="4C066660" w:rsidRPr="001836F4">
        <w:t xml:space="preserve"> III</w:t>
      </w:r>
      <w:r w:rsidRPr="001836F4">
        <w:t xml:space="preserve"> trials. The lessons from Dimebon underscore the importance of skepticism regarding small-scale, uncontrolled studies in AD drug development.</w:t>
      </w:r>
    </w:p>
    <w:p w14:paraId="1EB69126" w14:textId="77777777" w:rsidR="0013521F" w:rsidRPr="001836F4" w:rsidRDefault="0013521F" w:rsidP="00F84A37">
      <w:pPr>
        <w:spacing w:line="360" w:lineRule="auto"/>
        <w:jc w:val="both"/>
      </w:pPr>
    </w:p>
    <w:p w14:paraId="0AB2555F" w14:textId="7A179553" w:rsidR="00690231" w:rsidRPr="001836F4" w:rsidRDefault="00690231" w:rsidP="00F84A37">
      <w:pPr>
        <w:spacing w:line="360" w:lineRule="auto"/>
        <w:jc w:val="both"/>
        <w:rPr>
          <w:rFonts w:eastAsiaTheme="majorEastAsia"/>
        </w:rPr>
      </w:pPr>
      <w:r w:rsidRPr="001836F4">
        <w:rPr>
          <w:rFonts w:eastAsiaTheme="majorEastAsia"/>
        </w:rPr>
        <w:t xml:space="preserve">Dimebon or formerly Latrepirdine is a drug that was initially developed and launched in the late 1980s in Russia </w:t>
      </w:r>
      <w:r w:rsidR="0E5DBA30" w:rsidRPr="0E5DBA30">
        <w:rPr>
          <w:rFonts w:eastAsiaTheme="majorEastAsia"/>
        </w:rPr>
        <w:t>as an</w:t>
      </w:r>
      <w:r w:rsidRPr="001836F4">
        <w:rPr>
          <w:rFonts w:eastAsiaTheme="majorEastAsia"/>
        </w:rPr>
        <w:t xml:space="preserve"> oral antihistamine for allergy treatment. The drug blocked the H1 histamine receptors with high affinity and was used in doses of 10-20 mg</w:t>
      </w:r>
      <w:r w:rsidR="0E5DBA30" w:rsidRPr="0E5DBA30">
        <w:rPr>
          <w:rFonts w:eastAsiaTheme="majorEastAsia"/>
        </w:rPr>
        <w:t>,</w:t>
      </w:r>
      <w:r w:rsidRPr="001836F4">
        <w:rPr>
          <w:rFonts w:eastAsiaTheme="majorEastAsia"/>
        </w:rPr>
        <w:t xml:space="preserve"> 2-3 times per day </w:t>
      </w:r>
      <w:r w:rsidR="009145A9" w:rsidRPr="001836F4">
        <w:rPr>
          <w:rFonts w:eastAsiaTheme="majorEastAsia"/>
        </w:rPr>
        <w:t>(</w:t>
      </w:r>
      <w:hyperlink r:id="rId140">
        <w:r w:rsidR="091BE336" w:rsidRPr="001836F4">
          <w:rPr>
            <w:rStyle w:val="Hyperlink"/>
            <w:rFonts w:eastAsiaTheme="majorEastAsia"/>
          </w:rPr>
          <w:t>Bezprozvanny, 2010</w:t>
        </w:r>
      </w:hyperlink>
      <w:r w:rsidR="091BE336" w:rsidRPr="001836F4">
        <w:rPr>
          <w:rFonts w:eastAsiaTheme="majorEastAsia"/>
        </w:rPr>
        <w:t xml:space="preserve">). </w:t>
      </w:r>
      <w:r w:rsidRPr="001836F4">
        <w:rPr>
          <w:rFonts w:eastAsiaTheme="majorEastAsia"/>
        </w:rPr>
        <w:t xml:space="preserve">Later, it was discovered that </w:t>
      </w:r>
      <w:r w:rsidR="0E5DBA30" w:rsidRPr="0E5DBA30">
        <w:rPr>
          <w:rFonts w:eastAsiaTheme="majorEastAsia"/>
        </w:rPr>
        <w:t>the drug</w:t>
      </w:r>
      <w:r w:rsidRPr="001836F4">
        <w:rPr>
          <w:rFonts w:eastAsiaTheme="majorEastAsia"/>
        </w:rPr>
        <w:t xml:space="preserve"> could be beneficial in treating neurodegenerative diseases such as Alzheimer’s. In 2008 Dimebon had a </w:t>
      </w:r>
      <w:r w:rsidR="0E5DBA30" w:rsidRPr="0E5DBA30">
        <w:rPr>
          <w:rFonts w:eastAsiaTheme="majorEastAsia"/>
        </w:rPr>
        <w:t>Phase</w:t>
      </w:r>
      <w:r w:rsidRPr="001836F4">
        <w:rPr>
          <w:rFonts w:eastAsiaTheme="majorEastAsia"/>
        </w:rPr>
        <w:t xml:space="preserve"> II trial for Alzheimer’s</w:t>
      </w:r>
      <w:r w:rsidR="0E5DBA30" w:rsidRPr="0E5DBA30">
        <w:rPr>
          <w:rFonts w:eastAsiaTheme="majorEastAsia"/>
        </w:rPr>
        <w:t>,</w:t>
      </w:r>
      <w:r w:rsidRPr="001836F4">
        <w:rPr>
          <w:rFonts w:eastAsiaTheme="majorEastAsia"/>
        </w:rPr>
        <w:t xml:space="preserve"> and the results were astonishing. It was a small placebo-controlled trial, with 183 patients</w:t>
      </w:r>
      <w:r w:rsidR="0E5DBA30" w:rsidRPr="0E5DBA30">
        <w:rPr>
          <w:rFonts w:eastAsiaTheme="majorEastAsia"/>
        </w:rPr>
        <w:t>,</w:t>
      </w:r>
      <w:r w:rsidRPr="001836F4">
        <w:rPr>
          <w:rFonts w:eastAsiaTheme="majorEastAsia"/>
        </w:rPr>
        <w:t xml:space="preserve"> that had mild to moderate Alzheimer’s disease. The results for this trial were promising, with improvements in cognitive function and overall efficacy in comparison to placebo </w:t>
      </w:r>
      <w:r w:rsidR="00D47B39" w:rsidRPr="001836F4">
        <w:rPr>
          <w:rFonts w:eastAsiaTheme="majorEastAsia"/>
        </w:rPr>
        <w:t>(</w:t>
      </w:r>
      <w:hyperlink r:id="rId141">
        <w:r w:rsidR="091BE336" w:rsidRPr="001836F4">
          <w:rPr>
            <w:rStyle w:val="Hyperlink"/>
            <w:rFonts w:eastAsiaTheme="majorEastAsia"/>
          </w:rPr>
          <w:t>Jones, 2010</w:t>
        </w:r>
      </w:hyperlink>
      <w:r w:rsidR="091BE336" w:rsidRPr="001836F4">
        <w:rPr>
          <w:rFonts w:eastAsiaTheme="majorEastAsia"/>
        </w:rPr>
        <w:t>). The precise results are the following:  </w:t>
      </w:r>
    </w:p>
    <w:p w14:paraId="1FBA537F" w14:textId="77777777" w:rsidR="00D47B39" w:rsidRPr="001836F4" w:rsidRDefault="00D47B39" w:rsidP="00F84A37">
      <w:pPr>
        <w:spacing w:line="360" w:lineRule="auto"/>
        <w:jc w:val="both"/>
      </w:pPr>
    </w:p>
    <w:p w14:paraId="7681CD76" w14:textId="77777777" w:rsidR="00690231" w:rsidRPr="001836F4" w:rsidRDefault="00690231" w:rsidP="00EB10F6">
      <w:pPr>
        <w:numPr>
          <w:ilvl w:val="0"/>
          <w:numId w:val="27"/>
        </w:numPr>
        <w:spacing w:line="360" w:lineRule="auto"/>
        <w:jc w:val="both"/>
      </w:pPr>
      <w:r w:rsidRPr="001836F4">
        <w:rPr>
          <w:rFonts w:eastAsiaTheme="majorEastAsia"/>
        </w:rPr>
        <w:t>ADAS-cog score (Alzheimer's Disease Assessment Scale-cognition), the mean drug-placebo difference was</w:t>
      </w:r>
      <w:r w:rsidRPr="001836F4">
        <w:rPr>
          <w:rFonts w:eastAsiaTheme="majorEastAsia"/>
          <w:b/>
          <w:bCs/>
        </w:rPr>
        <w:t xml:space="preserve"> </w:t>
      </w:r>
      <w:r w:rsidRPr="3CA04B64">
        <w:rPr>
          <w:rFonts w:eastAsiaTheme="majorEastAsia"/>
          <w:i/>
        </w:rPr>
        <w:t>−4.0</w:t>
      </w:r>
      <w:r w:rsidRPr="001836F4">
        <w:rPr>
          <w:rFonts w:eastAsiaTheme="majorEastAsia"/>
        </w:rPr>
        <w:t xml:space="preserve"> with </w:t>
      </w:r>
      <w:r w:rsidRPr="416DE92F">
        <w:rPr>
          <w:rFonts w:eastAsiaTheme="majorEastAsia"/>
          <w:i/>
        </w:rPr>
        <w:t>p &lt; 0.00011</w:t>
      </w:r>
      <w:r w:rsidRPr="001836F4">
        <w:rPr>
          <w:rFonts w:eastAsiaTheme="majorEastAsia"/>
        </w:rPr>
        <w:t>. </w:t>
      </w:r>
    </w:p>
    <w:p w14:paraId="6CB431A8" w14:textId="77777777" w:rsidR="00690231" w:rsidRPr="001836F4" w:rsidRDefault="00690231" w:rsidP="00EB10F6">
      <w:pPr>
        <w:numPr>
          <w:ilvl w:val="0"/>
          <w:numId w:val="28"/>
        </w:numPr>
        <w:spacing w:line="360" w:lineRule="auto"/>
        <w:jc w:val="both"/>
      </w:pPr>
      <w:r w:rsidRPr="001836F4">
        <w:rPr>
          <w:rFonts w:eastAsiaTheme="majorEastAsia"/>
        </w:rPr>
        <w:t xml:space="preserve">For the MMSE (Mini-Mental State Examination), the mean drug-placebo difference was </w:t>
      </w:r>
      <w:r w:rsidRPr="2DDD3613">
        <w:rPr>
          <w:rFonts w:eastAsiaTheme="majorEastAsia"/>
          <w:i/>
        </w:rPr>
        <w:t>2.2</w:t>
      </w:r>
      <w:r w:rsidRPr="001836F4">
        <w:rPr>
          <w:rFonts w:eastAsiaTheme="majorEastAsia"/>
        </w:rPr>
        <w:t xml:space="preserve"> with </w:t>
      </w:r>
      <w:r w:rsidRPr="2DDD3613">
        <w:rPr>
          <w:rFonts w:eastAsiaTheme="majorEastAsia"/>
          <w:i/>
        </w:rPr>
        <w:t>p &lt; 0.00011</w:t>
      </w:r>
      <w:r w:rsidRPr="001836F4">
        <w:rPr>
          <w:rFonts w:eastAsiaTheme="majorEastAsia"/>
        </w:rPr>
        <w:t>. </w:t>
      </w:r>
    </w:p>
    <w:p w14:paraId="57E1FBBB" w14:textId="77777777" w:rsidR="00690231" w:rsidRPr="001836F4" w:rsidRDefault="00690231" w:rsidP="00EB10F6">
      <w:pPr>
        <w:numPr>
          <w:ilvl w:val="0"/>
          <w:numId w:val="29"/>
        </w:numPr>
        <w:spacing w:line="360" w:lineRule="auto"/>
        <w:jc w:val="both"/>
      </w:pPr>
      <w:r w:rsidRPr="001836F4">
        <w:rPr>
          <w:rFonts w:eastAsiaTheme="majorEastAsia"/>
        </w:rPr>
        <w:t xml:space="preserve">For the CIBIC-plus (Clinician Interview-based Impression of Change plus Caregiver Input), the mean drug-placebo difference was </w:t>
      </w:r>
      <w:r w:rsidRPr="3AD86A83">
        <w:rPr>
          <w:rFonts w:eastAsiaTheme="majorEastAsia"/>
          <w:i/>
        </w:rPr>
        <w:t>0.6</w:t>
      </w:r>
      <w:r w:rsidRPr="001836F4">
        <w:rPr>
          <w:rFonts w:eastAsiaTheme="majorEastAsia"/>
        </w:rPr>
        <w:t xml:space="preserve"> with </w:t>
      </w:r>
      <w:r w:rsidRPr="4358A65D">
        <w:rPr>
          <w:rFonts w:eastAsiaTheme="majorEastAsia"/>
          <w:i/>
        </w:rPr>
        <w:t>p &lt; 0.0001</w:t>
      </w:r>
      <w:r w:rsidRPr="001836F4">
        <w:rPr>
          <w:rFonts w:eastAsiaTheme="majorEastAsia"/>
          <w:b/>
          <w:bCs/>
        </w:rPr>
        <w:t>.</w:t>
      </w:r>
      <w:r w:rsidRPr="001836F4">
        <w:rPr>
          <w:rFonts w:eastAsiaTheme="majorEastAsia"/>
        </w:rPr>
        <w:t> </w:t>
      </w:r>
    </w:p>
    <w:p w14:paraId="33295824" w14:textId="77777777" w:rsidR="009578EC" w:rsidRDefault="009578EC" w:rsidP="00F84A37">
      <w:pPr>
        <w:spacing w:line="360" w:lineRule="auto"/>
        <w:jc w:val="both"/>
        <w:rPr>
          <w:rFonts w:eastAsiaTheme="majorEastAsia"/>
        </w:rPr>
      </w:pPr>
    </w:p>
    <w:p w14:paraId="1DD55509" w14:textId="2C02B633" w:rsidR="00504628" w:rsidRPr="001836F4" w:rsidRDefault="00690231" w:rsidP="0E5DBA30">
      <w:pPr>
        <w:spacing w:line="360" w:lineRule="auto"/>
        <w:jc w:val="both"/>
        <w:rPr>
          <w:rFonts w:eastAsiaTheme="majorEastAsia"/>
        </w:rPr>
      </w:pPr>
      <w:r w:rsidRPr="001836F4">
        <w:rPr>
          <w:rFonts w:eastAsiaTheme="majorEastAsia"/>
        </w:rPr>
        <w:lastRenderedPageBreak/>
        <w:t>Furthermore, Dimebon appeared to stabilize symptoms</w:t>
      </w:r>
      <w:r w:rsidR="0E5DBA30" w:rsidRPr="0E5DBA30">
        <w:rPr>
          <w:rFonts w:eastAsiaTheme="majorEastAsia"/>
        </w:rPr>
        <w:t>,</w:t>
      </w:r>
      <w:r w:rsidRPr="001836F4">
        <w:rPr>
          <w:rFonts w:eastAsiaTheme="majorEastAsia"/>
        </w:rPr>
        <w:t xml:space="preserve"> or even improve them in patients over a one-year period. After this successful trial</w:t>
      </w:r>
      <w:r w:rsidR="0E5DBA30" w:rsidRPr="0E5DBA30">
        <w:rPr>
          <w:rFonts w:eastAsiaTheme="majorEastAsia"/>
        </w:rPr>
        <w:t>,</w:t>
      </w:r>
      <w:r w:rsidRPr="001836F4">
        <w:rPr>
          <w:rFonts w:eastAsiaTheme="majorEastAsia"/>
        </w:rPr>
        <w:t xml:space="preserve"> Pfizer </w:t>
      </w:r>
      <w:r w:rsidR="0E5DBA30" w:rsidRPr="0E5DBA30">
        <w:rPr>
          <w:rFonts w:eastAsiaTheme="majorEastAsia"/>
        </w:rPr>
        <w:t>sought</w:t>
      </w:r>
      <w:r w:rsidRPr="001836F4">
        <w:rPr>
          <w:rFonts w:eastAsiaTheme="majorEastAsia"/>
        </w:rPr>
        <w:t xml:space="preserve"> to </w:t>
      </w:r>
      <w:r w:rsidR="0E5DBA30" w:rsidRPr="0E5DBA30">
        <w:rPr>
          <w:rFonts w:eastAsiaTheme="majorEastAsia"/>
        </w:rPr>
        <w:t>establish</w:t>
      </w:r>
      <w:r w:rsidRPr="001836F4">
        <w:rPr>
          <w:rFonts w:eastAsiaTheme="majorEastAsia"/>
        </w:rPr>
        <w:t xml:space="preserve"> a partnership with Medivation</w:t>
      </w:r>
      <w:r w:rsidR="0E5DBA30" w:rsidRPr="0E5DBA30">
        <w:rPr>
          <w:rFonts w:eastAsiaTheme="majorEastAsia"/>
        </w:rPr>
        <w:t>, which</w:t>
      </w:r>
      <w:r w:rsidRPr="001836F4">
        <w:rPr>
          <w:rFonts w:eastAsiaTheme="majorEastAsia"/>
        </w:rPr>
        <w:t xml:space="preserve"> was </w:t>
      </w:r>
      <w:r w:rsidR="6256DF42" w:rsidRPr="001836F4">
        <w:rPr>
          <w:rFonts w:eastAsiaTheme="majorEastAsia"/>
        </w:rPr>
        <w:t xml:space="preserve">achieved in </w:t>
      </w:r>
      <w:r w:rsidRPr="001836F4">
        <w:rPr>
          <w:rFonts w:eastAsiaTheme="majorEastAsia"/>
        </w:rPr>
        <w:t xml:space="preserve">September 2008 </w:t>
      </w:r>
      <w:r w:rsidR="00D47B39" w:rsidRPr="001836F4">
        <w:rPr>
          <w:rFonts w:eastAsiaTheme="majorEastAsia"/>
        </w:rPr>
        <w:t>(</w:t>
      </w:r>
      <w:hyperlink r:id="rId142">
        <w:r w:rsidR="5D119E19" w:rsidRPr="001836F4">
          <w:rPr>
            <w:rStyle w:val="Hyperlink"/>
            <w:rFonts w:eastAsiaTheme="majorEastAsia"/>
          </w:rPr>
          <w:t>Bezprozvanny, 2010</w:t>
        </w:r>
      </w:hyperlink>
      <w:r w:rsidR="5D119E19" w:rsidRPr="001836F4">
        <w:rPr>
          <w:rFonts w:eastAsiaTheme="majorEastAsia"/>
        </w:rPr>
        <w:t>).</w:t>
      </w:r>
    </w:p>
    <w:p w14:paraId="50953E02" w14:textId="1494DEDC" w:rsidR="00504628" w:rsidRPr="001836F4" w:rsidRDefault="00504628" w:rsidP="0E5DBA30">
      <w:pPr>
        <w:spacing w:line="360" w:lineRule="auto"/>
        <w:jc w:val="both"/>
        <w:rPr>
          <w:rFonts w:eastAsiaTheme="majorEastAsia"/>
        </w:rPr>
      </w:pPr>
    </w:p>
    <w:p w14:paraId="1EC5283E" w14:textId="2D4F5066" w:rsidR="00504628" w:rsidRPr="001836F4" w:rsidRDefault="00690231" w:rsidP="0E5DBA30">
      <w:pPr>
        <w:spacing w:line="360" w:lineRule="auto"/>
        <w:jc w:val="both"/>
        <w:rPr>
          <w:rFonts w:eastAsiaTheme="majorEastAsia"/>
        </w:rPr>
      </w:pPr>
      <w:r w:rsidRPr="001836F4">
        <w:rPr>
          <w:rFonts w:eastAsiaTheme="majorEastAsia"/>
        </w:rPr>
        <w:t xml:space="preserve">However, in the </w:t>
      </w:r>
      <w:r w:rsidR="0E5DBA30" w:rsidRPr="0E5DBA30">
        <w:rPr>
          <w:rFonts w:eastAsiaTheme="majorEastAsia"/>
        </w:rPr>
        <w:t>Phase</w:t>
      </w:r>
      <w:r w:rsidRPr="001836F4">
        <w:rPr>
          <w:rFonts w:eastAsiaTheme="majorEastAsia"/>
        </w:rPr>
        <w:t xml:space="preserve"> III CONNECTION trial of 2010</w:t>
      </w:r>
      <w:r w:rsidR="0E5DBA30" w:rsidRPr="0E5DBA30">
        <w:rPr>
          <w:rFonts w:eastAsiaTheme="majorEastAsia"/>
        </w:rPr>
        <w:t>,</w:t>
      </w:r>
      <w:r w:rsidRPr="001836F4">
        <w:rPr>
          <w:rFonts w:eastAsiaTheme="majorEastAsia"/>
        </w:rPr>
        <w:t xml:space="preserve"> all went rogue. It was a multi-center, double-blind, placebo-controlled study involving 598 patients</w:t>
      </w:r>
      <w:r w:rsidR="0E5DBA30" w:rsidRPr="0E5DBA30">
        <w:rPr>
          <w:rFonts w:eastAsiaTheme="majorEastAsia"/>
        </w:rPr>
        <w:t>,</w:t>
      </w:r>
      <w:r w:rsidRPr="001836F4">
        <w:rPr>
          <w:rFonts w:eastAsiaTheme="majorEastAsia"/>
        </w:rPr>
        <w:t xml:space="preserve"> with mild to moderate A</w:t>
      </w:r>
      <w:r w:rsidR="00D47B39" w:rsidRPr="001836F4">
        <w:rPr>
          <w:rFonts w:eastAsiaTheme="majorEastAsia"/>
        </w:rPr>
        <w:t>D</w:t>
      </w:r>
      <w:r w:rsidRPr="001836F4">
        <w:rPr>
          <w:rFonts w:eastAsiaTheme="majorEastAsia"/>
        </w:rPr>
        <w:t xml:space="preserve">. The trial was conducted jointly by Pfizer and Medivation. The objective of the trial was to confirm the results of the </w:t>
      </w:r>
      <w:r w:rsidR="0E5DBA30" w:rsidRPr="0E5DBA30">
        <w:rPr>
          <w:rFonts w:eastAsiaTheme="majorEastAsia"/>
        </w:rPr>
        <w:t>Phase</w:t>
      </w:r>
      <w:r w:rsidRPr="001836F4">
        <w:rPr>
          <w:rFonts w:eastAsiaTheme="majorEastAsia"/>
        </w:rPr>
        <w:t xml:space="preserve"> II trial and determine if Dimebon could improve cognitive and functional outcomes </w:t>
      </w:r>
      <w:r w:rsidR="0E5DBA30" w:rsidRPr="0E5DBA30">
        <w:rPr>
          <w:rFonts w:eastAsiaTheme="majorEastAsia"/>
        </w:rPr>
        <w:t>-</w:t>
      </w:r>
      <w:r w:rsidRPr="001836F4">
        <w:rPr>
          <w:rFonts w:eastAsiaTheme="majorEastAsia"/>
        </w:rPr>
        <w:t xml:space="preserve"> very similar </w:t>
      </w:r>
      <w:r w:rsidR="0E5DBA30" w:rsidRPr="0E5DBA30">
        <w:rPr>
          <w:rFonts w:eastAsiaTheme="majorEastAsia"/>
        </w:rPr>
        <w:t xml:space="preserve">endpoints </w:t>
      </w:r>
      <w:r w:rsidRPr="001836F4">
        <w:rPr>
          <w:rFonts w:eastAsiaTheme="majorEastAsia"/>
        </w:rPr>
        <w:t xml:space="preserve">to </w:t>
      </w:r>
      <w:r w:rsidR="0E5DBA30" w:rsidRPr="0E5DBA30">
        <w:rPr>
          <w:rFonts w:eastAsiaTheme="majorEastAsia"/>
        </w:rPr>
        <w:t xml:space="preserve">the </w:t>
      </w:r>
      <w:r w:rsidRPr="001836F4">
        <w:rPr>
          <w:rFonts w:eastAsiaTheme="majorEastAsia"/>
        </w:rPr>
        <w:t xml:space="preserve">ongoing </w:t>
      </w:r>
      <w:r w:rsidR="0E5DBA30" w:rsidRPr="0E5DBA30">
        <w:rPr>
          <w:rFonts w:eastAsiaTheme="majorEastAsia"/>
        </w:rPr>
        <w:t>Phase</w:t>
      </w:r>
      <w:r w:rsidRPr="001836F4">
        <w:rPr>
          <w:rFonts w:eastAsiaTheme="majorEastAsia"/>
        </w:rPr>
        <w:t xml:space="preserve"> III </w:t>
      </w:r>
      <w:r w:rsidR="0E5DBA30" w:rsidRPr="0E5DBA30">
        <w:rPr>
          <w:rFonts w:eastAsiaTheme="majorEastAsia"/>
        </w:rPr>
        <w:t>trials</w:t>
      </w:r>
      <w:r w:rsidRPr="001836F4">
        <w:rPr>
          <w:rFonts w:eastAsiaTheme="majorEastAsia"/>
        </w:rPr>
        <w:t xml:space="preserve"> of </w:t>
      </w:r>
      <w:r w:rsidR="0E5DBA30" w:rsidRPr="0E5DBA30">
        <w:rPr>
          <w:rFonts w:eastAsiaTheme="majorEastAsia"/>
        </w:rPr>
        <w:t>Simufilam.</w:t>
      </w:r>
    </w:p>
    <w:p w14:paraId="564492EC" w14:textId="16DDFF26" w:rsidR="00504628" w:rsidRPr="001836F4" w:rsidRDefault="00504628" w:rsidP="0E5DBA30">
      <w:pPr>
        <w:spacing w:line="360" w:lineRule="auto"/>
        <w:jc w:val="both"/>
        <w:rPr>
          <w:rFonts w:eastAsiaTheme="majorEastAsia"/>
        </w:rPr>
      </w:pPr>
    </w:p>
    <w:p w14:paraId="1714A8E3" w14:textId="5015FE61" w:rsidR="00504628" w:rsidRPr="001836F4" w:rsidRDefault="0E5DBA30" w:rsidP="00F84A37">
      <w:pPr>
        <w:spacing w:line="360" w:lineRule="auto"/>
        <w:jc w:val="both"/>
        <w:rPr>
          <w:rFonts w:eastAsiaTheme="majorEastAsia"/>
        </w:rPr>
      </w:pPr>
      <w:r w:rsidRPr="0E5DBA30">
        <w:rPr>
          <w:rFonts w:eastAsiaTheme="majorEastAsia"/>
        </w:rPr>
        <w:t xml:space="preserve">The </w:t>
      </w:r>
      <w:r w:rsidR="00690231" w:rsidRPr="001836F4">
        <w:rPr>
          <w:rFonts w:eastAsiaTheme="majorEastAsia"/>
        </w:rPr>
        <w:t xml:space="preserve">results </w:t>
      </w:r>
      <w:r w:rsidRPr="0E5DBA30">
        <w:rPr>
          <w:rFonts w:eastAsiaTheme="majorEastAsia"/>
        </w:rPr>
        <w:t>of</w:t>
      </w:r>
      <w:r w:rsidR="00690231" w:rsidRPr="001836F4">
        <w:rPr>
          <w:rFonts w:eastAsiaTheme="majorEastAsia"/>
        </w:rPr>
        <w:t xml:space="preserve"> this </w:t>
      </w:r>
      <w:r w:rsidRPr="0E5DBA30">
        <w:rPr>
          <w:rFonts w:eastAsiaTheme="majorEastAsia"/>
        </w:rPr>
        <w:t>Phase</w:t>
      </w:r>
      <w:r w:rsidR="00690231" w:rsidRPr="001836F4">
        <w:rPr>
          <w:rFonts w:eastAsiaTheme="majorEastAsia"/>
        </w:rPr>
        <w:t xml:space="preserve"> III trial were not statistically significant on any scale or assessment of Alzheimer’s </w:t>
      </w:r>
      <w:r w:rsidRPr="0E5DBA30">
        <w:rPr>
          <w:rFonts w:eastAsiaTheme="majorEastAsia"/>
        </w:rPr>
        <w:t>disease</w:t>
      </w:r>
      <w:r w:rsidR="00690231" w:rsidRPr="001836F4">
        <w:rPr>
          <w:rFonts w:eastAsiaTheme="majorEastAsia"/>
        </w:rPr>
        <w:t xml:space="preserve"> advancement. </w:t>
      </w:r>
      <w:r w:rsidRPr="0E5DBA30">
        <w:rPr>
          <w:rFonts w:eastAsiaTheme="majorEastAsia"/>
        </w:rPr>
        <w:t xml:space="preserve">There was no </w:t>
      </w:r>
      <w:r w:rsidR="5D119E19" w:rsidRPr="001836F4">
        <w:rPr>
          <w:rFonts w:eastAsiaTheme="majorEastAsia"/>
        </w:rPr>
        <w:t xml:space="preserve">increase in </w:t>
      </w:r>
      <w:r w:rsidRPr="0E5DBA30">
        <w:rPr>
          <w:rFonts w:eastAsiaTheme="majorEastAsia"/>
        </w:rPr>
        <w:t xml:space="preserve">the </w:t>
      </w:r>
      <w:r w:rsidR="5D119E19" w:rsidRPr="001836F4">
        <w:rPr>
          <w:rFonts w:eastAsiaTheme="majorEastAsia"/>
        </w:rPr>
        <w:t>placebo</w:t>
      </w:r>
      <w:r w:rsidRPr="0E5DBA30">
        <w:rPr>
          <w:rFonts w:eastAsiaTheme="majorEastAsia"/>
        </w:rPr>
        <w:t xml:space="preserve"> group, and no </w:t>
      </w:r>
      <w:r w:rsidR="5D119E19" w:rsidRPr="001836F4">
        <w:rPr>
          <w:rFonts w:eastAsiaTheme="majorEastAsia"/>
        </w:rPr>
        <w:t xml:space="preserve">improvement in cognition or </w:t>
      </w:r>
      <w:r w:rsidRPr="0E5DBA30">
        <w:rPr>
          <w:rFonts w:eastAsiaTheme="majorEastAsia"/>
        </w:rPr>
        <w:t>functioning was observed in</w:t>
      </w:r>
      <w:r w:rsidR="5D119E19" w:rsidRPr="001836F4">
        <w:rPr>
          <w:rFonts w:eastAsiaTheme="majorEastAsia"/>
        </w:rPr>
        <w:t xml:space="preserve"> patients </w:t>
      </w:r>
      <w:r w:rsidRPr="0E5DBA30">
        <w:rPr>
          <w:rFonts w:eastAsiaTheme="majorEastAsia"/>
        </w:rPr>
        <w:t>in the</w:t>
      </w:r>
      <w:r w:rsidR="5D119E19" w:rsidRPr="001836F4">
        <w:rPr>
          <w:rFonts w:eastAsiaTheme="majorEastAsia"/>
        </w:rPr>
        <w:t xml:space="preserve"> Dimebon </w:t>
      </w:r>
      <w:r w:rsidRPr="0E5DBA30">
        <w:rPr>
          <w:rFonts w:eastAsiaTheme="majorEastAsia"/>
        </w:rPr>
        <w:t>Phase</w:t>
      </w:r>
      <w:r w:rsidR="5D119E19" w:rsidRPr="001836F4">
        <w:rPr>
          <w:rFonts w:eastAsiaTheme="majorEastAsia"/>
        </w:rPr>
        <w:t xml:space="preserve"> III trial (</w:t>
      </w:r>
      <w:hyperlink r:id="rId143">
        <w:r w:rsidR="5D119E19" w:rsidRPr="001836F4">
          <w:rPr>
            <w:rStyle w:val="Hyperlink"/>
            <w:rFonts w:eastAsiaTheme="majorEastAsia"/>
          </w:rPr>
          <w:t>Pfizer Press Release, 2010</w:t>
        </w:r>
      </w:hyperlink>
      <w:r w:rsidR="5D119E19" w:rsidRPr="001836F4">
        <w:rPr>
          <w:rFonts w:eastAsiaTheme="majorEastAsia"/>
        </w:rPr>
        <w:t>).</w:t>
      </w:r>
    </w:p>
    <w:p w14:paraId="13831EF6" w14:textId="4516CF1F" w:rsidR="00690231" w:rsidRPr="001836F4" w:rsidRDefault="00690231" w:rsidP="00F84A37">
      <w:pPr>
        <w:spacing w:line="360" w:lineRule="auto"/>
        <w:jc w:val="both"/>
      </w:pPr>
      <w:r w:rsidRPr="001836F4">
        <w:rPr>
          <w:rFonts w:eastAsiaTheme="majorEastAsia"/>
        </w:rPr>
        <w:t> </w:t>
      </w:r>
    </w:p>
    <w:p w14:paraId="0C3C8279" w14:textId="4C5F79B1" w:rsidR="00690231" w:rsidRPr="001836F4" w:rsidRDefault="5183A6D9" w:rsidP="0E5DBA30">
      <w:pPr>
        <w:pStyle w:val="Heading4"/>
        <w:rPr>
          <w:color w:val="auto"/>
        </w:rPr>
      </w:pPr>
      <w:bookmarkStart w:id="36" w:name="_Toc1009244469"/>
      <w:r w:rsidRPr="5183A6D9">
        <w:rPr>
          <w:color w:val="auto"/>
        </w:rPr>
        <w:t>The explanation for this large difference between the Phase II and Phase III trial results.</w:t>
      </w:r>
      <w:bookmarkEnd w:id="36"/>
    </w:p>
    <w:p w14:paraId="62A14A10" w14:textId="2EB659F5" w:rsidR="00690231" w:rsidRPr="001836F4" w:rsidRDefault="00690231" w:rsidP="0E5DBA30">
      <w:pPr>
        <w:spacing w:line="360" w:lineRule="auto"/>
        <w:jc w:val="both"/>
        <w:rPr>
          <w:rFonts w:eastAsiaTheme="majorEastAsia"/>
        </w:rPr>
      </w:pPr>
      <w:r w:rsidRPr="001836F4">
        <w:rPr>
          <w:rFonts w:eastAsiaTheme="majorEastAsia"/>
        </w:rPr>
        <w:t>Firstly, the MOA of Dimebon</w:t>
      </w:r>
      <w:r w:rsidR="0E5DBA30" w:rsidRPr="0E5DBA30">
        <w:rPr>
          <w:rFonts w:eastAsiaTheme="majorEastAsia"/>
        </w:rPr>
        <w:t>,</w:t>
      </w:r>
      <w:r w:rsidRPr="001836F4">
        <w:rPr>
          <w:rFonts w:eastAsiaTheme="majorEastAsia"/>
        </w:rPr>
        <w:t xml:space="preserve"> which was said to protect mitochondrial function and stabilize neurons</w:t>
      </w:r>
      <w:r w:rsidR="0E5DBA30" w:rsidRPr="0E5DBA30">
        <w:rPr>
          <w:rFonts w:eastAsiaTheme="majorEastAsia"/>
        </w:rPr>
        <w:t>,</w:t>
      </w:r>
      <w:r w:rsidRPr="001836F4">
        <w:rPr>
          <w:rFonts w:eastAsiaTheme="majorEastAsia"/>
        </w:rPr>
        <w:t xml:space="preserve"> was not logical and little understood – the MOA was unclear and confusing</w:t>
      </w:r>
      <w:r w:rsidR="00504628" w:rsidRPr="001836F4">
        <w:rPr>
          <w:rFonts w:eastAsiaTheme="majorEastAsia"/>
        </w:rPr>
        <w:t xml:space="preserve"> (</w:t>
      </w:r>
      <w:hyperlink r:id="rId144">
        <w:r w:rsidR="6A7CAE81" w:rsidRPr="001836F4">
          <w:rPr>
            <w:rStyle w:val="Hyperlink"/>
            <w:rFonts w:eastAsiaTheme="majorEastAsia"/>
          </w:rPr>
          <w:t>Jones, 2010</w:t>
        </w:r>
      </w:hyperlink>
      <w:r w:rsidR="5D79E4EB" w:rsidRPr="001836F4">
        <w:rPr>
          <w:rFonts w:eastAsiaTheme="majorEastAsia"/>
        </w:rPr>
        <w:t xml:space="preserve">). Therefore, when it was tested on a larger, broader population, Dimebon was not effective. </w:t>
      </w:r>
      <w:r w:rsidR="0E5DBA30" w:rsidRPr="0E5DBA30">
        <w:rPr>
          <w:rFonts w:eastAsiaTheme="majorEastAsia"/>
        </w:rPr>
        <w:t>The</w:t>
      </w:r>
      <w:r w:rsidR="5D79E4EB" w:rsidRPr="001836F4">
        <w:rPr>
          <w:rFonts w:eastAsiaTheme="majorEastAsia"/>
        </w:rPr>
        <w:t xml:space="preserve"> weaknesses in the MOA led to the inefficacy of Dimebon on the numerous and complex Alzheimer’s pathologies.</w:t>
      </w:r>
    </w:p>
    <w:p w14:paraId="7EAE9A5D" w14:textId="452484DC" w:rsidR="00690231" w:rsidRPr="001836F4" w:rsidRDefault="00690231" w:rsidP="0E5DBA30">
      <w:pPr>
        <w:spacing w:line="360" w:lineRule="auto"/>
        <w:jc w:val="both"/>
        <w:rPr>
          <w:rFonts w:eastAsiaTheme="majorEastAsia"/>
        </w:rPr>
      </w:pPr>
    </w:p>
    <w:p w14:paraId="087616BB" w14:textId="78950F3E" w:rsidR="00690231" w:rsidRPr="001836F4" w:rsidRDefault="5D79E4EB" w:rsidP="5D79E4EB">
      <w:pPr>
        <w:spacing w:line="360" w:lineRule="auto"/>
        <w:jc w:val="both"/>
        <w:rPr>
          <w:rFonts w:eastAsiaTheme="majorEastAsia"/>
        </w:rPr>
      </w:pPr>
      <w:r w:rsidRPr="001836F4">
        <w:rPr>
          <w:rFonts w:eastAsiaTheme="majorEastAsia"/>
        </w:rPr>
        <w:t xml:space="preserve">Additionally, it could also be that the pathology that Dimebon aimed to target was simply not relevant </w:t>
      </w:r>
      <w:r w:rsidR="20A7A5ED" w:rsidRPr="20A7A5ED">
        <w:rPr>
          <w:rFonts w:eastAsiaTheme="majorEastAsia"/>
        </w:rPr>
        <w:t xml:space="preserve">enough </w:t>
      </w:r>
      <w:r w:rsidRPr="001836F4">
        <w:rPr>
          <w:rFonts w:eastAsiaTheme="majorEastAsia"/>
        </w:rPr>
        <w:t xml:space="preserve">to influence a larger population of patients. Subsequent studies were done after the failed </w:t>
      </w:r>
      <w:r w:rsidR="20A7A5ED" w:rsidRPr="20A7A5ED">
        <w:rPr>
          <w:rFonts w:eastAsiaTheme="majorEastAsia"/>
        </w:rPr>
        <w:t>Phase</w:t>
      </w:r>
      <w:r w:rsidRPr="001836F4">
        <w:rPr>
          <w:rFonts w:eastAsiaTheme="majorEastAsia"/>
        </w:rPr>
        <w:t xml:space="preserve"> II trial to evaluate Dimebon's MOA, and it was found to be much weaker than originally thought. </w:t>
      </w:r>
    </w:p>
    <w:p w14:paraId="7B9A6CF0" w14:textId="1E3F1974" w:rsidR="00690231" w:rsidRPr="001836F4" w:rsidRDefault="00690231" w:rsidP="5D79E4EB">
      <w:pPr>
        <w:spacing w:line="360" w:lineRule="auto"/>
        <w:jc w:val="both"/>
        <w:rPr>
          <w:rFonts w:eastAsiaTheme="majorEastAsia"/>
        </w:rPr>
      </w:pPr>
    </w:p>
    <w:p w14:paraId="284777AB" w14:textId="6C3044BA" w:rsidR="00690231" w:rsidRPr="001836F4" w:rsidRDefault="00690231" w:rsidP="00F84A37">
      <w:pPr>
        <w:spacing w:line="360" w:lineRule="auto"/>
        <w:jc w:val="both"/>
        <w:rPr>
          <w:rFonts w:eastAsiaTheme="majorEastAsia"/>
        </w:rPr>
      </w:pPr>
      <w:r w:rsidRPr="001836F4">
        <w:rPr>
          <w:rFonts w:eastAsiaTheme="majorEastAsia"/>
        </w:rPr>
        <w:t xml:space="preserve">Secondly, the </w:t>
      </w:r>
      <w:r w:rsidR="5D79E4EB" w:rsidRPr="001836F4">
        <w:rPr>
          <w:rFonts w:eastAsiaTheme="majorEastAsia"/>
        </w:rPr>
        <w:t>Phase</w:t>
      </w:r>
      <w:r w:rsidRPr="001836F4">
        <w:rPr>
          <w:rFonts w:eastAsiaTheme="majorEastAsia"/>
        </w:rPr>
        <w:t xml:space="preserve"> II trial had a small patient population and was a single-country study. In comparison, the </w:t>
      </w:r>
      <w:r w:rsidR="5D79E4EB" w:rsidRPr="001836F4">
        <w:rPr>
          <w:rFonts w:eastAsiaTheme="majorEastAsia"/>
        </w:rPr>
        <w:t>Phase</w:t>
      </w:r>
      <w:r w:rsidRPr="001836F4">
        <w:rPr>
          <w:rFonts w:eastAsiaTheme="majorEastAsia"/>
        </w:rPr>
        <w:t xml:space="preserve"> III trial CONNECTION had a much larger patient population and was multi-centered. </w:t>
      </w:r>
      <w:r w:rsidR="20A7A5ED" w:rsidRPr="20A7A5ED">
        <w:rPr>
          <w:rFonts w:eastAsiaTheme="majorEastAsia"/>
        </w:rPr>
        <w:t>Earlier</w:t>
      </w:r>
      <w:r w:rsidRPr="001836F4">
        <w:rPr>
          <w:rFonts w:eastAsiaTheme="majorEastAsia"/>
        </w:rPr>
        <w:t xml:space="preserve">, smaller trials are prone to have higher </w:t>
      </w:r>
      <w:r w:rsidR="20A7A5ED" w:rsidRPr="20A7A5ED">
        <w:rPr>
          <w:rFonts w:eastAsiaTheme="majorEastAsia"/>
        </w:rPr>
        <w:t xml:space="preserve">levels of </w:t>
      </w:r>
      <w:r w:rsidRPr="001836F4">
        <w:rPr>
          <w:rFonts w:eastAsiaTheme="majorEastAsia"/>
        </w:rPr>
        <w:t xml:space="preserve">well-responding </w:t>
      </w:r>
      <w:r w:rsidR="20A7A5ED" w:rsidRPr="20A7A5ED">
        <w:rPr>
          <w:rFonts w:eastAsiaTheme="majorEastAsia"/>
        </w:rPr>
        <w:t>patients compared</w:t>
      </w:r>
      <w:r w:rsidRPr="001836F4">
        <w:rPr>
          <w:rFonts w:eastAsiaTheme="majorEastAsia"/>
        </w:rPr>
        <w:t xml:space="preserve"> to larger trials</w:t>
      </w:r>
      <w:r w:rsidR="20A7A5ED" w:rsidRPr="20A7A5ED">
        <w:rPr>
          <w:rFonts w:eastAsiaTheme="majorEastAsia"/>
        </w:rPr>
        <w:t>,</w:t>
      </w:r>
      <w:r w:rsidRPr="001836F4">
        <w:rPr>
          <w:rFonts w:eastAsiaTheme="majorEastAsia"/>
        </w:rPr>
        <w:t xml:space="preserve"> where the participants are more diverse </w:t>
      </w:r>
      <w:r w:rsidR="001911BA" w:rsidRPr="001836F4">
        <w:rPr>
          <w:rFonts w:eastAsiaTheme="majorEastAsia"/>
        </w:rPr>
        <w:t>(</w:t>
      </w:r>
      <w:hyperlink r:id="rId145">
        <w:r w:rsidR="5D79E4EB" w:rsidRPr="001836F4">
          <w:rPr>
            <w:rStyle w:val="Hyperlink"/>
            <w:rFonts w:eastAsiaTheme="majorEastAsia"/>
            <w:i/>
            <w:iCs/>
          </w:rPr>
          <w:t>BMJ</w:t>
        </w:r>
        <w:r w:rsidR="5D79E4EB" w:rsidRPr="001836F4">
          <w:rPr>
            <w:rStyle w:val="Hyperlink"/>
            <w:rFonts w:eastAsiaTheme="majorEastAsia"/>
          </w:rPr>
          <w:t> 2013;346:f2304</w:t>
        </w:r>
      </w:hyperlink>
      <w:r w:rsidR="001911BA" w:rsidRPr="001836F4">
        <w:rPr>
          <w:rFonts w:eastAsiaTheme="majorEastAsia"/>
        </w:rPr>
        <w:t>)</w:t>
      </w:r>
      <w:r w:rsidRPr="001836F4">
        <w:rPr>
          <w:rFonts w:eastAsiaTheme="majorEastAsia"/>
        </w:rPr>
        <w:t xml:space="preserve">. In </w:t>
      </w:r>
      <w:r w:rsidRPr="001836F4">
        <w:rPr>
          <w:rFonts w:eastAsiaTheme="majorEastAsia"/>
        </w:rPr>
        <w:lastRenderedPageBreak/>
        <w:t xml:space="preserve">addition, </w:t>
      </w:r>
      <w:r w:rsidR="5D79E4EB" w:rsidRPr="001836F4">
        <w:rPr>
          <w:rFonts w:eastAsiaTheme="majorEastAsia"/>
        </w:rPr>
        <w:t>Phase</w:t>
      </w:r>
      <w:r w:rsidRPr="001836F4">
        <w:rPr>
          <w:rFonts w:eastAsiaTheme="majorEastAsia"/>
        </w:rPr>
        <w:t xml:space="preserve"> II trials have higher controls on the patient population (who they </w:t>
      </w:r>
      <w:r w:rsidR="20A7A5ED" w:rsidRPr="20A7A5ED">
        <w:rPr>
          <w:rFonts w:eastAsiaTheme="majorEastAsia"/>
        </w:rPr>
        <w:t>include</w:t>
      </w:r>
      <w:r w:rsidRPr="001836F4">
        <w:rPr>
          <w:rFonts w:eastAsiaTheme="majorEastAsia"/>
        </w:rPr>
        <w:t xml:space="preserve"> in the study and who they exclude) than </w:t>
      </w:r>
      <w:r w:rsidR="20A7A5ED" w:rsidRPr="20A7A5ED">
        <w:rPr>
          <w:rFonts w:eastAsiaTheme="majorEastAsia"/>
        </w:rPr>
        <w:t>larger</w:t>
      </w:r>
      <w:r w:rsidRPr="001836F4">
        <w:rPr>
          <w:rFonts w:eastAsiaTheme="majorEastAsia"/>
        </w:rPr>
        <w:t xml:space="preserve"> trials </w:t>
      </w:r>
      <w:r w:rsidR="20A7A5ED" w:rsidRPr="20A7A5ED">
        <w:rPr>
          <w:rFonts w:eastAsiaTheme="majorEastAsia"/>
        </w:rPr>
        <w:t>do;</w:t>
      </w:r>
      <w:r w:rsidRPr="001836F4">
        <w:rPr>
          <w:rFonts w:eastAsiaTheme="majorEastAsia"/>
        </w:rPr>
        <w:t xml:space="preserve"> this also influences the </w:t>
      </w:r>
      <w:r w:rsidR="5D79E4EB" w:rsidRPr="001836F4">
        <w:rPr>
          <w:rFonts w:eastAsiaTheme="majorEastAsia"/>
        </w:rPr>
        <w:t>Phase</w:t>
      </w:r>
      <w:r w:rsidRPr="001836F4">
        <w:rPr>
          <w:rFonts w:eastAsiaTheme="majorEastAsia"/>
        </w:rPr>
        <w:t xml:space="preserve"> II data and its relevance. The larger trials</w:t>
      </w:r>
      <w:r w:rsidR="20A7A5ED" w:rsidRPr="20A7A5ED">
        <w:rPr>
          <w:rFonts w:eastAsiaTheme="majorEastAsia"/>
        </w:rPr>
        <w:t>,</w:t>
      </w:r>
      <w:r w:rsidRPr="001836F4">
        <w:rPr>
          <w:rFonts w:eastAsiaTheme="majorEastAsia"/>
        </w:rPr>
        <w:t xml:space="preserve"> such as CONNECTION, provide reliable and generalized data for the drug’s effectiveness</w:t>
      </w:r>
      <w:r w:rsidR="20A7A5ED" w:rsidRPr="20A7A5ED">
        <w:rPr>
          <w:rFonts w:eastAsiaTheme="majorEastAsia"/>
        </w:rPr>
        <w:t>;</w:t>
      </w:r>
      <w:r w:rsidRPr="001836F4">
        <w:rPr>
          <w:rFonts w:eastAsiaTheme="majorEastAsia"/>
        </w:rPr>
        <w:t xml:space="preserve"> the random effect in </w:t>
      </w:r>
      <w:r w:rsidR="20A7A5ED" w:rsidRPr="20A7A5ED">
        <w:rPr>
          <w:rFonts w:eastAsiaTheme="majorEastAsia"/>
        </w:rPr>
        <w:t xml:space="preserve">the </w:t>
      </w:r>
      <w:r w:rsidR="5D79E4EB" w:rsidRPr="001836F4">
        <w:rPr>
          <w:rFonts w:eastAsiaTheme="majorEastAsia"/>
        </w:rPr>
        <w:t>Phase</w:t>
      </w:r>
      <w:r w:rsidRPr="001836F4">
        <w:rPr>
          <w:rFonts w:eastAsiaTheme="majorEastAsia"/>
        </w:rPr>
        <w:t xml:space="preserve"> III trial disappears.</w:t>
      </w:r>
    </w:p>
    <w:p w14:paraId="07473300" w14:textId="77777777" w:rsidR="002B0A24" w:rsidRPr="001836F4" w:rsidRDefault="002B0A24" w:rsidP="00F84A37">
      <w:pPr>
        <w:spacing w:line="360" w:lineRule="auto"/>
        <w:jc w:val="both"/>
        <w:rPr>
          <w:rFonts w:eastAsiaTheme="majorEastAsia"/>
        </w:rPr>
      </w:pPr>
    </w:p>
    <w:p w14:paraId="3501D750" w14:textId="00F40D84" w:rsidR="007C3911" w:rsidRPr="001836F4" w:rsidRDefault="00690231" w:rsidP="00F84A37">
      <w:pPr>
        <w:spacing w:line="360" w:lineRule="auto"/>
        <w:jc w:val="both"/>
        <w:rPr>
          <w:rFonts w:eastAsiaTheme="majorEastAsia"/>
        </w:rPr>
      </w:pPr>
      <w:r w:rsidRPr="001836F4">
        <w:rPr>
          <w:rFonts w:eastAsiaTheme="majorEastAsia"/>
        </w:rPr>
        <w:t xml:space="preserve">When comparing </w:t>
      </w:r>
      <w:r w:rsidR="0C4784F5" w:rsidRPr="0C4784F5">
        <w:rPr>
          <w:rFonts w:eastAsiaTheme="majorEastAsia"/>
        </w:rPr>
        <w:t>Simufilam’s</w:t>
      </w:r>
      <w:r w:rsidRPr="001836F4">
        <w:rPr>
          <w:rFonts w:eastAsiaTheme="majorEastAsia"/>
        </w:rPr>
        <w:t xml:space="preserve"> </w:t>
      </w:r>
      <w:r w:rsidR="5D79E4EB" w:rsidRPr="001836F4">
        <w:rPr>
          <w:rFonts w:eastAsiaTheme="majorEastAsia"/>
        </w:rPr>
        <w:t>Phase</w:t>
      </w:r>
      <w:r w:rsidRPr="001836F4">
        <w:rPr>
          <w:rFonts w:eastAsiaTheme="majorEastAsia"/>
        </w:rPr>
        <w:t xml:space="preserve"> II results </w:t>
      </w:r>
      <w:r w:rsidR="5D79E4EB" w:rsidRPr="001836F4">
        <w:rPr>
          <w:rFonts w:eastAsiaTheme="majorEastAsia"/>
        </w:rPr>
        <w:t xml:space="preserve">- </w:t>
      </w:r>
      <w:r w:rsidRPr="001836F4">
        <w:rPr>
          <w:rFonts w:eastAsiaTheme="majorEastAsia"/>
        </w:rPr>
        <w:t xml:space="preserve">see section </w:t>
      </w:r>
      <w:r w:rsidR="001C4032" w:rsidRPr="001C4032">
        <w:rPr>
          <w:rFonts w:eastAsiaTheme="majorEastAsia"/>
          <w:i/>
          <w:iCs/>
        </w:rPr>
        <w:t>Probability of Success in Phase III Given Phase II Failure</w:t>
      </w:r>
      <w:r w:rsidR="5D79E4EB" w:rsidRPr="001836F4">
        <w:rPr>
          <w:rFonts w:eastAsiaTheme="majorEastAsia"/>
        </w:rPr>
        <w:t xml:space="preserve"> - to</w:t>
      </w:r>
      <w:r w:rsidRPr="001836F4">
        <w:rPr>
          <w:rFonts w:eastAsiaTheme="majorEastAsia"/>
        </w:rPr>
        <w:t xml:space="preserve"> those </w:t>
      </w:r>
      <w:r w:rsidR="5D79E4EB" w:rsidRPr="001836F4">
        <w:rPr>
          <w:rFonts w:eastAsiaTheme="majorEastAsia"/>
        </w:rPr>
        <w:t>of</w:t>
      </w:r>
      <w:r w:rsidRPr="001836F4">
        <w:rPr>
          <w:rFonts w:eastAsiaTheme="majorEastAsia"/>
        </w:rPr>
        <w:t xml:space="preserve"> Dimebon, </w:t>
      </w:r>
      <w:r w:rsidR="5D79E4EB" w:rsidRPr="001836F4">
        <w:rPr>
          <w:rFonts w:eastAsiaTheme="majorEastAsia"/>
        </w:rPr>
        <w:t>we can see</w:t>
      </w:r>
      <w:r w:rsidRPr="001836F4">
        <w:rPr>
          <w:rFonts w:eastAsiaTheme="majorEastAsia"/>
        </w:rPr>
        <w:t xml:space="preserve"> that the </w:t>
      </w:r>
      <w:r w:rsidR="5D79E4EB" w:rsidRPr="001836F4">
        <w:rPr>
          <w:rFonts w:eastAsiaTheme="majorEastAsia"/>
        </w:rPr>
        <w:t>results of Simufilam are vastly weaker. Still, the bull community holds faith that the Phase</w:t>
      </w:r>
      <w:r w:rsidRPr="001836F4">
        <w:rPr>
          <w:rFonts w:eastAsiaTheme="majorEastAsia"/>
        </w:rPr>
        <w:t xml:space="preserve"> III trial results will come out successful.</w:t>
      </w:r>
    </w:p>
    <w:p w14:paraId="062BBC56" w14:textId="77777777" w:rsidR="007C3911" w:rsidRPr="001836F4" w:rsidRDefault="007C3911" w:rsidP="00F84A37">
      <w:pPr>
        <w:spacing w:line="360" w:lineRule="auto"/>
        <w:jc w:val="both"/>
        <w:rPr>
          <w:rFonts w:eastAsiaTheme="majorEastAsia"/>
        </w:rPr>
      </w:pPr>
    </w:p>
    <w:p w14:paraId="58C6ACB8" w14:textId="5B0E593D" w:rsidR="00690231" w:rsidRPr="001836F4" w:rsidRDefault="00690231" w:rsidP="00F84A37">
      <w:pPr>
        <w:spacing w:line="360" w:lineRule="auto"/>
        <w:jc w:val="both"/>
        <w:rPr>
          <w:rFonts w:eastAsiaTheme="majorEastAsia"/>
        </w:rPr>
      </w:pPr>
      <w:r w:rsidRPr="001836F4">
        <w:rPr>
          <w:rFonts w:eastAsiaTheme="majorEastAsia"/>
        </w:rPr>
        <w:t xml:space="preserve">In addition, Simufilam </w:t>
      </w:r>
      <w:r w:rsidR="47A6DCDA" w:rsidRPr="001836F4">
        <w:rPr>
          <w:rFonts w:eastAsiaTheme="majorEastAsia"/>
        </w:rPr>
        <w:t>Phase</w:t>
      </w:r>
      <w:r w:rsidRPr="001836F4">
        <w:rPr>
          <w:rFonts w:eastAsiaTheme="majorEastAsia"/>
        </w:rPr>
        <w:t xml:space="preserve"> II trial is </w:t>
      </w:r>
      <w:r w:rsidR="5D119E19" w:rsidRPr="001836F4">
        <w:rPr>
          <w:rFonts w:eastAsiaTheme="majorEastAsia"/>
        </w:rPr>
        <w:t xml:space="preserve">an </w:t>
      </w:r>
      <w:r w:rsidRPr="001836F4">
        <w:rPr>
          <w:rFonts w:eastAsiaTheme="majorEastAsia"/>
        </w:rPr>
        <w:t xml:space="preserve">open label and randomized trial. The 6-month randomized results are in no way statistically significant and the data from the open-label period are not </w:t>
      </w:r>
      <w:r w:rsidR="234CED27" w:rsidRPr="001836F4">
        <w:rPr>
          <w:rFonts w:eastAsiaTheme="majorEastAsia"/>
        </w:rPr>
        <w:t xml:space="preserve">conclusive to be considered </w:t>
      </w:r>
      <w:r w:rsidR="438E19DC" w:rsidRPr="001836F4">
        <w:rPr>
          <w:rFonts w:eastAsiaTheme="majorEastAsia"/>
        </w:rPr>
        <w:t>significant.</w:t>
      </w:r>
      <w:r w:rsidRPr="001836F4">
        <w:rPr>
          <w:rFonts w:eastAsiaTheme="majorEastAsia"/>
        </w:rPr>
        <w:t xml:space="preserve"> Additionally, </w:t>
      </w:r>
      <w:r w:rsidR="36250AE4" w:rsidRPr="001836F4">
        <w:rPr>
          <w:rFonts w:eastAsiaTheme="majorEastAsia"/>
        </w:rPr>
        <w:t>an open</w:t>
      </w:r>
      <w:r w:rsidRPr="001836F4">
        <w:rPr>
          <w:rFonts w:eastAsiaTheme="majorEastAsia"/>
        </w:rPr>
        <w:t xml:space="preserve"> label data is highly unreliable, and no true analysis nor conclusion can be based on these data </w:t>
      </w:r>
      <w:r w:rsidR="00822DBE" w:rsidRPr="001836F4">
        <w:rPr>
          <w:rFonts w:eastAsiaTheme="majorEastAsia"/>
        </w:rPr>
        <w:t>(</w:t>
      </w:r>
      <w:hyperlink r:id="rId146">
        <w:r w:rsidR="5D119E19" w:rsidRPr="001836F4">
          <w:rPr>
            <w:rStyle w:val="Hyperlink"/>
            <w:rFonts w:eastAsiaTheme="majorEastAsia"/>
          </w:rPr>
          <w:t>Day and Williams, 2007</w:t>
        </w:r>
      </w:hyperlink>
      <w:r w:rsidR="5D119E19" w:rsidRPr="001836F4">
        <w:rPr>
          <w:rFonts w:eastAsiaTheme="majorEastAsia"/>
        </w:rPr>
        <w:t>).</w:t>
      </w:r>
      <w:r w:rsidRPr="001836F4">
        <w:rPr>
          <w:rFonts w:eastAsiaTheme="majorEastAsia"/>
        </w:rPr>
        <w:t xml:space="preserve"> </w:t>
      </w:r>
      <w:r w:rsidR="7D2048D8" w:rsidRPr="001836F4">
        <w:rPr>
          <w:rFonts w:eastAsiaTheme="majorEastAsia"/>
        </w:rPr>
        <w:t>Therefore</w:t>
      </w:r>
      <w:r w:rsidR="36250AE4" w:rsidRPr="001836F4">
        <w:rPr>
          <w:rFonts w:eastAsiaTheme="majorEastAsia"/>
        </w:rPr>
        <w:t>, only</w:t>
      </w:r>
      <w:r w:rsidRPr="001836F4">
        <w:rPr>
          <w:rFonts w:eastAsiaTheme="majorEastAsia"/>
        </w:rPr>
        <w:t xml:space="preserve"> the randomized </w:t>
      </w:r>
      <w:r w:rsidR="36250AE4" w:rsidRPr="001836F4">
        <w:rPr>
          <w:rFonts w:eastAsiaTheme="majorEastAsia"/>
        </w:rPr>
        <w:t xml:space="preserve">part of the </w:t>
      </w:r>
      <w:r w:rsidRPr="001836F4">
        <w:rPr>
          <w:rFonts w:eastAsiaTheme="majorEastAsia"/>
        </w:rPr>
        <w:t xml:space="preserve">trial is worth analyzing, and </w:t>
      </w:r>
      <w:r w:rsidR="3E426494" w:rsidRPr="001836F4">
        <w:rPr>
          <w:rFonts w:eastAsiaTheme="majorEastAsia"/>
        </w:rPr>
        <w:t>when</w:t>
      </w:r>
      <w:r w:rsidRPr="001836F4">
        <w:rPr>
          <w:rFonts w:eastAsiaTheme="majorEastAsia"/>
        </w:rPr>
        <w:t xml:space="preserve"> </w:t>
      </w:r>
      <w:r w:rsidR="5A3C23A3" w:rsidRPr="001836F4">
        <w:rPr>
          <w:rFonts w:eastAsiaTheme="majorEastAsia"/>
        </w:rPr>
        <w:t>analyzed</w:t>
      </w:r>
      <w:r w:rsidR="2892A160" w:rsidRPr="001836F4">
        <w:rPr>
          <w:rFonts w:eastAsiaTheme="majorEastAsia"/>
        </w:rPr>
        <w:t>,</w:t>
      </w:r>
      <w:r w:rsidR="5A3C23A3" w:rsidRPr="001836F4">
        <w:rPr>
          <w:rFonts w:eastAsiaTheme="majorEastAsia"/>
        </w:rPr>
        <w:t xml:space="preserve"> the trial’s results can be considered </w:t>
      </w:r>
      <w:r w:rsidR="2892A160" w:rsidRPr="001836F4">
        <w:rPr>
          <w:rFonts w:eastAsiaTheme="majorEastAsia"/>
        </w:rPr>
        <w:t>insignificant</w:t>
      </w:r>
      <w:r w:rsidR="5A3C23A3" w:rsidRPr="001836F4">
        <w:rPr>
          <w:rFonts w:eastAsiaTheme="majorEastAsia"/>
        </w:rPr>
        <w:t>. </w:t>
      </w:r>
    </w:p>
    <w:p w14:paraId="5F39A111" w14:textId="77777777" w:rsidR="00DB5D99" w:rsidRPr="001836F4" w:rsidRDefault="00DB5D99" w:rsidP="00F84A37">
      <w:pPr>
        <w:spacing w:line="360" w:lineRule="auto"/>
        <w:jc w:val="both"/>
      </w:pPr>
    </w:p>
    <w:p w14:paraId="58DCE144" w14:textId="1D7E5572" w:rsidR="00690231" w:rsidRPr="001836F4" w:rsidRDefault="00690231" w:rsidP="00F84A37">
      <w:pPr>
        <w:spacing w:line="360" w:lineRule="auto"/>
        <w:jc w:val="both"/>
        <w:rPr>
          <w:rFonts w:eastAsiaTheme="majorEastAsia"/>
        </w:rPr>
      </w:pPr>
      <w:r w:rsidRPr="001836F4">
        <w:rPr>
          <w:rFonts w:eastAsiaTheme="majorEastAsia"/>
        </w:rPr>
        <w:t xml:space="preserve">Simufilam has a MOA that is not fully </w:t>
      </w:r>
      <w:r w:rsidR="18173000" w:rsidRPr="18173000">
        <w:rPr>
          <w:rFonts w:eastAsiaTheme="majorEastAsia"/>
        </w:rPr>
        <w:t>understood and</w:t>
      </w:r>
      <w:r w:rsidRPr="001836F4">
        <w:rPr>
          <w:rFonts w:eastAsiaTheme="majorEastAsia"/>
        </w:rPr>
        <w:t xml:space="preserve"> therefore could face some difficulties regarding its efficacy in the </w:t>
      </w:r>
      <w:r w:rsidR="2892A160" w:rsidRPr="001836F4">
        <w:rPr>
          <w:rFonts w:eastAsiaTheme="majorEastAsia"/>
        </w:rPr>
        <w:t>Phase</w:t>
      </w:r>
      <w:r w:rsidRPr="001836F4">
        <w:rPr>
          <w:rFonts w:eastAsiaTheme="majorEastAsia"/>
        </w:rPr>
        <w:t xml:space="preserve"> III trial</w:t>
      </w:r>
      <w:r w:rsidR="2892A160" w:rsidRPr="001836F4">
        <w:rPr>
          <w:rFonts w:eastAsiaTheme="majorEastAsia"/>
        </w:rPr>
        <w:t xml:space="preserve"> – considering that </w:t>
      </w:r>
      <w:r w:rsidRPr="001836F4">
        <w:rPr>
          <w:rFonts w:eastAsiaTheme="majorEastAsia"/>
        </w:rPr>
        <w:t xml:space="preserve">the patient population and diversification </w:t>
      </w:r>
      <w:r w:rsidR="2892A160" w:rsidRPr="001836F4">
        <w:rPr>
          <w:rFonts w:eastAsiaTheme="majorEastAsia"/>
        </w:rPr>
        <w:t>is</w:t>
      </w:r>
      <w:r w:rsidRPr="001836F4">
        <w:rPr>
          <w:rFonts w:eastAsiaTheme="majorEastAsia"/>
        </w:rPr>
        <w:t xml:space="preserve"> much higher than in the </w:t>
      </w:r>
      <w:r w:rsidR="2892A160" w:rsidRPr="001836F4">
        <w:rPr>
          <w:rFonts w:eastAsiaTheme="majorEastAsia"/>
        </w:rPr>
        <w:t>Phase</w:t>
      </w:r>
      <w:r w:rsidRPr="001836F4">
        <w:rPr>
          <w:rFonts w:eastAsiaTheme="majorEastAsia"/>
        </w:rPr>
        <w:t xml:space="preserve"> II trials. Additionally, the patient population has not been handpicked in contrary to a </w:t>
      </w:r>
      <w:r w:rsidR="2892A160" w:rsidRPr="001836F4">
        <w:rPr>
          <w:rFonts w:eastAsiaTheme="majorEastAsia"/>
        </w:rPr>
        <w:t>Phase</w:t>
      </w:r>
      <w:r w:rsidRPr="001836F4">
        <w:rPr>
          <w:rFonts w:eastAsiaTheme="majorEastAsia"/>
        </w:rPr>
        <w:t xml:space="preserve"> II trial. Therefore, the random effect in the </w:t>
      </w:r>
      <w:r w:rsidR="2892A160" w:rsidRPr="001836F4">
        <w:rPr>
          <w:rFonts w:eastAsiaTheme="majorEastAsia"/>
        </w:rPr>
        <w:t>Phase</w:t>
      </w:r>
      <w:r w:rsidRPr="001836F4">
        <w:rPr>
          <w:rFonts w:eastAsiaTheme="majorEastAsia"/>
        </w:rPr>
        <w:t xml:space="preserve"> III </w:t>
      </w:r>
      <w:r w:rsidR="47851D4A" w:rsidRPr="47851D4A">
        <w:rPr>
          <w:rFonts w:eastAsiaTheme="majorEastAsia"/>
        </w:rPr>
        <w:t>trials</w:t>
      </w:r>
      <w:r w:rsidRPr="001836F4">
        <w:rPr>
          <w:rFonts w:eastAsiaTheme="majorEastAsia"/>
        </w:rPr>
        <w:t xml:space="preserve"> will disappear</w:t>
      </w:r>
      <w:r w:rsidR="2892A160" w:rsidRPr="001836F4">
        <w:rPr>
          <w:rFonts w:eastAsiaTheme="majorEastAsia"/>
        </w:rPr>
        <w:t>,</w:t>
      </w:r>
      <w:r w:rsidRPr="001836F4">
        <w:rPr>
          <w:rFonts w:eastAsiaTheme="majorEastAsia"/>
        </w:rPr>
        <w:t xml:space="preserve"> and the true results will emerge </w:t>
      </w:r>
      <w:r w:rsidR="2892A160" w:rsidRPr="001836F4">
        <w:rPr>
          <w:rFonts w:eastAsiaTheme="majorEastAsia"/>
        </w:rPr>
        <w:t>-</w:t>
      </w:r>
      <w:r w:rsidRPr="001836F4">
        <w:rPr>
          <w:rFonts w:eastAsiaTheme="majorEastAsia"/>
        </w:rPr>
        <w:t xml:space="preserve"> according to our evaluation </w:t>
      </w:r>
      <w:r w:rsidR="2892A160" w:rsidRPr="001836F4">
        <w:rPr>
          <w:rFonts w:eastAsiaTheme="majorEastAsia"/>
        </w:rPr>
        <w:t xml:space="preserve">will </w:t>
      </w:r>
      <w:r w:rsidRPr="001836F4">
        <w:rPr>
          <w:rFonts w:eastAsiaTheme="majorEastAsia"/>
        </w:rPr>
        <w:t>prove that Simufilam is not effective in Alzheimer’s. </w:t>
      </w:r>
    </w:p>
    <w:p w14:paraId="4165831D" w14:textId="77777777" w:rsidR="0013521F" w:rsidRPr="001836F4" w:rsidRDefault="0013521F" w:rsidP="00F84A37">
      <w:pPr>
        <w:spacing w:line="360" w:lineRule="auto"/>
        <w:jc w:val="both"/>
      </w:pPr>
    </w:p>
    <w:p w14:paraId="2A36077C" w14:textId="77777777" w:rsidR="00DB5D99" w:rsidRPr="001836F4" w:rsidRDefault="00DB5D99" w:rsidP="00F84A37">
      <w:pPr>
        <w:spacing w:line="360" w:lineRule="auto"/>
        <w:jc w:val="both"/>
      </w:pPr>
    </w:p>
    <w:p w14:paraId="17E4A7D2" w14:textId="0D8490DB" w:rsidR="0016072F" w:rsidRPr="001836F4" w:rsidRDefault="5183A6D9" w:rsidP="5183A6D9">
      <w:pPr>
        <w:pStyle w:val="Heading2"/>
        <w:rPr>
          <w:rFonts w:ascii="Times New Roman" w:eastAsia="Times New Roman" w:hAnsi="Times New Roman" w:cs="Times New Roman"/>
          <w:b/>
          <w:bCs/>
          <w:color w:val="auto"/>
        </w:rPr>
      </w:pPr>
      <w:bookmarkStart w:id="37" w:name="_Toc753430456"/>
      <w:r w:rsidRPr="5183A6D9">
        <w:rPr>
          <w:rFonts w:ascii="Times New Roman" w:eastAsia="Times New Roman" w:hAnsi="Times New Roman" w:cs="Times New Roman"/>
          <w:b/>
          <w:bCs/>
          <w:color w:val="auto"/>
        </w:rPr>
        <w:t>Conclusion</w:t>
      </w:r>
      <w:bookmarkEnd w:id="37"/>
    </w:p>
    <w:p w14:paraId="59DB7143" w14:textId="473C25CC" w:rsidR="00D93676" w:rsidRPr="00876DE6" w:rsidRDefault="0AFEF097" w:rsidP="00876DE6">
      <w:pPr>
        <w:spacing w:line="360" w:lineRule="auto"/>
        <w:jc w:val="both"/>
        <w:rPr>
          <w:rFonts w:eastAsiaTheme="majorEastAsia"/>
        </w:rPr>
      </w:pPr>
      <w:r w:rsidRPr="0AFEF097">
        <w:rPr>
          <w:rFonts w:eastAsiaTheme="majorEastAsia"/>
        </w:rPr>
        <w:t xml:space="preserve">To conclude, this part on the scientific approach and mechanism of action of Simufilam. We evaluated that the drug may have some effects, however those effects even if achieved would be too small to have a true and lasting impact on Alzheimer’s. Furthermore, Simufilam has significant deficiencies in its MOA, and it is not even clear if the alleged MOA works. Therefore, it would </w:t>
      </w:r>
      <w:r w:rsidRPr="0AFEF097">
        <w:rPr>
          <w:rFonts w:eastAsiaTheme="majorEastAsia"/>
        </w:rPr>
        <w:lastRenderedPageBreak/>
        <w:t xml:space="preserve">not be wise or evidence-backed to make a statement that Simufilam is going to work on Alzheimer’s patients. The stabilization or reduction of the advancement of the disease is highly improbable. It would not be a well-supported decision to bet on the results of the ongoing Phase III trial of Simufilam as being statistically or clinically significant. Our exact prediction in percentage value of probability for success and failure is written in the section </w:t>
      </w:r>
      <w:r w:rsidRPr="0AFEF097">
        <w:rPr>
          <w:rFonts w:eastAsiaTheme="majorEastAsia"/>
          <w:i/>
          <w:iCs/>
        </w:rPr>
        <w:t>Simufilam’s Probability of Success</w:t>
      </w:r>
      <w:r w:rsidRPr="0AFEF097">
        <w:rPr>
          <w:rFonts w:eastAsiaTheme="majorEastAsia"/>
        </w:rPr>
        <w:t>. </w:t>
      </w:r>
    </w:p>
    <w:p w14:paraId="55C6B284" w14:textId="77777777" w:rsidR="00207250" w:rsidRDefault="00207250" w:rsidP="00FD21A0">
      <w:pPr>
        <w:spacing w:line="360" w:lineRule="auto"/>
      </w:pPr>
    </w:p>
    <w:p w14:paraId="11D1795D" w14:textId="672512AF" w:rsidR="00572890" w:rsidRDefault="00572890" w:rsidP="00FD21A0">
      <w:pPr>
        <w:spacing w:line="360" w:lineRule="auto"/>
      </w:pPr>
    </w:p>
    <w:p w14:paraId="5FCE2A32" w14:textId="77777777" w:rsidR="00A908A9" w:rsidRPr="00B272B4" w:rsidRDefault="00A908A9" w:rsidP="00C44E4A">
      <w:pPr>
        <w:spacing w:line="360" w:lineRule="auto"/>
        <w:jc w:val="both"/>
      </w:pPr>
    </w:p>
    <w:p w14:paraId="4F6E6042" w14:textId="77777777" w:rsidR="00C44E4A" w:rsidRPr="00D03DE5" w:rsidRDefault="00C44E4A" w:rsidP="00D03DE5">
      <w:pPr>
        <w:spacing w:line="360" w:lineRule="auto"/>
        <w:rPr>
          <w:color w:val="000000" w:themeColor="text1"/>
        </w:rPr>
      </w:pPr>
    </w:p>
    <w:p w14:paraId="047DBEA2" w14:textId="77777777" w:rsidR="00D05B6A" w:rsidRPr="001F2027" w:rsidRDefault="5183A6D9" w:rsidP="00D05B6A">
      <w:pPr>
        <w:pStyle w:val="Heading1"/>
        <w:spacing w:line="360" w:lineRule="auto"/>
        <w:rPr>
          <w:rFonts w:ascii="Times New Roman" w:hAnsi="Times New Roman" w:cs="Times New Roman"/>
          <w:b/>
          <w:bCs/>
          <w:color w:val="000000" w:themeColor="text1"/>
        </w:rPr>
      </w:pPr>
      <w:bookmarkStart w:id="38" w:name="_Toc201548271"/>
      <w:r w:rsidRPr="5183A6D9">
        <w:rPr>
          <w:rFonts w:ascii="Times New Roman" w:hAnsi="Times New Roman" w:cs="Times New Roman"/>
          <w:b/>
          <w:bCs/>
          <w:color w:val="000000" w:themeColor="text1"/>
        </w:rPr>
        <w:t>Probability Analysis: Quantifying the Likelihood of Simufilam’s Failure</w:t>
      </w:r>
      <w:bookmarkEnd w:id="38"/>
    </w:p>
    <w:p w14:paraId="6706F144" w14:textId="77777777" w:rsidR="00D05B6A" w:rsidRPr="00D03DE5" w:rsidRDefault="00D05B6A" w:rsidP="00D05B6A">
      <w:pPr>
        <w:spacing w:line="360" w:lineRule="auto"/>
        <w:rPr>
          <w:color w:val="000000" w:themeColor="text1"/>
        </w:rPr>
      </w:pPr>
      <w:r w:rsidRPr="00D03DE5">
        <w:rPr>
          <w:color w:val="000000" w:themeColor="text1"/>
        </w:rPr>
        <w:t xml:space="preserve">The challenge with evaluating Simufilam, the drug developed by Cassava Sciences, lies not in the intuitive understanding that it is unlikely to demonstrate statistical significance for its primary endpoint, but in the rigorous task of quantifying this failure. While it may seem self-evident from our analysis that Simufilam will be ineffective, translating this intuition into a formal, quantifiable probability model is far more complex. This complexity is reminiscent of </w:t>
      </w:r>
      <w:r w:rsidRPr="00D03DE5">
        <w:rPr>
          <w:i/>
          <w:iCs/>
          <w:color w:val="000000" w:themeColor="text1"/>
        </w:rPr>
        <w:t>Leibniz’s</w:t>
      </w:r>
      <w:r w:rsidRPr="00D03DE5">
        <w:rPr>
          <w:color w:val="000000" w:themeColor="text1"/>
        </w:rPr>
        <w:t xml:space="preserve"> efforts to mathematically prove that 2+2 equals 4 - what appears to be common sense becomes intricate when subjected to formal demonstration.</w:t>
      </w:r>
    </w:p>
    <w:p w14:paraId="1062A22F" w14:textId="77777777" w:rsidR="00D05B6A" w:rsidRPr="00D03DE5" w:rsidRDefault="00D05B6A" w:rsidP="00D05B6A">
      <w:pPr>
        <w:spacing w:line="360" w:lineRule="auto"/>
        <w:rPr>
          <w:color w:val="000000" w:themeColor="text1"/>
        </w:rPr>
      </w:pPr>
    </w:p>
    <w:p w14:paraId="32F4AECE" w14:textId="77777777" w:rsidR="00D05B6A" w:rsidRPr="00D03DE5" w:rsidRDefault="00D05B6A" w:rsidP="00D05B6A">
      <w:pPr>
        <w:spacing w:line="360" w:lineRule="auto"/>
        <w:rPr>
          <w:color w:val="000000" w:themeColor="text1"/>
        </w:rPr>
      </w:pPr>
      <w:r w:rsidRPr="00D03DE5">
        <w:rPr>
          <w:color w:val="000000" w:themeColor="text1"/>
        </w:rPr>
        <w:t>In our case, the task is made even more difficult with the allegations of data manipulation surrounding Simufilam's clinical trials. Manipulated data introduces uncertainty, making it unreliable for statistical modeling. When working with manipulated data, the results can no longer be trusted, since the underlying information has been compromised. The difficulty compounds when multiple questionable datasets are aggregated to form a probability model; the inaccuracies build upon each other, making it impossible to reach a sound conclusion.</w:t>
      </w:r>
    </w:p>
    <w:p w14:paraId="6FE2E47B" w14:textId="77777777" w:rsidR="00D05B6A" w:rsidRPr="00D03DE5" w:rsidRDefault="00D05B6A" w:rsidP="00D05B6A">
      <w:pPr>
        <w:spacing w:line="360" w:lineRule="auto"/>
        <w:rPr>
          <w:color w:val="000000" w:themeColor="text1"/>
        </w:rPr>
      </w:pPr>
    </w:p>
    <w:p w14:paraId="6E64461B" w14:textId="77777777" w:rsidR="00D05B6A" w:rsidRPr="00D03DE5" w:rsidRDefault="00D05B6A" w:rsidP="00D05B6A">
      <w:pPr>
        <w:spacing w:line="360" w:lineRule="auto"/>
        <w:rPr>
          <w:color w:val="000000" w:themeColor="text1"/>
        </w:rPr>
      </w:pPr>
      <w:r w:rsidRPr="00D03DE5">
        <w:rPr>
          <w:color w:val="000000" w:themeColor="text1"/>
        </w:rPr>
        <w:lastRenderedPageBreak/>
        <w:t xml:space="preserve">Therefore, to ensure the robustness of our analysis, we will proceed with the ‘purest’ form of mathematics to demonstrate, step by step, that Simufilam is unlikely to succeed. Our analysis employs a </w:t>
      </w:r>
      <w:r w:rsidRPr="00D03DE5">
        <w:rPr>
          <w:i/>
          <w:iCs/>
          <w:color w:val="000000" w:themeColor="text1"/>
        </w:rPr>
        <w:t>Conditional Probability Model</w:t>
      </w:r>
      <w:r w:rsidRPr="00D03DE5">
        <w:rPr>
          <w:color w:val="000000" w:themeColor="text1"/>
        </w:rPr>
        <w:t xml:space="preserve"> to provide a nuanced view of Simufilam’s likelihood of success in Phase III trials. This model goes beyond binary predictions, using interconnected probabilities to gauge the likelihood of achieving the trial’s primary endpoint. Each component’s success depends on the preceding conditions, allowing a comprehensive analysis based on four critical factors:</w:t>
      </w:r>
    </w:p>
    <w:p w14:paraId="17E26ABA" w14:textId="77777777" w:rsidR="00D05B6A" w:rsidRPr="00D03DE5" w:rsidRDefault="00D05B6A" w:rsidP="00D05B6A">
      <w:pPr>
        <w:spacing w:line="360" w:lineRule="auto"/>
        <w:rPr>
          <w:color w:val="000000" w:themeColor="text1"/>
        </w:rPr>
      </w:pPr>
    </w:p>
    <w:p w14:paraId="64253138" w14:textId="77777777" w:rsidR="00D05B6A" w:rsidRPr="00D03DE5" w:rsidRDefault="00D05B6A" w:rsidP="00D05B6A">
      <w:pPr>
        <w:numPr>
          <w:ilvl w:val="0"/>
          <w:numId w:val="54"/>
        </w:numPr>
        <w:spacing w:line="360" w:lineRule="auto"/>
        <w:rPr>
          <w:color w:val="000000" w:themeColor="text1"/>
        </w:rPr>
      </w:pPr>
      <w:hyperlink w:anchor="_1._Probability_of" w:history="1">
        <w:r w:rsidRPr="00383F00">
          <w:rPr>
            <w:rStyle w:val="Hyperlink"/>
          </w:rPr>
          <w:t>Target Validity P(T)</w:t>
        </w:r>
      </w:hyperlink>
    </w:p>
    <w:p w14:paraId="01DE0E69" w14:textId="77777777" w:rsidR="00D05B6A" w:rsidRPr="00D03DE5" w:rsidRDefault="00D05B6A" w:rsidP="00D05B6A">
      <w:pPr>
        <w:numPr>
          <w:ilvl w:val="0"/>
          <w:numId w:val="54"/>
        </w:numPr>
        <w:spacing w:line="360" w:lineRule="auto"/>
        <w:rPr>
          <w:color w:val="000000" w:themeColor="text1"/>
        </w:rPr>
      </w:pPr>
      <w:hyperlink w:anchor="_2._Probability_that" w:history="1">
        <w:r w:rsidRPr="00383F00">
          <w:rPr>
            <w:rStyle w:val="Hyperlink"/>
          </w:rPr>
          <w:t>Drug Design P(D)</w:t>
        </w:r>
      </w:hyperlink>
    </w:p>
    <w:p w14:paraId="3EDB762F" w14:textId="77777777" w:rsidR="00D05B6A" w:rsidRPr="00D03DE5" w:rsidRDefault="00D05B6A" w:rsidP="00D05B6A">
      <w:pPr>
        <w:numPr>
          <w:ilvl w:val="0"/>
          <w:numId w:val="54"/>
        </w:numPr>
        <w:spacing w:line="360" w:lineRule="auto"/>
        <w:rPr>
          <w:color w:val="000000" w:themeColor="text1"/>
        </w:rPr>
      </w:pPr>
      <w:hyperlink w:anchor="_3._Probability_that" w:history="1">
        <w:r w:rsidRPr="00383F00">
          <w:rPr>
            <w:rStyle w:val="Hyperlink"/>
          </w:rPr>
          <w:t>Phase III Success Given Phase II Failure P(PS3)</w:t>
        </w:r>
      </w:hyperlink>
    </w:p>
    <w:p w14:paraId="0451D115" w14:textId="77777777" w:rsidR="00D05B6A" w:rsidRPr="00D03DE5" w:rsidRDefault="00D05B6A" w:rsidP="00D05B6A">
      <w:pPr>
        <w:numPr>
          <w:ilvl w:val="0"/>
          <w:numId w:val="54"/>
        </w:numPr>
        <w:spacing w:line="360" w:lineRule="auto"/>
        <w:rPr>
          <w:color w:val="000000" w:themeColor="text1"/>
        </w:rPr>
      </w:pPr>
      <w:hyperlink w:anchor="_4._Probability_that" w:history="1">
        <w:r w:rsidRPr="00383F00">
          <w:rPr>
            <w:rStyle w:val="Hyperlink"/>
          </w:rPr>
          <w:t>Design of the Phase III trial P(P3D)</w:t>
        </w:r>
      </w:hyperlink>
    </w:p>
    <w:p w14:paraId="51CEBB3D" w14:textId="77777777" w:rsidR="00D05B6A" w:rsidRPr="00D03DE5" w:rsidRDefault="00D05B6A" w:rsidP="00D05B6A">
      <w:pPr>
        <w:spacing w:line="360" w:lineRule="auto"/>
        <w:ind w:left="720"/>
        <w:rPr>
          <w:color w:val="000000" w:themeColor="text1"/>
        </w:rPr>
      </w:pPr>
    </w:p>
    <w:p w14:paraId="02F1FE3D" w14:textId="77777777" w:rsidR="00D05B6A" w:rsidRPr="00D03DE5" w:rsidRDefault="00D05B6A" w:rsidP="00D05B6A">
      <w:pPr>
        <w:spacing w:line="360" w:lineRule="auto"/>
        <w:rPr>
          <w:color w:val="000000" w:themeColor="text1"/>
        </w:rPr>
      </w:pPr>
      <m:oMathPara>
        <m:oMath>
          <m:r>
            <w:rPr>
              <w:rFonts w:ascii="Cambria Math" w:hAnsi="Cambria Math"/>
              <w:color w:val="000000" w:themeColor="text1"/>
            </w:rPr>
            <m:t>P(S)=P(T)*P(D)*P(PS3)*P(P3D)</m:t>
          </m:r>
        </m:oMath>
      </m:oMathPara>
    </w:p>
    <w:p w14:paraId="18B30CEE" w14:textId="77777777" w:rsidR="00D05B6A" w:rsidRPr="00D03DE5" w:rsidRDefault="00D05B6A" w:rsidP="00D05B6A">
      <w:pPr>
        <w:pStyle w:val="Heading2"/>
        <w:spacing w:line="360" w:lineRule="auto"/>
        <w:rPr>
          <w:rFonts w:ascii="Times New Roman" w:hAnsi="Times New Roman" w:cs="Times New Roman"/>
          <w:color w:val="000000" w:themeColor="text1"/>
        </w:rPr>
      </w:pPr>
    </w:p>
    <w:p w14:paraId="2803C4BB" w14:textId="77777777" w:rsidR="00D05B6A" w:rsidRPr="00D03DE5" w:rsidRDefault="5183A6D9" w:rsidP="00D05B6A">
      <w:pPr>
        <w:pStyle w:val="Heading2"/>
        <w:spacing w:line="360" w:lineRule="auto"/>
        <w:rPr>
          <w:rFonts w:ascii="Times New Roman" w:hAnsi="Times New Roman" w:cs="Times New Roman"/>
          <w:color w:val="000000" w:themeColor="text1"/>
        </w:rPr>
      </w:pPr>
      <w:bookmarkStart w:id="39" w:name="_Toc59425240"/>
      <w:r w:rsidRPr="5183A6D9">
        <w:rPr>
          <w:rFonts w:ascii="Times New Roman" w:hAnsi="Times New Roman" w:cs="Times New Roman"/>
          <w:color w:val="000000" w:themeColor="text1"/>
        </w:rPr>
        <w:t>1. Probability of FLNA as a Target for AD</w:t>
      </w:r>
      <w:bookmarkEnd w:id="39"/>
    </w:p>
    <w:p w14:paraId="339F023E" w14:textId="77777777" w:rsidR="00D05B6A" w:rsidRPr="00D03DE5" w:rsidRDefault="00D05B6A" w:rsidP="00D05B6A">
      <w:pPr>
        <w:spacing w:line="360" w:lineRule="auto"/>
        <w:rPr>
          <w:color w:val="000000" w:themeColor="text1"/>
        </w:rPr>
      </w:pPr>
      <w:r w:rsidRPr="00D03DE5">
        <w:rPr>
          <w:color w:val="000000" w:themeColor="text1"/>
        </w:rPr>
        <w:t xml:space="preserve">To rigorously evaluate the probability that FLNA is a viable therapeutic target for Alzheimer’s Disease, we developed a conditional probability model. Although initial evidence suggests limited effectiveness, translating this insight into a formal, quantifiable probability model is complex. Like </w:t>
      </w:r>
      <w:r w:rsidRPr="00D03DE5">
        <w:rPr>
          <w:i/>
          <w:iCs/>
          <w:color w:val="000000" w:themeColor="text1"/>
        </w:rPr>
        <w:t>Leibniz’s</w:t>
      </w:r>
      <w:r w:rsidRPr="00D03DE5">
        <w:rPr>
          <w:color w:val="000000" w:themeColor="text1"/>
        </w:rPr>
        <w:t xml:space="preserve"> work to prove basic arithmetic, formalizing intuitive beliefs about FLNA’s limitations requires precision, especially when faced with uncertainties in available data.</w:t>
      </w:r>
    </w:p>
    <w:p w14:paraId="7625C2DC" w14:textId="77777777" w:rsidR="00D05B6A" w:rsidRPr="00D03DE5" w:rsidRDefault="00D05B6A" w:rsidP="00D05B6A">
      <w:pPr>
        <w:spacing w:line="360" w:lineRule="auto"/>
        <w:rPr>
          <w:color w:val="000000" w:themeColor="text1"/>
        </w:rPr>
      </w:pPr>
    </w:p>
    <w:p w14:paraId="21B176EC" w14:textId="77777777" w:rsidR="00D05B6A" w:rsidRDefault="00D05B6A" w:rsidP="00D05B6A">
      <w:pPr>
        <w:spacing w:line="360" w:lineRule="auto"/>
        <w:rPr>
          <w:color w:val="000000" w:themeColor="text1"/>
        </w:rPr>
      </w:pPr>
      <w:r w:rsidRPr="00C84EEB">
        <w:rPr>
          <w:color w:val="000000" w:themeColor="text1"/>
        </w:rPr>
        <w:t>Our method integrates a weighted probability system across five critical factors, each influencing FLNA's likelihood of being a valid target. This conditional probability framework is effective because it:</w:t>
      </w:r>
    </w:p>
    <w:p w14:paraId="302BFF19" w14:textId="77777777" w:rsidR="00D05B6A" w:rsidRPr="00C84EEB" w:rsidRDefault="00D05B6A" w:rsidP="00D05B6A">
      <w:pPr>
        <w:spacing w:line="360" w:lineRule="auto"/>
        <w:rPr>
          <w:color w:val="000000" w:themeColor="text1"/>
        </w:rPr>
      </w:pPr>
    </w:p>
    <w:p w14:paraId="22E620E0" w14:textId="77777777" w:rsidR="00D05B6A" w:rsidRPr="00C84EEB" w:rsidRDefault="00D05B6A" w:rsidP="00D05B6A">
      <w:pPr>
        <w:numPr>
          <w:ilvl w:val="0"/>
          <w:numId w:val="50"/>
        </w:numPr>
        <w:spacing w:line="360" w:lineRule="auto"/>
        <w:rPr>
          <w:color w:val="000000" w:themeColor="text1"/>
        </w:rPr>
      </w:pPr>
      <w:r w:rsidRPr="00C84EEB">
        <w:rPr>
          <w:color w:val="000000" w:themeColor="text1"/>
          <w:u w:val="single"/>
        </w:rPr>
        <w:t>Encompasses Multi-Dimensional Data</w:t>
      </w:r>
      <w:r w:rsidRPr="00D03DE5">
        <w:rPr>
          <w:color w:val="000000" w:themeColor="text1"/>
        </w:rPr>
        <w:t>:</w:t>
      </w:r>
      <w:r w:rsidRPr="00C84EEB">
        <w:rPr>
          <w:color w:val="000000" w:themeColor="text1"/>
        </w:rPr>
        <w:t xml:space="preserve"> </w:t>
      </w:r>
      <w:r w:rsidRPr="00D03DE5">
        <w:rPr>
          <w:color w:val="000000" w:themeColor="text1"/>
        </w:rPr>
        <w:t>AD</w:t>
      </w:r>
      <w:r w:rsidRPr="00C84EEB">
        <w:rPr>
          <w:color w:val="000000" w:themeColor="text1"/>
        </w:rPr>
        <w:t xml:space="preserve"> is a complex disease, involving multiple pathways and biomarkers. By assigning each factor a probability score, we avoid the </w:t>
      </w:r>
      <w:r w:rsidRPr="00C84EEB">
        <w:rPr>
          <w:color w:val="000000" w:themeColor="text1"/>
        </w:rPr>
        <w:lastRenderedPageBreak/>
        <w:t>oversimplification seen in single-factor models and account for the diverse, albeit limited, evidence related to FLNA’s role.</w:t>
      </w:r>
    </w:p>
    <w:p w14:paraId="7187ED17" w14:textId="77777777" w:rsidR="00D05B6A" w:rsidRPr="00C84EEB" w:rsidRDefault="00D05B6A" w:rsidP="00D05B6A">
      <w:pPr>
        <w:numPr>
          <w:ilvl w:val="0"/>
          <w:numId w:val="50"/>
        </w:numPr>
        <w:spacing w:line="360" w:lineRule="auto"/>
        <w:rPr>
          <w:color w:val="000000" w:themeColor="text1"/>
        </w:rPr>
      </w:pPr>
      <w:r w:rsidRPr="00C84EEB">
        <w:rPr>
          <w:color w:val="000000" w:themeColor="text1"/>
          <w:u w:val="single"/>
        </w:rPr>
        <w:t>Provides Clear Quantitative Outcomes</w:t>
      </w:r>
      <w:r w:rsidRPr="00D03DE5">
        <w:rPr>
          <w:color w:val="000000" w:themeColor="text1"/>
        </w:rPr>
        <w:t>:</w:t>
      </w:r>
      <w:r w:rsidRPr="00C84EEB">
        <w:rPr>
          <w:color w:val="000000" w:themeColor="text1"/>
        </w:rPr>
        <w:t xml:space="preserve"> Each probability score is multiplied, making the model sensitive to variances across factors. This cumulative structure provides a mathematically rigorous approach to conditional probability, where lower scores in any factor significantly impact the final result. This conservatism is crucial in fields like AD research, where overestimating therapeutic potential can lead to costly and ineffective trials.</w:t>
      </w:r>
    </w:p>
    <w:p w14:paraId="069F82A5" w14:textId="77777777" w:rsidR="00D05B6A" w:rsidRPr="00C84EEB" w:rsidRDefault="00D05B6A" w:rsidP="00D05B6A">
      <w:pPr>
        <w:numPr>
          <w:ilvl w:val="0"/>
          <w:numId w:val="50"/>
        </w:numPr>
        <w:spacing w:line="360" w:lineRule="auto"/>
        <w:rPr>
          <w:color w:val="000000" w:themeColor="text1"/>
        </w:rPr>
      </w:pPr>
      <w:r w:rsidRPr="00C84EEB">
        <w:rPr>
          <w:color w:val="000000" w:themeColor="text1"/>
          <w:u w:val="single"/>
        </w:rPr>
        <w:t>Mitigates Bias from Unverified Data</w:t>
      </w:r>
      <w:r w:rsidRPr="00C84EEB">
        <w:rPr>
          <w:color w:val="000000" w:themeColor="text1"/>
        </w:rPr>
        <w:t>: Incorporating independent validation (IV) minimizes reliance on data from Cassava Sciences. Without accounting for this, probability models could inflate FLNA’s viability due to the limited diversity of data sources.</w:t>
      </w:r>
    </w:p>
    <w:p w14:paraId="3063AE03" w14:textId="77777777" w:rsidR="00D05B6A" w:rsidRPr="00D03DE5" w:rsidRDefault="00D05B6A" w:rsidP="00D05B6A">
      <w:pPr>
        <w:spacing w:line="360" w:lineRule="auto"/>
        <w:rPr>
          <w:b/>
          <w:bCs/>
          <w:color w:val="000000" w:themeColor="text1"/>
        </w:rPr>
      </w:pPr>
    </w:p>
    <w:p w14:paraId="7B177A29" w14:textId="77777777" w:rsidR="00D05B6A" w:rsidRDefault="00D05B6A" w:rsidP="00D05B6A">
      <w:pPr>
        <w:spacing w:line="360" w:lineRule="auto"/>
        <w:rPr>
          <w:color w:val="000000" w:themeColor="text1"/>
        </w:rPr>
      </w:pPr>
      <w:r w:rsidRPr="00C84EEB">
        <w:rPr>
          <w:color w:val="000000" w:themeColor="text1"/>
        </w:rPr>
        <w:t>Alternative models, such as non-weighted averages or qualitative assessments, suffer from significant drawbacks when applied to probabilistic determinations of therapeutic targets:</w:t>
      </w:r>
    </w:p>
    <w:p w14:paraId="4EB66543" w14:textId="77777777" w:rsidR="00D05B6A" w:rsidRPr="00C84EEB" w:rsidRDefault="00D05B6A" w:rsidP="00D05B6A">
      <w:pPr>
        <w:spacing w:line="360" w:lineRule="auto"/>
        <w:rPr>
          <w:color w:val="000000" w:themeColor="text1"/>
        </w:rPr>
      </w:pPr>
    </w:p>
    <w:p w14:paraId="4657AA9C" w14:textId="77777777" w:rsidR="00D05B6A" w:rsidRPr="00C84EEB" w:rsidRDefault="00D05B6A" w:rsidP="00D05B6A">
      <w:pPr>
        <w:numPr>
          <w:ilvl w:val="0"/>
          <w:numId w:val="51"/>
        </w:numPr>
        <w:spacing w:line="360" w:lineRule="auto"/>
        <w:rPr>
          <w:color w:val="000000" w:themeColor="text1"/>
        </w:rPr>
      </w:pPr>
      <w:r w:rsidRPr="00C84EEB">
        <w:rPr>
          <w:color w:val="000000" w:themeColor="text1"/>
          <w:u w:val="single"/>
        </w:rPr>
        <w:t>Single-Factor or Unweighted Models Lack Nuance</w:t>
      </w:r>
      <w:r w:rsidRPr="00C84EEB">
        <w:rPr>
          <w:color w:val="000000" w:themeColor="text1"/>
        </w:rPr>
        <w:t>: If we were to average the scores of each factor without weighting or combine them in a simplistic manner, the model would ignore essential variability across factors. For example, it would overlook the fact that the weak association with cognitive decline (PPCD = 0.1) should lower the overall probability more than independent validation (IV = 0.3) alone.</w:t>
      </w:r>
    </w:p>
    <w:p w14:paraId="2C38F266" w14:textId="77777777" w:rsidR="00D05B6A" w:rsidRPr="00C84EEB" w:rsidRDefault="00D05B6A" w:rsidP="00D05B6A">
      <w:pPr>
        <w:numPr>
          <w:ilvl w:val="0"/>
          <w:numId w:val="51"/>
        </w:numPr>
        <w:spacing w:line="360" w:lineRule="auto"/>
        <w:rPr>
          <w:color w:val="000000" w:themeColor="text1"/>
        </w:rPr>
      </w:pPr>
      <w:r w:rsidRPr="00C84EEB">
        <w:rPr>
          <w:color w:val="000000" w:themeColor="text1"/>
          <w:u w:val="single"/>
        </w:rPr>
        <w:t>Over-Reliance on Strong Associations</w:t>
      </w:r>
      <w:r w:rsidRPr="00C84EEB">
        <w:rPr>
          <w:color w:val="000000" w:themeColor="text1"/>
        </w:rPr>
        <w:t>: Relying solely on strong markers, such as Aβ (0.45), while ignoring weaker ones, could create a falsely optimistic probability score. Our cumulative approach avoids this by ensuring that weak evidence in any one area diminishes the overall score accordingly.</w:t>
      </w:r>
    </w:p>
    <w:p w14:paraId="1FB7F0B9" w14:textId="77777777" w:rsidR="00D05B6A" w:rsidRPr="00D03DE5" w:rsidRDefault="00D05B6A" w:rsidP="00D05B6A">
      <w:pPr>
        <w:spacing w:line="360" w:lineRule="auto"/>
        <w:rPr>
          <w:color w:val="000000" w:themeColor="text1"/>
        </w:rPr>
      </w:pPr>
    </w:p>
    <w:p w14:paraId="6E9AAF7D" w14:textId="77777777" w:rsidR="00D05B6A" w:rsidRPr="00D03DE5" w:rsidRDefault="00D05B6A" w:rsidP="00D05B6A">
      <w:pPr>
        <w:spacing w:line="360" w:lineRule="auto"/>
        <w:rPr>
          <w:color w:val="000000" w:themeColor="text1"/>
        </w:rPr>
      </w:pPr>
      <w:r w:rsidRPr="00D03DE5">
        <w:rPr>
          <w:color w:val="000000" w:themeColor="text1"/>
        </w:rPr>
        <w:t>First, we need to define and weight each of five factor that contributes to the fact that FLNA is a potential target for AD or not. So, we will be assigned for each factor a probability score (0–1) to quantify support for FLNA as a target. This approach is nuanced, allowing each component’s probability to affect the final likelihood:</w:t>
      </w:r>
    </w:p>
    <w:p w14:paraId="3F4B36C9" w14:textId="77777777" w:rsidR="00D05B6A" w:rsidRPr="00D03DE5" w:rsidRDefault="00D05B6A" w:rsidP="00D05B6A">
      <w:pPr>
        <w:spacing w:line="360" w:lineRule="auto"/>
        <w:rPr>
          <w:color w:val="000000" w:themeColor="text1"/>
        </w:rPr>
      </w:pPr>
    </w:p>
    <w:p w14:paraId="438197E8" w14:textId="77777777" w:rsidR="00D05B6A" w:rsidRPr="00D03DE5" w:rsidRDefault="5183A6D9" w:rsidP="00D05B6A">
      <w:pPr>
        <w:pStyle w:val="Heading3"/>
        <w:spacing w:line="360" w:lineRule="auto"/>
        <w:rPr>
          <w:rFonts w:cs="Times New Roman"/>
          <w:color w:val="000000" w:themeColor="text1"/>
        </w:rPr>
      </w:pPr>
      <w:bookmarkStart w:id="40" w:name="_Toc1251871684"/>
      <w:r w:rsidRPr="5183A6D9">
        <w:rPr>
          <w:rFonts w:cs="Times New Roman"/>
          <w:color w:val="000000" w:themeColor="text1"/>
        </w:rPr>
        <w:lastRenderedPageBreak/>
        <w:t>Pathogenic Link Validity (PLV)</w:t>
      </w:r>
      <w:bookmarkEnd w:id="40"/>
    </w:p>
    <w:p w14:paraId="5DAD85C8" w14:textId="77777777" w:rsidR="00D05B6A" w:rsidRDefault="00D05B6A" w:rsidP="00D05B6A">
      <w:pPr>
        <w:spacing w:line="360" w:lineRule="auto"/>
        <w:rPr>
          <w:color w:val="000000" w:themeColor="text1"/>
        </w:rPr>
      </w:pPr>
      <w:r w:rsidRPr="00D03DE5">
        <w:rPr>
          <w:color w:val="000000" w:themeColor="text1"/>
        </w:rPr>
        <w:t>Measures the extent to which FLNA is implicated in AD pathology, such as associations with amyloid-beta (Aβ42) and tau proteins. There is limited evidence which suggests a weak connection.</w:t>
      </w:r>
    </w:p>
    <w:p w14:paraId="64F23613" w14:textId="77777777" w:rsidR="00D05B6A" w:rsidRPr="00D03DE5" w:rsidRDefault="00D05B6A" w:rsidP="00D05B6A">
      <w:pPr>
        <w:spacing w:line="360" w:lineRule="auto"/>
        <w:rPr>
          <w:rStyle w:val="Emphasis"/>
          <w:i w:val="0"/>
          <w:iCs w:val="0"/>
          <w:color w:val="000000" w:themeColor="text1"/>
        </w:rPr>
      </w:pPr>
    </w:p>
    <w:p w14:paraId="3B1170BD" w14:textId="77777777" w:rsidR="00D05B6A" w:rsidRPr="00D03DE5" w:rsidRDefault="00D05B6A" w:rsidP="00D05B6A">
      <w:pPr>
        <w:spacing w:line="360" w:lineRule="auto"/>
        <w:rPr>
          <w:color w:val="000000" w:themeColor="text1"/>
        </w:rPr>
      </w:pPr>
      <m:oMathPara>
        <m:oMath>
          <m:r>
            <m:rPr>
              <m:sty m:val="p"/>
            </m:rPr>
            <w:rPr>
              <w:rFonts w:ascii="Cambria Math" w:hAnsi="Cambria Math"/>
              <w:color w:val="000000" w:themeColor="text1"/>
            </w:rPr>
            <m:t>PLV = 0.3</m:t>
          </m:r>
        </m:oMath>
      </m:oMathPara>
    </w:p>
    <w:p w14:paraId="271EC37A" w14:textId="77777777" w:rsidR="00D05B6A" w:rsidRPr="00D03DE5" w:rsidRDefault="00D05B6A" w:rsidP="00D05B6A">
      <w:pPr>
        <w:pStyle w:val="ListParagraph"/>
        <w:spacing w:line="360" w:lineRule="auto"/>
        <w:rPr>
          <w:color w:val="000000" w:themeColor="text1"/>
        </w:rPr>
      </w:pPr>
    </w:p>
    <w:p w14:paraId="623DD75D" w14:textId="77777777" w:rsidR="00D05B6A" w:rsidRPr="00D03DE5" w:rsidRDefault="5183A6D9" w:rsidP="00D05B6A">
      <w:pPr>
        <w:pStyle w:val="Heading3"/>
        <w:spacing w:line="360" w:lineRule="auto"/>
        <w:rPr>
          <w:rFonts w:cs="Times New Roman"/>
          <w:color w:val="000000" w:themeColor="text1"/>
        </w:rPr>
      </w:pPr>
      <w:bookmarkStart w:id="41" w:name="_Toc603583659"/>
      <w:r w:rsidRPr="5183A6D9">
        <w:rPr>
          <w:rFonts w:cs="Times New Roman"/>
          <w:color w:val="000000" w:themeColor="text1"/>
        </w:rPr>
        <w:t>Independent Validation (IV)</w:t>
      </w:r>
      <w:bookmarkEnd w:id="41"/>
    </w:p>
    <w:p w14:paraId="797C05E4" w14:textId="77777777" w:rsidR="00D05B6A" w:rsidRDefault="00D05B6A" w:rsidP="00D05B6A">
      <w:pPr>
        <w:spacing w:line="360" w:lineRule="auto"/>
        <w:rPr>
          <w:color w:val="000000" w:themeColor="text1"/>
        </w:rPr>
      </w:pPr>
      <w:r w:rsidRPr="003065B9">
        <w:rPr>
          <w:color w:val="000000" w:themeColor="text1"/>
        </w:rPr>
        <w:t>Evaluates whether independent studies support FLNA’s role in AD, minimizing biases from single-source studies.</w:t>
      </w:r>
      <w:r w:rsidRPr="00D03DE5">
        <w:rPr>
          <w:color w:val="000000" w:themeColor="text1"/>
        </w:rPr>
        <w:t xml:space="preserve"> Since most data originates from Cassava Sciences (6 out 14 research papers), with little independent replication. </w:t>
      </w:r>
    </w:p>
    <w:p w14:paraId="25FAE661" w14:textId="77777777" w:rsidR="00D05B6A" w:rsidRPr="003065B9" w:rsidRDefault="00D05B6A" w:rsidP="00D05B6A">
      <w:pPr>
        <w:spacing w:line="360" w:lineRule="auto"/>
        <w:rPr>
          <w:color w:val="000000" w:themeColor="text1"/>
        </w:rPr>
      </w:pPr>
    </w:p>
    <w:p w14:paraId="2564D61B" w14:textId="77777777" w:rsidR="00D05B6A" w:rsidRPr="003065B9" w:rsidRDefault="00D05B6A" w:rsidP="00D05B6A">
      <w:pPr>
        <w:spacing w:line="360" w:lineRule="auto"/>
        <w:rPr>
          <w:color w:val="000000" w:themeColor="text1"/>
        </w:rPr>
      </w:pPr>
      <m:oMathPara>
        <m:oMath>
          <m:r>
            <w:rPr>
              <w:rFonts w:ascii="Cambria Math" w:hAnsi="Cambria Math"/>
              <w:color w:val="000000" w:themeColor="text1"/>
            </w:rPr>
            <m:t xml:space="preserve">IV = 0.3 </m:t>
          </m:r>
        </m:oMath>
      </m:oMathPara>
    </w:p>
    <w:p w14:paraId="28768C7F" w14:textId="77777777" w:rsidR="00D05B6A" w:rsidRPr="00D03DE5" w:rsidRDefault="00D05B6A" w:rsidP="00D05B6A">
      <w:pPr>
        <w:spacing w:line="360" w:lineRule="auto"/>
        <w:rPr>
          <w:color w:val="000000" w:themeColor="text1"/>
        </w:rPr>
      </w:pPr>
    </w:p>
    <w:p w14:paraId="66F8B0F0" w14:textId="77777777" w:rsidR="00D05B6A" w:rsidRPr="00D03DE5" w:rsidRDefault="5183A6D9" w:rsidP="00D05B6A">
      <w:pPr>
        <w:pStyle w:val="Heading3"/>
        <w:spacing w:line="360" w:lineRule="auto"/>
        <w:rPr>
          <w:rFonts w:cs="Times New Roman"/>
          <w:color w:val="000000" w:themeColor="text1"/>
        </w:rPr>
      </w:pPr>
      <w:bookmarkStart w:id="42" w:name="_Toc541259916"/>
      <w:r w:rsidRPr="5183A6D9">
        <w:rPr>
          <w:rFonts w:cs="Times New Roman"/>
          <w:color w:val="000000" w:themeColor="text1"/>
        </w:rPr>
        <w:t>Predictive Power for Cognitive Decline (PPCD)</w:t>
      </w:r>
      <w:bookmarkEnd w:id="42"/>
    </w:p>
    <w:p w14:paraId="6DA8C7FE" w14:textId="77777777" w:rsidR="00D05B6A" w:rsidRPr="00D03DE5" w:rsidRDefault="00D05B6A" w:rsidP="00D05B6A">
      <w:pPr>
        <w:spacing w:line="360" w:lineRule="auto"/>
        <w:rPr>
          <w:color w:val="000000" w:themeColor="text1"/>
        </w:rPr>
      </w:pPr>
      <w:r w:rsidRPr="00D03DE5">
        <w:rPr>
          <w:color w:val="000000" w:themeColor="text1"/>
        </w:rPr>
        <w:t>Assesses if FLNA levels correlate with cognitive decline stages in AD. Minimal association with cognitive decline.</w:t>
      </w:r>
    </w:p>
    <w:p w14:paraId="7F0D4F2F" w14:textId="77777777" w:rsidR="00D05B6A" w:rsidRPr="00D03DE5" w:rsidRDefault="00D05B6A" w:rsidP="00D05B6A">
      <w:pPr>
        <w:spacing w:line="360" w:lineRule="auto"/>
        <w:rPr>
          <w:color w:val="000000" w:themeColor="text1"/>
        </w:rPr>
      </w:pPr>
    </w:p>
    <w:p w14:paraId="3CA3BE47" w14:textId="77777777" w:rsidR="00D05B6A" w:rsidRPr="00D03DE5" w:rsidRDefault="00D05B6A" w:rsidP="00D05B6A">
      <w:pPr>
        <w:spacing w:line="360" w:lineRule="auto"/>
        <w:rPr>
          <w:color w:val="000000" w:themeColor="text1"/>
        </w:rPr>
      </w:pPr>
      <m:oMathPara>
        <m:oMath>
          <m:r>
            <w:rPr>
              <w:rFonts w:ascii="Cambria Math" w:hAnsi="Cambria Math"/>
              <w:color w:val="000000" w:themeColor="text1"/>
            </w:rPr>
            <m:t>PPCD=0.1</m:t>
          </m:r>
        </m:oMath>
      </m:oMathPara>
    </w:p>
    <w:p w14:paraId="70C77B89" w14:textId="77777777" w:rsidR="00D05B6A" w:rsidRPr="00D03DE5" w:rsidRDefault="00D05B6A" w:rsidP="00D05B6A">
      <w:pPr>
        <w:spacing w:line="360" w:lineRule="auto"/>
        <w:rPr>
          <w:color w:val="000000" w:themeColor="text1"/>
        </w:rPr>
      </w:pPr>
    </w:p>
    <w:p w14:paraId="2FDB3D7E" w14:textId="77777777" w:rsidR="00D05B6A" w:rsidRPr="00D03DE5" w:rsidRDefault="5183A6D9" w:rsidP="00D05B6A">
      <w:pPr>
        <w:pStyle w:val="Heading3"/>
        <w:spacing w:line="360" w:lineRule="auto"/>
        <w:rPr>
          <w:rFonts w:cs="Times New Roman"/>
          <w:color w:val="000000" w:themeColor="text1"/>
        </w:rPr>
      </w:pPr>
      <w:bookmarkStart w:id="43" w:name="_Toc1103465607"/>
      <w:r w:rsidRPr="5183A6D9">
        <w:rPr>
          <w:rFonts w:cs="Times New Roman"/>
          <w:color w:val="000000" w:themeColor="text1"/>
        </w:rPr>
        <w:t>Association with Aβ (Aβ)</w:t>
      </w:r>
      <w:bookmarkEnd w:id="43"/>
    </w:p>
    <w:p w14:paraId="08D2D508" w14:textId="77777777" w:rsidR="00D05B6A" w:rsidRPr="00D03DE5" w:rsidRDefault="00D05B6A" w:rsidP="00D05B6A">
      <w:pPr>
        <w:spacing w:line="360" w:lineRule="auto"/>
        <w:rPr>
          <w:color w:val="000000" w:themeColor="text1"/>
        </w:rPr>
      </w:pPr>
      <w:r w:rsidRPr="00D03DE5">
        <w:rPr>
          <w:color w:val="000000" w:themeColor="text1"/>
        </w:rPr>
        <w:t>Assess if FLNA is correlates with the most prominent hallmark of AD, Aβ42. There are some correlations</w:t>
      </w:r>
      <w:r>
        <w:rPr>
          <w:color w:val="000000" w:themeColor="text1"/>
        </w:rPr>
        <w:t>.</w:t>
      </w:r>
    </w:p>
    <w:p w14:paraId="1B43479C" w14:textId="77777777" w:rsidR="00D05B6A" w:rsidRPr="00D03DE5" w:rsidRDefault="00D05B6A" w:rsidP="00D05B6A">
      <w:pPr>
        <w:spacing w:line="360" w:lineRule="auto"/>
        <w:rPr>
          <w:color w:val="000000" w:themeColor="text1"/>
        </w:rPr>
      </w:pPr>
    </w:p>
    <w:p w14:paraId="7F1EEBE2" w14:textId="77777777" w:rsidR="00D05B6A" w:rsidRPr="00D03DE5" w:rsidRDefault="00D05B6A" w:rsidP="00D05B6A">
      <w:pPr>
        <w:spacing w:line="360" w:lineRule="auto"/>
        <w:rPr>
          <w:color w:val="000000" w:themeColor="text1"/>
        </w:rPr>
      </w:pPr>
      <m:oMathPara>
        <m:oMath>
          <m:r>
            <m:rPr>
              <m:sty m:val="p"/>
            </m:rPr>
            <w:rPr>
              <w:rFonts w:ascii="Cambria Math" w:hAnsi="Cambria Math"/>
              <w:color w:val="000000" w:themeColor="text1"/>
            </w:rPr>
            <m:t>Aβ</m:t>
          </m:r>
          <m:r>
            <w:rPr>
              <w:rFonts w:ascii="Cambria Math" w:hAnsi="Cambria Math"/>
              <w:color w:val="000000" w:themeColor="text1"/>
            </w:rPr>
            <m:t>=0.45</m:t>
          </m:r>
        </m:oMath>
      </m:oMathPara>
    </w:p>
    <w:p w14:paraId="604C307D" w14:textId="77777777" w:rsidR="00D05B6A" w:rsidRPr="00D03DE5" w:rsidRDefault="00D05B6A" w:rsidP="00D05B6A">
      <w:pPr>
        <w:spacing w:line="360" w:lineRule="auto"/>
        <w:rPr>
          <w:color w:val="000000" w:themeColor="text1"/>
        </w:rPr>
      </w:pPr>
    </w:p>
    <w:p w14:paraId="65ED211F" w14:textId="77777777" w:rsidR="00D05B6A" w:rsidRPr="00D03DE5" w:rsidRDefault="5183A6D9" w:rsidP="00D05B6A">
      <w:pPr>
        <w:pStyle w:val="Heading3"/>
        <w:spacing w:line="360" w:lineRule="auto"/>
        <w:rPr>
          <w:rFonts w:cs="Times New Roman"/>
          <w:color w:val="000000" w:themeColor="text1"/>
        </w:rPr>
      </w:pPr>
      <w:bookmarkStart w:id="44" w:name="_Toc1080943459"/>
      <w:r w:rsidRPr="5183A6D9">
        <w:rPr>
          <w:rFonts w:cs="Times New Roman"/>
          <w:color w:val="000000" w:themeColor="text1"/>
        </w:rPr>
        <w:lastRenderedPageBreak/>
        <w:t>Association with Tau (AT)</w:t>
      </w:r>
      <w:bookmarkEnd w:id="44"/>
      <w:r w:rsidRPr="5183A6D9">
        <w:rPr>
          <w:rFonts w:cs="Times New Roman"/>
          <w:color w:val="000000" w:themeColor="text1"/>
        </w:rPr>
        <w:t xml:space="preserve"> </w:t>
      </w:r>
    </w:p>
    <w:p w14:paraId="551C89D0" w14:textId="77777777" w:rsidR="00D05B6A" w:rsidRPr="00D03DE5" w:rsidRDefault="00D05B6A" w:rsidP="00D05B6A">
      <w:pPr>
        <w:spacing w:line="360" w:lineRule="auto"/>
        <w:rPr>
          <w:color w:val="000000" w:themeColor="text1"/>
        </w:rPr>
      </w:pPr>
      <w:r w:rsidRPr="00D03DE5">
        <w:rPr>
          <w:color w:val="000000" w:themeColor="text1"/>
        </w:rPr>
        <w:t>Assess if FLNA is correlates with the hallmark that is associated with cognitive decline, Tau. There are no correlations between Tau and FLNA.</w:t>
      </w:r>
    </w:p>
    <w:p w14:paraId="42DFCB73" w14:textId="77777777" w:rsidR="00D05B6A" w:rsidRPr="00D03DE5" w:rsidRDefault="00D05B6A" w:rsidP="00D05B6A">
      <w:pPr>
        <w:spacing w:line="360" w:lineRule="auto"/>
        <w:rPr>
          <w:color w:val="000000" w:themeColor="text1"/>
        </w:rPr>
      </w:pPr>
    </w:p>
    <w:p w14:paraId="1E8CE148" w14:textId="77777777" w:rsidR="00D05B6A" w:rsidRPr="00D03DE5" w:rsidRDefault="00D05B6A" w:rsidP="00D05B6A">
      <w:pPr>
        <w:spacing w:line="360" w:lineRule="auto"/>
        <w:rPr>
          <w:color w:val="000000" w:themeColor="text1"/>
        </w:rPr>
      </w:pPr>
      <m:oMathPara>
        <m:oMath>
          <m:r>
            <w:rPr>
              <w:rFonts w:ascii="Cambria Math" w:hAnsi="Cambria Math"/>
              <w:color w:val="000000" w:themeColor="text1"/>
            </w:rPr>
            <m:t>AT=0.05</m:t>
          </m:r>
        </m:oMath>
      </m:oMathPara>
    </w:p>
    <w:p w14:paraId="1DAB4D37" w14:textId="77777777" w:rsidR="00D05B6A" w:rsidRPr="00D03DE5" w:rsidRDefault="00D05B6A" w:rsidP="00D05B6A">
      <w:pPr>
        <w:spacing w:line="360" w:lineRule="auto"/>
        <w:rPr>
          <w:color w:val="000000" w:themeColor="text1"/>
        </w:rPr>
      </w:pPr>
    </w:p>
    <w:p w14:paraId="4FBE0A73" w14:textId="77777777" w:rsidR="00D05B6A" w:rsidRPr="00D03DE5" w:rsidRDefault="5183A6D9" w:rsidP="00D05B6A">
      <w:pPr>
        <w:pStyle w:val="Heading3"/>
        <w:spacing w:line="360" w:lineRule="auto"/>
        <w:rPr>
          <w:rFonts w:cs="Times New Roman"/>
          <w:color w:val="000000" w:themeColor="text1"/>
        </w:rPr>
      </w:pPr>
      <w:bookmarkStart w:id="45" w:name="_Toc849563939"/>
      <w:r w:rsidRPr="5183A6D9">
        <w:rPr>
          <w:rFonts w:cs="Times New Roman"/>
          <w:color w:val="000000" w:themeColor="text1"/>
        </w:rPr>
        <w:t>Potential Side Effects (PSE) w0.1</w:t>
      </w:r>
      <w:bookmarkEnd w:id="45"/>
    </w:p>
    <w:p w14:paraId="48A3C4F4" w14:textId="77777777" w:rsidR="00D05B6A" w:rsidRPr="00D03DE5" w:rsidRDefault="00D05B6A" w:rsidP="00D05B6A">
      <w:pPr>
        <w:spacing w:line="360" w:lineRule="auto"/>
        <w:rPr>
          <w:color w:val="000000" w:themeColor="text1"/>
        </w:rPr>
      </w:pPr>
      <w:r w:rsidRPr="00D03DE5">
        <w:rPr>
          <w:color w:val="000000" w:themeColor="text1"/>
        </w:rPr>
        <w:t>Considers FLNA’s systemic roles, where high scores indicate a lower likelihood of off-target side effects.</w:t>
      </w:r>
    </w:p>
    <w:p w14:paraId="4DC7A30D" w14:textId="77777777" w:rsidR="00D05B6A" w:rsidRPr="00D03DE5" w:rsidRDefault="00D05B6A" w:rsidP="00D05B6A">
      <w:pPr>
        <w:spacing w:line="360" w:lineRule="auto"/>
        <w:rPr>
          <w:color w:val="000000" w:themeColor="text1"/>
        </w:rPr>
      </w:pPr>
    </w:p>
    <w:p w14:paraId="7EC6FE77" w14:textId="77777777" w:rsidR="00D05B6A" w:rsidRPr="00D03DE5" w:rsidRDefault="00D05B6A" w:rsidP="00D05B6A">
      <w:pPr>
        <w:spacing w:line="360" w:lineRule="auto"/>
        <w:rPr>
          <w:color w:val="000000" w:themeColor="text1"/>
        </w:rPr>
      </w:pPr>
      <m:oMathPara>
        <m:oMath>
          <m:r>
            <w:rPr>
              <w:rFonts w:ascii="Cambria Math" w:hAnsi="Cambria Math"/>
              <w:color w:val="000000" w:themeColor="text1"/>
            </w:rPr>
            <m:t>PSE=0.8</m:t>
          </m:r>
        </m:oMath>
      </m:oMathPara>
    </w:p>
    <w:p w14:paraId="331D05C8" w14:textId="77777777" w:rsidR="00D05B6A" w:rsidRPr="00D03DE5" w:rsidRDefault="00D05B6A" w:rsidP="00D05B6A">
      <w:pPr>
        <w:spacing w:line="360" w:lineRule="auto"/>
        <w:rPr>
          <w:color w:val="000000" w:themeColor="text1"/>
        </w:rPr>
      </w:pPr>
    </w:p>
    <w:p w14:paraId="7B738885" w14:textId="77777777" w:rsidR="00D05B6A" w:rsidRPr="00D03DE5" w:rsidRDefault="00D05B6A" w:rsidP="00D05B6A">
      <w:pPr>
        <w:spacing w:line="360" w:lineRule="auto"/>
        <w:rPr>
          <w:color w:val="000000" w:themeColor="text1"/>
        </w:rPr>
      </w:pPr>
      <w:r w:rsidRPr="00D03DE5">
        <w:rPr>
          <w:color w:val="000000" w:themeColor="text1"/>
        </w:rPr>
        <w:t xml:space="preserve">The combined probability </w:t>
      </w:r>
      <m:oMath>
        <m:r>
          <w:rPr>
            <w:rFonts w:ascii="Cambria Math" w:hAnsi="Cambria Math"/>
            <w:color w:val="000000" w:themeColor="text1"/>
          </w:rPr>
          <m:t>P(FLNA)</m:t>
        </m:r>
      </m:oMath>
      <w:r w:rsidRPr="00D03DE5">
        <w:rPr>
          <w:color w:val="000000" w:themeColor="text1"/>
        </w:rPr>
        <w:t xml:space="preserve"> of FLNA being a valid target, given the observed values of each factor, is:</w:t>
      </w:r>
    </w:p>
    <w:p w14:paraId="1A493F5E" w14:textId="77777777" w:rsidR="00D05B6A" w:rsidRPr="00D03DE5" w:rsidRDefault="00D05B6A" w:rsidP="00D05B6A">
      <w:pPr>
        <w:spacing w:line="360" w:lineRule="auto"/>
        <w:rPr>
          <w:color w:val="000000" w:themeColor="text1"/>
        </w:rPr>
      </w:pPr>
    </w:p>
    <w:p w14:paraId="0710C61B" w14:textId="77777777" w:rsidR="00D05B6A" w:rsidRPr="00D03DE5" w:rsidRDefault="00D05B6A" w:rsidP="00D05B6A">
      <w:pPr>
        <w:spacing w:line="360" w:lineRule="auto"/>
        <w:rPr>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FLNA</m:t>
              </m:r>
            </m:e>
          </m:d>
          <m:r>
            <w:rPr>
              <w:rFonts w:ascii="Cambria Math" w:hAnsi="Cambria Math"/>
              <w:color w:val="000000" w:themeColor="text1"/>
            </w:rPr>
            <m:t>=PLV*IV*PPCD*</m:t>
          </m:r>
          <m:r>
            <m:rPr>
              <m:sty m:val="p"/>
            </m:rPr>
            <w:rPr>
              <w:rFonts w:ascii="Cambria Math" w:hAnsi="Cambria Math"/>
              <w:color w:val="000000" w:themeColor="text1"/>
            </w:rPr>
            <m:t>Aβ*AT*PSE</m:t>
          </m:r>
        </m:oMath>
      </m:oMathPara>
    </w:p>
    <w:p w14:paraId="298C9BD4" w14:textId="77777777" w:rsidR="00D05B6A" w:rsidRPr="00D03DE5" w:rsidRDefault="00D05B6A" w:rsidP="00D05B6A">
      <w:pPr>
        <w:spacing w:line="360" w:lineRule="auto"/>
        <w:rPr>
          <w:color w:val="000000" w:themeColor="text1"/>
        </w:rPr>
      </w:pPr>
    </w:p>
    <w:p w14:paraId="1242D954" w14:textId="77777777" w:rsidR="00D05B6A" w:rsidRPr="00D03DE5" w:rsidRDefault="00D05B6A" w:rsidP="00D05B6A">
      <w:pPr>
        <w:spacing w:line="360" w:lineRule="auto"/>
        <w:rPr>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FLNA</m:t>
              </m:r>
            </m:e>
          </m:d>
          <m:r>
            <w:rPr>
              <w:rFonts w:ascii="Cambria Math" w:hAnsi="Cambria Math"/>
              <w:color w:val="000000" w:themeColor="text1"/>
            </w:rPr>
            <m:t>=0.3*0.3*0.1*0.45*0.05*0.8</m:t>
          </m:r>
        </m:oMath>
      </m:oMathPara>
    </w:p>
    <w:p w14:paraId="29981FAB" w14:textId="77777777" w:rsidR="00D05B6A" w:rsidRPr="00D03DE5" w:rsidRDefault="00D05B6A" w:rsidP="00D05B6A">
      <w:pPr>
        <w:spacing w:line="360" w:lineRule="auto"/>
        <w:rPr>
          <w:color w:val="000000" w:themeColor="text1"/>
        </w:rPr>
      </w:pPr>
    </w:p>
    <w:p w14:paraId="4C03A6C8" w14:textId="77777777" w:rsidR="00D05B6A" w:rsidRPr="00D03DE5" w:rsidRDefault="00D05B6A" w:rsidP="00D05B6A">
      <w:pPr>
        <w:spacing w:line="360" w:lineRule="auto"/>
        <w:rPr>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FLNA</m:t>
              </m:r>
            </m:e>
          </m:d>
          <m:r>
            <w:rPr>
              <w:rFonts w:ascii="Cambria Math" w:hAnsi="Cambria Math"/>
              <w:color w:val="000000" w:themeColor="text1"/>
            </w:rPr>
            <m:t>=0.000162=0.0162%</m:t>
          </m:r>
        </m:oMath>
      </m:oMathPara>
    </w:p>
    <w:p w14:paraId="43222152" w14:textId="77777777" w:rsidR="00D05B6A" w:rsidRPr="00D03DE5" w:rsidRDefault="00D05B6A" w:rsidP="00D05B6A">
      <w:pPr>
        <w:spacing w:line="360" w:lineRule="auto"/>
        <w:rPr>
          <w:color w:val="000000" w:themeColor="text1"/>
        </w:rPr>
      </w:pPr>
    </w:p>
    <w:p w14:paraId="0F651864" w14:textId="77777777" w:rsidR="00D05B6A" w:rsidRPr="00D03DE5" w:rsidRDefault="00D05B6A" w:rsidP="00D05B6A">
      <w:pPr>
        <w:spacing w:line="360" w:lineRule="auto"/>
        <w:rPr>
          <w:color w:val="000000" w:themeColor="text1"/>
        </w:rPr>
      </w:pPr>
      <w:r w:rsidRPr="00E56D15">
        <w:rPr>
          <w:color w:val="000000" w:themeColor="text1"/>
        </w:rPr>
        <w:t>This outcome supports our initial hypothesis that FLNA is a statistically unlikely target for AD, given the currently available evidence. The combined score (0.0162%) is both mathematically sound and self-explanatory, offering transparency in how each factor contributes to the conclusion. This structured approach, built on conditional probability, provides a defensible, bias-resistant evaluation, minimizing the likelihood of overstated results.</w:t>
      </w:r>
    </w:p>
    <w:p w14:paraId="34656063" w14:textId="77777777" w:rsidR="00D05B6A" w:rsidRPr="00E56D15" w:rsidRDefault="00D05B6A" w:rsidP="00D05B6A">
      <w:pPr>
        <w:spacing w:line="360" w:lineRule="auto"/>
        <w:rPr>
          <w:color w:val="000000" w:themeColor="text1"/>
        </w:rPr>
      </w:pPr>
    </w:p>
    <w:p w14:paraId="302F8850" w14:textId="77777777" w:rsidR="00D05B6A" w:rsidRPr="00E56D15" w:rsidRDefault="00D05B6A" w:rsidP="00D05B6A">
      <w:pPr>
        <w:spacing w:line="360" w:lineRule="auto"/>
        <w:rPr>
          <w:color w:val="000000" w:themeColor="text1"/>
        </w:rPr>
      </w:pPr>
      <w:r w:rsidRPr="00E56D15">
        <w:rPr>
          <w:color w:val="000000" w:themeColor="text1"/>
        </w:rPr>
        <w:t>In essence, our method exemplifies a rigorous mathematical process</w:t>
      </w:r>
      <w:r w:rsidRPr="00D03DE5">
        <w:rPr>
          <w:color w:val="000000" w:themeColor="text1"/>
        </w:rPr>
        <w:t xml:space="preserve"> - </w:t>
      </w:r>
      <w:r w:rsidRPr="00E56D15">
        <w:rPr>
          <w:color w:val="000000" w:themeColor="text1"/>
        </w:rPr>
        <w:t xml:space="preserve">ensuring that conclusions about FLNA as an AD target withstand scrutiny and remain aligned with empirical evidence, thus making it the most reliable approach to evaluate FLNA’s therapeutic potential for </w:t>
      </w:r>
      <w:r w:rsidRPr="00D03DE5">
        <w:rPr>
          <w:color w:val="000000" w:themeColor="text1"/>
        </w:rPr>
        <w:t>AD</w:t>
      </w:r>
      <w:r w:rsidRPr="00E56D15">
        <w:rPr>
          <w:color w:val="000000" w:themeColor="text1"/>
        </w:rPr>
        <w:t>.</w:t>
      </w:r>
    </w:p>
    <w:p w14:paraId="2A8D3071" w14:textId="77777777" w:rsidR="00D05B6A" w:rsidRPr="00D03DE5" w:rsidRDefault="00D05B6A" w:rsidP="00D05B6A">
      <w:pPr>
        <w:spacing w:line="360" w:lineRule="auto"/>
        <w:rPr>
          <w:color w:val="000000" w:themeColor="text1"/>
        </w:rPr>
      </w:pPr>
    </w:p>
    <w:p w14:paraId="05882E8E" w14:textId="77777777" w:rsidR="00D05B6A" w:rsidRPr="00D03DE5" w:rsidRDefault="5183A6D9" w:rsidP="00D05B6A">
      <w:pPr>
        <w:pStyle w:val="Heading2"/>
        <w:spacing w:line="360" w:lineRule="auto"/>
        <w:rPr>
          <w:rFonts w:ascii="Times New Roman" w:hAnsi="Times New Roman" w:cs="Times New Roman"/>
          <w:color w:val="000000" w:themeColor="text1"/>
        </w:rPr>
      </w:pPr>
      <w:bookmarkStart w:id="46" w:name="_Toc1611633984"/>
      <w:r w:rsidRPr="5183A6D9">
        <w:rPr>
          <w:rFonts w:ascii="Times New Roman" w:hAnsi="Times New Roman" w:cs="Times New Roman"/>
          <w:color w:val="000000" w:themeColor="text1"/>
        </w:rPr>
        <w:t>2. Probability that Simufilam is Correctly Design to Do What it is supposed to do P(D)</w:t>
      </w:r>
      <w:bookmarkEnd w:id="46"/>
    </w:p>
    <w:p w14:paraId="546EA659" w14:textId="77777777" w:rsidR="00D05B6A" w:rsidRPr="00D03DE5" w:rsidRDefault="00D05B6A" w:rsidP="00D05B6A">
      <w:pPr>
        <w:spacing w:line="360" w:lineRule="auto"/>
        <w:rPr>
          <w:color w:val="000000" w:themeColor="text1"/>
        </w:rPr>
      </w:pPr>
      <w:r w:rsidRPr="00010B10">
        <w:rPr>
          <w:color w:val="000000" w:themeColor="text1"/>
        </w:rPr>
        <w:t>Instead of applying a conditional probability model to evaluate Simufilam’s design suitability for AD, a more straightforward, factor-based probability assessment is appropriate. Conditional probability models are well-suited for evaluating systems with dependent variables where the outcome of one factor meaningfully affects the probability of the others. However, in the context of drug design, especially for neurodegenerative diseases, the efficacy of each design feature is not interdependent in a way that conditional probability would capture accurately.</w:t>
      </w:r>
    </w:p>
    <w:p w14:paraId="33F076FB" w14:textId="77777777" w:rsidR="00D05B6A" w:rsidRPr="00010B10" w:rsidRDefault="00D05B6A" w:rsidP="00D05B6A">
      <w:pPr>
        <w:spacing w:line="360" w:lineRule="auto"/>
        <w:rPr>
          <w:color w:val="000000" w:themeColor="text1"/>
        </w:rPr>
      </w:pPr>
    </w:p>
    <w:p w14:paraId="2B113C13" w14:textId="77777777" w:rsidR="00D05B6A" w:rsidRPr="00D03DE5" w:rsidRDefault="00D05B6A" w:rsidP="00D05B6A">
      <w:pPr>
        <w:spacing w:line="360" w:lineRule="auto"/>
        <w:rPr>
          <w:color w:val="000000" w:themeColor="text1"/>
        </w:rPr>
      </w:pPr>
      <w:r w:rsidRPr="00010B10">
        <w:rPr>
          <w:color w:val="000000" w:themeColor="text1"/>
        </w:rPr>
        <w:t>Each design factor (such as LogP, metabolic stability, and specificity) contributes independently to the drug's overall effectiveness but does not directly influence the probability outcomes of the other factors. For example, a favorable LogP value does not increase or decrease the likelihood of Simufilam having sufficient metabolic stability. Therefore, assuming conditional dependence among these design attributes could obscure the actual, independent influence of each factor on the final outcome.</w:t>
      </w:r>
    </w:p>
    <w:p w14:paraId="4F3A63EB" w14:textId="77777777" w:rsidR="00D05B6A" w:rsidRPr="00010B10" w:rsidRDefault="00D05B6A" w:rsidP="00D05B6A">
      <w:pPr>
        <w:spacing w:line="360" w:lineRule="auto"/>
        <w:rPr>
          <w:color w:val="000000" w:themeColor="text1"/>
        </w:rPr>
      </w:pPr>
    </w:p>
    <w:p w14:paraId="0E17FEFF" w14:textId="77777777" w:rsidR="00D05B6A" w:rsidRPr="00010B10" w:rsidRDefault="00D05B6A" w:rsidP="00D05B6A">
      <w:pPr>
        <w:spacing w:line="360" w:lineRule="auto"/>
        <w:rPr>
          <w:color w:val="000000" w:themeColor="text1"/>
        </w:rPr>
      </w:pPr>
      <w:r w:rsidRPr="00010B10">
        <w:rPr>
          <w:color w:val="000000" w:themeColor="text1"/>
        </w:rPr>
        <w:t>Thus, a more representative model uses an average probability based on individual scores for each of five key factors. This approach scores each factor independently from 0 to 1 based on existing data, then averages these scores to calculate a simple, non-conditional probability of Simufilam meeting its intended therapeutic design goals:</w:t>
      </w:r>
    </w:p>
    <w:p w14:paraId="499E4132" w14:textId="77777777" w:rsidR="00D05B6A" w:rsidRPr="008F58AC" w:rsidRDefault="00D05B6A" w:rsidP="00D05B6A">
      <w:pPr>
        <w:spacing w:line="360" w:lineRule="auto"/>
        <w:rPr>
          <w:color w:val="000000" w:themeColor="text1"/>
        </w:rPr>
      </w:pPr>
    </w:p>
    <w:p w14:paraId="5737FCB8" w14:textId="77777777" w:rsidR="00D05B6A" w:rsidRPr="008F58AC" w:rsidRDefault="00D05B6A" w:rsidP="00D05B6A">
      <w:pPr>
        <w:numPr>
          <w:ilvl w:val="0"/>
          <w:numId w:val="48"/>
        </w:numPr>
        <w:spacing w:line="360" w:lineRule="auto"/>
        <w:rPr>
          <w:color w:val="000000" w:themeColor="text1"/>
        </w:rPr>
      </w:pPr>
      <w:r w:rsidRPr="008F58AC">
        <w:rPr>
          <w:color w:val="000000" w:themeColor="text1"/>
          <w:u w:val="single"/>
        </w:rPr>
        <w:t>LogP and BBB Penetration Validity (LPV):</w:t>
      </w:r>
      <w:r w:rsidRPr="008F58AC">
        <w:rPr>
          <w:color w:val="000000" w:themeColor="text1"/>
        </w:rPr>
        <w:t xml:space="preserve"> Measures the suitability of Simufilam’s LogP for BBB penetration. With a LogP value of 1.1, which is relatively low, Simufilam may struggle to cross the BBB efficiently.</w:t>
      </w:r>
    </w:p>
    <w:p w14:paraId="19E70BB8" w14:textId="77777777" w:rsidR="00D05B6A" w:rsidRPr="00D03DE5" w:rsidRDefault="00D05B6A" w:rsidP="00D05B6A">
      <w:pPr>
        <w:spacing w:line="360" w:lineRule="auto"/>
        <w:rPr>
          <w:color w:val="000000" w:themeColor="text1"/>
        </w:rPr>
      </w:pPr>
      <m:oMathPara>
        <m:oMath>
          <m:r>
            <w:rPr>
              <w:rFonts w:ascii="Cambria Math" w:hAnsi="Cambria Math"/>
              <w:color w:val="000000" w:themeColor="text1"/>
            </w:rPr>
            <m:t>LPV=0.75</m:t>
          </m:r>
        </m:oMath>
      </m:oMathPara>
    </w:p>
    <w:p w14:paraId="4FB94266" w14:textId="77777777" w:rsidR="00D05B6A" w:rsidRPr="008F58AC" w:rsidRDefault="00D05B6A" w:rsidP="00D05B6A">
      <w:pPr>
        <w:spacing w:line="360" w:lineRule="auto"/>
        <w:rPr>
          <w:color w:val="000000" w:themeColor="text1"/>
        </w:rPr>
      </w:pPr>
    </w:p>
    <w:p w14:paraId="11351182" w14:textId="77777777" w:rsidR="00D05B6A" w:rsidRPr="00D03DE5" w:rsidRDefault="00D05B6A" w:rsidP="00D05B6A">
      <w:pPr>
        <w:numPr>
          <w:ilvl w:val="0"/>
          <w:numId w:val="48"/>
        </w:numPr>
        <w:spacing w:line="360" w:lineRule="auto"/>
        <w:rPr>
          <w:color w:val="000000" w:themeColor="text1"/>
        </w:rPr>
      </w:pPr>
      <w:r w:rsidRPr="008F58AC">
        <w:rPr>
          <w:color w:val="000000" w:themeColor="text1"/>
          <w:u w:val="single"/>
        </w:rPr>
        <w:t>Metabolic Stability (MS):</w:t>
      </w:r>
      <w:r w:rsidRPr="008F58AC">
        <w:rPr>
          <w:color w:val="000000" w:themeColor="text1"/>
        </w:rPr>
        <w:t xml:space="preserve"> Assesses Simufilam's half-life and stability. With a half-life of 4.5 hours, the rapid clearance could hinder sustained efficacy, as frequent dosing might be required.</w:t>
      </w:r>
    </w:p>
    <w:p w14:paraId="3BED6285" w14:textId="77777777" w:rsidR="00D05B6A" w:rsidRPr="00D03DE5" w:rsidRDefault="00D05B6A" w:rsidP="00D05B6A">
      <w:pPr>
        <w:spacing w:line="360" w:lineRule="auto"/>
        <w:rPr>
          <w:color w:val="000000" w:themeColor="text1"/>
        </w:rPr>
      </w:pPr>
    </w:p>
    <w:p w14:paraId="1CE96E4C" w14:textId="77777777" w:rsidR="00D05B6A" w:rsidRPr="00D03DE5" w:rsidRDefault="00D05B6A" w:rsidP="00D05B6A">
      <w:pPr>
        <w:spacing w:line="360" w:lineRule="auto"/>
        <w:rPr>
          <w:color w:val="000000" w:themeColor="text1"/>
        </w:rPr>
      </w:pPr>
      <m:oMathPara>
        <m:oMath>
          <m:r>
            <w:rPr>
              <w:rFonts w:ascii="Cambria Math" w:hAnsi="Cambria Math"/>
              <w:color w:val="000000" w:themeColor="text1"/>
            </w:rPr>
            <m:t>MS=0.8</m:t>
          </m:r>
        </m:oMath>
      </m:oMathPara>
    </w:p>
    <w:p w14:paraId="42391541" w14:textId="77777777" w:rsidR="00D05B6A" w:rsidRPr="008F58AC" w:rsidRDefault="00D05B6A" w:rsidP="00D05B6A">
      <w:pPr>
        <w:spacing w:line="360" w:lineRule="auto"/>
        <w:rPr>
          <w:color w:val="000000" w:themeColor="text1"/>
        </w:rPr>
      </w:pPr>
    </w:p>
    <w:p w14:paraId="22F12892" w14:textId="77777777" w:rsidR="00D05B6A" w:rsidRPr="008F58AC" w:rsidRDefault="00D05B6A" w:rsidP="00D05B6A">
      <w:pPr>
        <w:numPr>
          <w:ilvl w:val="0"/>
          <w:numId w:val="48"/>
        </w:numPr>
        <w:spacing w:line="360" w:lineRule="auto"/>
        <w:rPr>
          <w:color w:val="000000" w:themeColor="text1"/>
        </w:rPr>
      </w:pPr>
      <w:r w:rsidRPr="008F58AC">
        <w:rPr>
          <w:color w:val="000000" w:themeColor="text1"/>
          <w:u w:val="single"/>
        </w:rPr>
        <w:t>Protein-Protein Interaction Validity (PPIV):</w:t>
      </w:r>
      <w:r w:rsidRPr="008F58AC">
        <w:rPr>
          <w:color w:val="000000" w:themeColor="text1"/>
        </w:rPr>
        <w:t xml:space="preserve"> Evaluates Simufilam’s ability to modulate the interaction between FLNA and Aβ. This interaction remains speculative, given the absence of conclusive data on Simufilam’s precise binding efficacy.</w:t>
      </w:r>
    </w:p>
    <w:p w14:paraId="18AE273B" w14:textId="77777777" w:rsidR="00D05B6A" w:rsidRPr="00D03DE5" w:rsidRDefault="00D05B6A" w:rsidP="00D05B6A">
      <w:pPr>
        <w:spacing w:line="360" w:lineRule="auto"/>
        <w:rPr>
          <w:color w:val="000000" w:themeColor="text1"/>
        </w:rPr>
      </w:pPr>
    </w:p>
    <w:p w14:paraId="6C23D321" w14:textId="77777777" w:rsidR="00D05B6A" w:rsidRPr="00D03DE5" w:rsidRDefault="00D05B6A" w:rsidP="00D05B6A">
      <w:pPr>
        <w:spacing w:line="360" w:lineRule="auto"/>
        <w:rPr>
          <w:color w:val="000000" w:themeColor="text1"/>
        </w:rPr>
      </w:pPr>
      <m:oMathPara>
        <m:oMath>
          <m:r>
            <w:rPr>
              <w:rFonts w:ascii="Cambria Math" w:hAnsi="Cambria Math"/>
              <w:color w:val="000000" w:themeColor="text1"/>
            </w:rPr>
            <m:t>PPIV=0.3</m:t>
          </m:r>
        </m:oMath>
      </m:oMathPara>
    </w:p>
    <w:p w14:paraId="35678AE1" w14:textId="77777777" w:rsidR="00D05B6A" w:rsidRPr="008F58AC" w:rsidRDefault="00D05B6A" w:rsidP="00D05B6A">
      <w:pPr>
        <w:spacing w:line="360" w:lineRule="auto"/>
        <w:rPr>
          <w:color w:val="000000" w:themeColor="text1"/>
        </w:rPr>
      </w:pPr>
    </w:p>
    <w:p w14:paraId="6047B72C" w14:textId="77777777" w:rsidR="00D05B6A" w:rsidRPr="00D03DE5" w:rsidRDefault="00D05B6A" w:rsidP="00D05B6A">
      <w:pPr>
        <w:numPr>
          <w:ilvl w:val="0"/>
          <w:numId w:val="48"/>
        </w:numPr>
        <w:spacing w:line="360" w:lineRule="auto"/>
        <w:rPr>
          <w:color w:val="000000" w:themeColor="text1"/>
        </w:rPr>
      </w:pPr>
      <w:r w:rsidRPr="008F58AC">
        <w:rPr>
          <w:color w:val="000000" w:themeColor="text1"/>
          <w:u w:val="single"/>
        </w:rPr>
        <w:t>Specificity and Off-Target Effects (SOTE):</w:t>
      </w:r>
      <w:r w:rsidRPr="008F58AC">
        <w:rPr>
          <w:color w:val="000000" w:themeColor="text1"/>
        </w:rPr>
        <w:t xml:space="preserve"> Considers risks of off-target binding, especially with Naloxone sharing potential binding sites. Lack of specificity may reduce efficacy or lead to unintended interactions with other receptors.</w:t>
      </w:r>
    </w:p>
    <w:p w14:paraId="3A4B003B" w14:textId="77777777" w:rsidR="00D05B6A" w:rsidRPr="00D03DE5" w:rsidRDefault="00D05B6A" w:rsidP="00D05B6A">
      <w:pPr>
        <w:spacing w:line="360" w:lineRule="auto"/>
        <w:rPr>
          <w:color w:val="000000" w:themeColor="text1"/>
        </w:rPr>
      </w:pPr>
    </w:p>
    <w:p w14:paraId="6A54AAD4" w14:textId="77777777" w:rsidR="00D05B6A" w:rsidRPr="00D03DE5" w:rsidRDefault="00D05B6A" w:rsidP="00D05B6A">
      <w:pPr>
        <w:spacing w:line="360" w:lineRule="auto"/>
        <w:rPr>
          <w:color w:val="000000" w:themeColor="text1"/>
        </w:rPr>
      </w:pPr>
      <m:oMathPara>
        <m:oMath>
          <m:r>
            <w:rPr>
              <w:rFonts w:ascii="Cambria Math" w:hAnsi="Cambria Math"/>
              <w:color w:val="000000" w:themeColor="text1"/>
            </w:rPr>
            <m:t>SOTE=0.10</m:t>
          </m:r>
        </m:oMath>
      </m:oMathPara>
    </w:p>
    <w:p w14:paraId="4D2A6739" w14:textId="77777777" w:rsidR="00D05B6A" w:rsidRPr="008F58AC" w:rsidRDefault="00D05B6A" w:rsidP="00D05B6A">
      <w:pPr>
        <w:spacing w:line="360" w:lineRule="auto"/>
        <w:rPr>
          <w:color w:val="000000" w:themeColor="text1"/>
        </w:rPr>
      </w:pPr>
    </w:p>
    <w:p w14:paraId="6EC6D83C" w14:textId="77777777" w:rsidR="00D05B6A" w:rsidRPr="00D03DE5" w:rsidRDefault="00D05B6A" w:rsidP="00D05B6A">
      <w:pPr>
        <w:numPr>
          <w:ilvl w:val="0"/>
          <w:numId w:val="48"/>
        </w:numPr>
        <w:spacing w:line="360" w:lineRule="auto"/>
        <w:rPr>
          <w:color w:val="000000" w:themeColor="text1"/>
        </w:rPr>
      </w:pPr>
      <w:r w:rsidRPr="008F58AC">
        <w:rPr>
          <w:color w:val="000000" w:themeColor="text1"/>
          <w:u w:val="single"/>
        </w:rPr>
        <w:t>Efficacy in Target Mechanisms (ETM):</w:t>
      </w:r>
      <w:r w:rsidRPr="008F58AC">
        <w:rPr>
          <w:color w:val="000000" w:themeColor="text1"/>
        </w:rPr>
        <w:t xml:space="preserve"> Measures effectiveness based on Simufilam’s impact on core AD pathology, including amyloid and tau involvement. With no clear amyloid clearance or tau modulation, its efficacy remains uncertain.</w:t>
      </w:r>
    </w:p>
    <w:p w14:paraId="5D627087" w14:textId="77777777" w:rsidR="00D05B6A" w:rsidRPr="00D03DE5" w:rsidRDefault="00D05B6A" w:rsidP="00D05B6A">
      <w:pPr>
        <w:spacing w:line="360" w:lineRule="auto"/>
        <w:rPr>
          <w:b/>
          <w:bCs/>
          <w:color w:val="000000" w:themeColor="text1"/>
        </w:rPr>
      </w:pPr>
    </w:p>
    <w:p w14:paraId="2483D944" w14:textId="77777777" w:rsidR="00D05B6A" w:rsidRPr="00D03DE5" w:rsidRDefault="00D05B6A" w:rsidP="00D05B6A">
      <w:pPr>
        <w:spacing w:line="360" w:lineRule="auto"/>
        <w:rPr>
          <w:color w:val="000000" w:themeColor="text1"/>
        </w:rPr>
      </w:pPr>
      <m:oMathPara>
        <m:oMath>
          <m:r>
            <w:rPr>
              <w:rFonts w:ascii="Cambria Math" w:hAnsi="Cambria Math"/>
              <w:color w:val="000000" w:themeColor="text1"/>
            </w:rPr>
            <m:t>ETM=0.25</m:t>
          </m:r>
        </m:oMath>
      </m:oMathPara>
    </w:p>
    <w:p w14:paraId="7132C098" w14:textId="77777777" w:rsidR="00D05B6A" w:rsidRPr="00D03DE5" w:rsidRDefault="00D05B6A" w:rsidP="00D05B6A">
      <w:pPr>
        <w:spacing w:line="360" w:lineRule="auto"/>
        <w:rPr>
          <w:b/>
          <w:bCs/>
          <w:color w:val="000000" w:themeColor="text1"/>
        </w:rPr>
      </w:pPr>
    </w:p>
    <w:p w14:paraId="43137E94" w14:textId="77777777" w:rsidR="00D05B6A" w:rsidRPr="008F58AC" w:rsidRDefault="00D05B6A" w:rsidP="00D05B6A">
      <w:pPr>
        <w:spacing w:line="360" w:lineRule="auto"/>
        <w:rPr>
          <w:color w:val="000000" w:themeColor="text1"/>
        </w:rPr>
      </w:pPr>
    </w:p>
    <w:p w14:paraId="5DEBDB3D" w14:textId="77777777" w:rsidR="00D05B6A" w:rsidRPr="00D03DE5" w:rsidRDefault="00D05B6A" w:rsidP="00D05B6A">
      <w:pPr>
        <w:spacing w:line="360" w:lineRule="auto"/>
        <w:rPr>
          <w:color w:val="000000" w:themeColor="text1"/>
        </w:rPr>
      </w:pPr>
      <w:r w:rsidRPr="00D03DE5">
        <w:rPr>
          <w:color w:val="000000" w:themeColor="text1"/>
        </w:rPr>
        <w:t>Using these factors to calculate the probability of P (D):</w:t>
      </w:r>
    </w:p>
    <w:p w14:paraId="3C46AD72" w14:textId="77777777" w:rsidR="00D05B6A" w:rsidRPr="00D03DE5" w:rsidRDefault="00D05B6A" w:rsidP="00D05B6A">
      <w:pPr>
        <w:spacing w:line="360" w:lineRule="auto"/>
        <w:rPr>
          <w:color w:val="000000" w:themeColor="text1"/>
        </w:rPr>
      </w:pPr>
    </w:p>
    <w:p w14:paraId="7E78B2AC" w14:textId="77777777" w:rsidR="00D05B6A" w:rsidRPr="00D03DE5" w:rsidRDefault="00D05B6A" w:rsidP="00D05B6A">
      <w:pPr>
        <w:spacing w:line="360" w:lineRule="auto"/>
        <w:rPr>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D</m:t>
              </m:r>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LPV+MS+PPIV+SOTE+ETM</m:t>
              </m:r>
            </m:num>
            <m:den>
              <m:r>
                <w:rPr>
                  <w:rFonts w:ascii="Cambria Math" w:hAnsi="Cambria Math"/>
                  <w:color w:val="000000" w:themeColor="text1"/>
                </w:rPr>
                <m:t>5</m:t>
              </m:r>
            </m:den>
          </m:f>
        </m:oMath>
      </m:oMathPara>
    </w:p>
    <w:p w14:paraId="776B5C87" w14:textId="77777777" w:rsidR="00D05B6A" w:rsidRPr="00D03DE5" w:rsidRDefault="00D05B6A" w:rsidP="00D05B6A">
      <w:pPr>
        <w:spacing w:line="360" w:lineRule="auto"/>
        <w:rPr>
          <w:color w:val="000000" w:themeColor="text1"/>
        </w:rPr>
      </w:pPr>
    </w:p>
    <w:p w14:paraId="6CC9A48C" w14:textId="77777777" w:rsidR="00D05B6A" w:rsidRPr="00D03DE5" w:rsidRDefault="00D05B6A" w:rsidP="00D05B6A">
      <w:pPr>
        <w:spacing w:line="360" w:lineRule="auto"/>
        <w:rPr>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D</m:t>
              </m:r>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0.75+0.8+0.3+0.1+0.25</m:t>
              </m:r>
            </m:num>
            <m:den>
              <m:r>
                <w:rPr>
                  <w:rFonts w:ascii="Cambria Math" w:hAnsi="Cambria Math"/>
                  <w:color w:val="000000" w:themeColor="text1"/>
                </w:rPr>
                <m:t>5</m:t>
              </m:r>
            </m:den>
          </m:f>
        </m:oMath>
      </m:oMathPara>
    </w:p>
    <w:p w14:paraId="0EBA724B" w14:textId="77777777" w:rsidR="00D05B6A" w:rsidRPr="00D03DE5" w:rsidRDefault="00D05B6A" w:rsidP="00D05B6A">
      <w:pPr>
        <w:spacing w:line="360" w:lineRule="auto"/>
        <w:rPr>
          <w:color w:val="000000" w:themeColor="text1"/>
        </w:rPr>
      </w:pPr>
    </w:p>
    <w:p w14:paraId="21BF5C39" w14:textId="77777777" w:rsidR="00D05B6A" w:rsidRPr="00D03DE5" w:rsidRDefault="00D05B6A" w:rsidP="00D05B6A">
      <w:pPr>
        <w:spacing w:line="360" w:lineRule="auto"/>
        <w:rPr>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D</m:t>
              </m:r>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2.2</m:t>
              </m:r>
            </m:num>
            <m:den>
              <m:r>
                <w:rPr>
                  <w:rFonts w:ascii="Cambria Math" w:hAnsi="Cambria Math"/>
                  <w:color w:val="000000" w:themeColor="text1"/>
                </w:rPr>
                <m:t>5</m:t>
              </m:r>
            </m:den>
          </m:f>
          <m:r>
            <w:rPr>
              <w:rFonts w:ascii="Cambria Math" w:hAnsi="Cambria Math"/>
              <w:color w:val="000000" w:themeColor="text1"/>
            </w:rPr>
            <m:t>=0.44=44%</m:t>
          </m:r>
        </m:oMath>
      </m:oMathPara>
    </w:p>
    <w:p w14:paraId="4541BA4B" w14:textId="77777777" w:rsidR="00D05B6A" w:rsidRPr="00D03DE5" w:rsidRDefault="00D05B6A" w:rsidP="00D05B6A">
      <w:pPr>
        <w:spacing w:line="360" w:lineRule="auto"/>
        <w:rPr>
          <w:color w:val="000000" w:themeColor="text1"/>
        </w:rPr>
      </w:pPr>
    </w:p>
    <w:p w14:paraId="0594A2F2" w14:textId="77777777" w:rsidR="00D05B6A" w:rsidRPr="008F58AC" w:rsidRDefault="00D05B6A" w:rsidP="00D05B6A">
      <w:pPr>
        <w:spacing w:line="360" w:lineRule="auto"/>
        <w:rPr>
          <w:color w:val="000000" w:themeColor="text1"/>
        </w:rPr>
      </w:pPr>
    </w:p>
    <w:p w14:paraId="323BCD45" w14:textId="77777777" w:rsidR="00D05B6A" w:rsidRPr="00D16913" w:rsidRDefault="00D05B6A" w:rsidP="00D05B6A">
      <w:pPr>
        <w:spacing w:line="360" w:lineRule="auto"/>
        <w:rPr>
          <w:color w:val="000000" w:themeColor="text1"/>
        </w:rPr>
      </w:pPr>
      <w:r w:rsidRPr="00D16913">
        <w:rPr>
          <w:color w:val="000000" w:themeColor="text1"/>
        </w:rPr>
        <w:t>This approach provides a realistic, quantifiable assessment of Simufilam’s potential design success without the assumptions inherent in a conditional probability model. The result is a clearer view of how each factor independently contributes to the drug's likelihood of achieving its therapeutic aims in AD.</w:t>
      </w:r>
    </w:p>
    <w:p w14:paraId="3B3EA21D" w14:textId="77777777" w:rsidR="00D05B6A" w:rsidRPr="00D03DE5" w:rsidRDefault="00D05B6A" w:rsidP="00D05B6A">
      <w:pPr>
        <w:spacing w:line="360" w:lineRule="auto"/>
        <w:rPr>
          <w:color w:val="000000" w:themeColor="text1"/>
        </w:rPr>
      </w:pPr>
    </w:p>
    <w:p w14:paraId="6CDE0867" w14:textId="77777777" w:rsidR="00D05B6A" w:rsidRPr="00D03DE5" w:rsidRDefault="00D05B6A" w:rsidP="00D05B6A">
      <w:pPr>
        <w:spacing w:line="360" w:lineRule="auto"/>
        <w:rPr>
          <w:color w:val="000000" w:themeColor="text1"/>
        </w:rPr>
      </w:pPr>
    </w:p>
    <w:p w14:paraId="1CF53767" w14:textId="77777777" w:rsidR="00D05B6A" w:rsidRPr="00D03DE5" w:rsidRDefault="5183A6D9" w:rsidP="00D05B6A">
      <w:pPr>
        <w:pStyle w:val="Heading2"/>
        <w:spacing w:line="360" w:lineRule="auto"/>
        <w:rPr>
          <w:rFonts w:ascii="Times New Roman" w:hAnsi="Times New Roman" w:cs="Times New Roman"/>
          <w:color w:val="000000" w:themeColor="text1"/>
        </w:rPr>
      </w:pPr>
      <w:bookmarkStart w:id="47" w:name="_Toc333114680"/>
      <w:r w:rsidRPr="5183A6D9">
        <w:rPr>
          <w:rFonts w:ascii="Times New Roman" w:hAnsi="Times New Roman" w:cs="Times New Roman"/>
          <w:color w:val="000000" w:themeColor="text1"/>
        </w:rPr>
        <w:t>3. Probability that a Failed Phase II Succeed in Phase III</w:t>
      </w:r>
      <w:bookmarkEnd w:id="47"/>
    </w:p>
    <w:p w14:paraId="065B381F" w14:textId="77777777" w:rsidR="00D05B6A" w:rsidRPr="00D03DE5" w:rsidRDefault="00D05B6A" w:rsidP="00D05B6A">
      <w:pPr>
        <w:spacing w:line="360" w:lineRule="auto"/>
        <w:rPr>
          <w:color w:val="000000" w:themeColor="text1"/>
        </w:rPr>
      </w:pPr>
      <w:r w:rsidRPr="00D03DE5">
        <w:rPr>
          <w:color w:val="000000" w:themeColor="text1"/>
        </w:rPr>
        <w:t>Estimating the POS in a Phase III trial after a Phase II failure, represented as P(PS3), poses significant challenges. When a drug fails to meet its primary endpoint in a controlled Phase II trial, the likelihood of Phase III success is generally diminished. Historically, drugs entering Phase III after successful Phase II trials have a success rate of about 58%, but when Phase III proceeds despite a Phase II failure, the expected success rate drops markedly. Here, we aim to quantify this reduced probability with analytical rigor, using Simufilam’s Phase IIb trial as an example.</w:t>
      </w:r>
    </w:p>
    <w:p w14:paraId="7484BE99" w14:textId="77777777" w:rsidR="00D05B6A" w:rsidRPr="00D03DE5" w:rsidRDefault="00D05B6A" w:rsidP="00D05B6A">
      <w:pPr>
        <w:spacing w:line="360" w:lineRule="auto"/>
        <w:rPr>
          <w:color w:val="000000" w:themeColor="text1"/>
        </w:rPr>
      </w:pPr>
    </w:p>
    <w:p w14:paraId="2390DC69" w14:textId="77777777" w:rsidR="00D05B6A" w:rsidRPr="00517DB8" w:rsidRDefault="00D05B6A" w:rsidP="00D05B6A">
      <w:pPr>
        <w:spacing w:line="360" w:lineRule="auto"/>
        <w:rPr>
          <w:color w:val="000000" w:themeColor="text1"/>
        </w:rPr>
      </w:pPr>
      <w:r w:rsidRPr="00517DB8">
        <w:rPr>
          <w:color w:val="000000" w:themeColor="text1"/>
        </w:rPr>
        <w:t>To estimate P(</w:t>
      </w:r>
      <w:r w:rsidRPr="00D03DE5">
        <w:rPr>
          <w:color w:val="000000" w:themeColor="text1"/>
        </w:rPr>
        <w:t>PS3)</w:t>
      </w:r>
      <w:r w:rsidRPr="00517DB8">
        <w:rPr>
          <w:color w:val="000000" w:themeColor="text1"/>
        </w:rPr>
        <w:t>, we consider the general success rates alongside Alzheimer’s-specific data:</w:t>
      </w:r>
    </w:p>
    <w:p w14:paraId="0764601F" w14:textId="77777777" w:rsidR="00D05B6A" w:rsidRPr="00D03DE5" w:rsidRDefault="00D05B6A" w:rsidP="00D05B6A">
      <w:pPr>
        <w:spacing w:line="360" w:lineRule="auto"/>
        <w:rPr>
          <w:color w:val="000000" w:themeColor="text1"/>
        </w:rPr>
      </w:pPr>
    </w:p>
    <w:p w14:paraId="30C82CAD" w14:textId="77777777" w:rsidR="00D05B6A" w:rsidRPr="00D03DE5" w:rsidRDefault="5183A6D9" w:rsidP="00D05B6A">
      <w:pPr>
        <w:pStyle w:val="Heading3"/>
        <w:spacing w:line="360" w:lineRule="auto"/>
        <w:rPr>
          <w:rFonts w:cs="Times New Roman"/>
          <w:color w:val="000000" w:themeColor="text1"/>
        </w:rPr>
      </w:pPr>
      <w:bookmarkStart w:id="48" w:name="_Toc773327993"/>
      <w:r w:rsidRPr="5183A6D9">
        <w:rPr>
          <w:rFonts w:eastAsia="Times New Roman" w:cs="Times New Roman"/>
          <w:color w:val="000000" w:themeColor="text1"/>
        </w:rPr>
        <w:t>Historical Baseline Success Rates:</w:t>
      </w:r>
      <w:bookmarkEnd w:id="48"/>
    </w:p>
    <w:p w14:paraId="0A66B128" w14:textId="77777777" w:rsidR="00D05B6A" w:rsidRPr="00517DB8" w:rsidRDefault="00D05B6A" w:rsidP="00D05B6A">
      <w:pPr>
        <w:spacing w:line="360" w:lineRule="auto"/>
        <w:rPr>
          <w:color w:val="000000" w:themeColor="text1"/>
          <w:u w:val="single"/>
        </w:rPr>
      </w:pPr>
    </w:p>
    <w:p w14:paraId="20A709E0" w14:textId="77777777" w:rsidR="00D05B6A" w:rsidRPr="00D03DE5" w:rsidRDefault="00D05B6A" w:rsidP="00D05B6A">
      <w:pPr>
        <w:spacing w:line="360" w:lineRule="auto"/>
        <w:rPr>
          <w:color w:val="000000" w:themeColor="text1"/>
        </w:rPr>
      </w:pPr>
      <m:oMathPara>
        <m:oMath>
          <m:r>
            <w:rPr>
              <w:rFonts w:ascii="Cambria Math" w:hAnsi="Cambria Math"/>
              <w:color w:val="000000" w:themeColor="text1"/>
            </w:rPr>
            <m:t>General Phase II Success Rate: ~30.7%.</m:t>
          </m:r>
        </m:oMath>
      </m:oMathPara>
    </w:p>
    <w:p w14:paraId="43328EA5" w14:textId="77777777" w:rsidR="00D05B6A" w:rsidRPr="00D03DE5" w:rsidRDefault="00D05B6A" w:rsidP="00D05B6A">
      <w:pPr>
        <w:spacing w:line="360" w:lineRule="auto"/>
        <w:rPr>
          <w:color w:val="000000" w:themeColor="text1"/>
        </w:rPr>
      </w:pPr>
    </w:p>
    <w:p w14:paraId="05973998" w14:textId="77777777" w:rsidR="00D05B6A" w:rsidRPr="00D03DE5" w:rsidRDefault="00D05B6A" w:rsidP="00D05B6A">
      <w:pPr>
        <w:spacing w:line="360" w:lineRule="auto"/>
        <w:rPr>
          <w:color w:val="000000" w:themeColor="text1"/>
        </w:rPr>
      </w:pPr>
      <m:oMathPara>
        <m:oMath>
          <m:r>
            <w:rPr>
              <w:rFonts w:ascii="Cambria Math" w:hAnsi="Cambria Math"/>
              <w:color w:val="000000" w:themeColor="text1"/>
            </w:rPr>
            <m:t>Phase III Success After Phase II Success: ~58.3%.</m:t>
          </m:r>
        </m:oMath>
      </m:oMathPara>
    </w:p>
    <w:p w14:paraId="1589340B" w14:textId="77777777" w:rsidR="00D05B6A" w:rsidRPr="00D03DE5" w:rsidRDefault="00D05B6A" w:rsidP="00D05B6A">
      <w:pPr>
        <w:spacing w:line="360" w:lineRule="auto"/>
        <w:rPr>
          <w:color w:val="000000" w:themeColor="text1"/>
        </w:rPr>
      </w:pPr>
    </w:p>
    <w:p w14:paraId="4B9E49D6" w14:textId="77777777" w:rsidR="00D05B6A" w:rsidRPr="00517DB8" w:rsidRDefault="00D05B6A" w:rsidP="00D05B6A">
      <w:pPr>
        <w:spacing w:line="360" w:lineRule="auto"/>
        <w:rPr>
          <w:color w:val="000000" w:themeColor="text1"/>
        </w:rPr>
      </w:pPr>
    </w:p>
    <w:p w14:paraId="1283674B" w14:textId="77777777" w:rsidR="00D05B6A" w:rsidRPr="00D03DE5" w:rsidRDefault="5183A6D9" w:rsidP="00D05B6A">
      <w:pPr>
        <w:pStyle w:val="Heading3"/>
        <w:spacing w:line="360" w:lineRule="auto"/>
        <w:rPr>
          <w:rFonts w:cs="Times New Roman"/>
          <w:color w:val="000000" w:themeColor="text1"/>
        </w:rPr>
      </w:pPr>
      <w:bookmarkStart w:id="49" w:name="_Toc1554769567"/>
      <w:r w:rsidRPr="5183A6D9">
        <w:rPr>
          <w:rFonts w:eastAsia="Times New Roman" w:cs="Times New Roman"/>
          <w:color w:val="000000" w:themeColor="text1"/>
        </w:rPr>
        <w:t>Severity Factor α:</w:t>
      </w:r>
      <w:bookmarkEnd w:id="49"/>
    </w:p>
    <w:p w14:paraId="561E65D6" w14:textId="77777777" w:rsidR="00D05B6A" w:rsidRPr="00D03DE5" w:rsidRDefault="00D05B6A" w:rsidP="00D05B6A">
      <w:pPr>
        <w:pStyle w:val="ListParagraph"/>
        <w:numPr>
          <w:ilvl w:val="0"/>
          <w:numId w:val="49"/>
        </w:numPr>
        <w:spacing w:line="360" w:lineRule="auto"/>
        <w:rPr>
          <w:color w:val="000000" w:themeColor="text1"/>
        </w:rPr>
      </w:pPr>
      <w:r w:rsidRPr="00D03DE5">
        <w:rPr>
          <w:color w:val="000000" w:themeColor="text1"/>
        </w:rPr>
        <w:t>α accounts for Phase II failure severity, scaling success probability for Phase III:</w:t>
      </w:r>
    </w:p>
    <w:p w14:paraId="6735A86B" w14:textId="77777777" w:rsidR="00D05B6A" w:rsidRPr="00D03DE5" w:rsidRDefault="00D05B6A" w:rsidP="00D05B6A">
      <w:pPr>
        <w:pStyle w:val="ListParagraph"/>
        <w:numPr>
          <w:ilvl w:val="1"/>
          <w:numId w:val="49"/>
        </w:numPr>
        <w:spacing w:line="360" w:lineRule="auto"/>
        <w:rPr>
          <w:color w:val="000000" w:themeColor="text1"/>
        </w:rPr>
      </w:pPr>
      <w:r w:rsidRPr="00D03DE5">
        <w:rPr>
          <w:color w:val="000000" w:themeColor="text1"/>
        </w:rPr>
        <w:lastRenderedPageBreak/>
        <w:t>Moderate Failure (e.g., Simufilam): α=2</w:t>
      </w:r>
    </w:p>
    <w:p w14:paraId="108AFD5F" w14:textId="77777777" w:rsidR="00D05B6A" w:rsidRPr="00D03DE5" w:rsidRDefault="00D05B6A" w:rsidP="00D05B6A">
      <w:pPr>
        <w:pStyle w:val="ListParagraph"/>
        <w:numPr>
          <w:ilvl w:val="1"/>
          <w:numId w:val="49"/>
        </w:numPr>
        <w:spacing w:line="360" w:lineRule="auto"/>
        <w:rPr>
          <w:color w:val="000000" w:themeColor="text1"/>
        </w:rPr>
      </w:pPr>
      <w:r w:rsidRPr="00D03DE5">
        <w:rPr>
          <w:color w:val="000000" w:themeColor="text1"/>
        </w:rPr>
        <w:t>Severe Failure: α=3</w:t>
      </w:r>
    </w:p>
    <w:p w14:paraId="3F26D996" w14:textId="77777777" w:rsidR="00D05B6A" w:rsidRPr="00D03DE5" w:rsidRDefault="00D05B6A" w:rsidP="00D05B6A">
      <w:pPr>
        <w:pStyle w:val="ListParagraph"/>
        <w:numPr>
          <w:ilvl w:val="1"/>
          <w:numId w:val="49"/>
        </w:numPr>
        <w:spacing w:line="360" w:lineRule="auto"/>
        <w:rPr>
          <w:color w:val="000000" w:themeColor="text1"/>
        </w:rPr>
      </w:pPr>
      <w:r w:rsidRPr="00D03DE5">
        <w:rPr>
          <w:color w:val="000000" w:themeColor="text1"/>
        </w:rPr>
        <w:t>Near-Miss Failure: α=1.5</w:t>
      </w:r>
    </w:p>
    <w:p w14:paraId="5076328C" w14:textId="77777777" w:rsidR="00D05B6A" w:rsidRPr="00D03DE5" w:rsidRDefault="00D05B6A" w:rsidP="00D05B6A">
      <w:pPr>
        <w:spacing w:line="360" w:lineRule="auto"/>
        <w:rPr>
          <w:color w:val="000000" w:themeColor="text1"/>
        </w:rPr>
      </w:pPr>
    </w:p>
    <w:p w14:paraId="617E03A4" w14:textId="77777777" w:rsidR="00D05B6A" w:rsidRPr="00D03DE5" w:rsidRDefault="5183A6D9" w:rsidP="00D05B6A">
      <w:pPr>
        <w:pStyle w:val="Heading3"/>
        <w:spacing w:line="360" w:lineRule="auto"/>
        <w:rPr>
          <w:rFonts w:cs="Times New Roman"/>
          <w:color w:val="000000" w:themeColor="text1"/>
        </w:rPr>
      </w:pPr>
      <w:bookmarkStart w:id="50" w:name="_Toc760533250"/>
      <w:r w:rsidRPr="5183A6D9">
        <w:rPr>
          <w:rFonts w:eastAsia="Times New Roman" w:cs="Times New Roman"/>
          <w:color w:val="000000" w:themeColor="text1"/>
        </w:rPr>
        <w:t>Risk Adjustment Factor R:</w:t>
      </w:r>
      <w:bookmarkEnd w:id="50"/>
    </w:p>
    <w:p w14:paraId="3A5EA22A" w14:textId="77777777" w:rsidR="00D05B6A" w:rsidRDefault="00D05B6A" w:rsidP="00D05B6A">
      <w:pPr>
        <w:spacing w:line="360" w:lineRule="auto"/>
        <w:ind w:firstLine="720"/>
        <w:rPr>
          <w:color w:val="000000" w:themeColor="text1"/>
        </w:rPr>
      </w:pPr>
      <w:r w:rsidRPr="00517DB8">
        <w:rPr>
          <w:color w:val="000000" w:themeColor="text1"/>
        </w:rPr>
        <w:t xml:space="preserve">General Probability Model (Non-AD): </w:t>
      </w:r>
    </w:p>
    <w:p w14:paraId="5B7FFB33" w14:textId="77777777" w:rsidR="00D05B6A" w:rsidRPr="00D03DE5" w:rsidRDefault="00D05B6A" w:rsidP="00D05B6A">
      <w:pPr>
        <w:spacing w:line="360" w:lineRule="auto"/>
        <w:ind w:firstLine="720"/>
        <w:rPr>
          <w:color w:val="000000" w:themeColor="text1"/>
        </w:rPr>
      </w:pPr>
    </w:p>
    <w:p w14:paraId="57D4BA7A" w14:textId="77777777" w:rsidR="00D05B6A" w:rsidRPr="00D03DE5" w:rsidRDefault="00D05B6A" w:rsidP="00D05B6A">
      <w:pPr>
        <w:spacing w:line="360" w:lineRule="auto"/>
        <w:rPr>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P3</m:t>
              </m:r>
            </m:e>
            <m:e>
              <m:r>
                <w:rPr>
                  <w:rFonts w:ascii="Cambria Math" w:hAnsi="Cambria Math"/>
                  <w:color w:val="000000" w:themeColor="text1"/>
                </w:rPr>
                <m:t>FP2</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SP3</m:t>
              </m:r>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m:rPr>
                  <m:sty m:val="p"/>
                </m:rPr>
                <w:rPr>
                  <w:rFonts w:ascii="Cambria Math" w:hAnsi="Cambria Math"/>
                  <w:color w:val="000000" w:themeColor="text1"/>
                </w:rPr>
                <m:t xml:space="preserve">α </m:t>
              </m:r>
            </m:den>
          </m:f>
        </m:oMath>
      </m:oMathPara>
    </w:p>
    <w:p w14:paraId="1702CA31" w14:textId="77777777" w:rsidR="00D05B6A" w:rsidRPr="00D03DE5" w:rsidRDefault="00D05B6A" w:rsidP="00D05B6A">
      <w:pPr>
        <w:spacing w:line="360" w:lineRule="auto"/>
        <w:ind w:left="1440"/>
        <w:rPr>
          <w:color w:val="000000" w:themeColor="text1"/>
        </w:rPr>
      </w:pPr>
    </w:p>
    <w:p w14:paraId="6113748B" w14:textId="77777777" w:rsidR="00D05B6A" w:rsidRDefault="00D05B6A" w:rsidP="00D05B6A">
      <w:pPr>
        <w:spacing w:line="360" w:lineRule="auto"/>
        <w:ind w:firstLine="720"/>
        <w:rPr>
          <w:color w:val="000000" w:themeColor="text1"/>
        </w:rPr>
      </w:pPr>
      <w:r w:rsidRPr="00517DB8">
        <w:rPr>
          <w:color w:val="000000" w:themeColor="text1"/>
        </w:rPr>
        <w:t xml:space="preserve">For Simufilam’s moderate failure: </w:t>
      </w:r>
    </w:p>
    <w:p w14:paraId="426AE1EC" w14:textId="77777777" w:rsidR="00D05B6A" w:rsidRPr="00D03DE5" w:rsidRDefault="00D05B6A" w:rsidP="00D05B6A">
      <w:pPr>
        <w:spacing w:line="360" w:lineRule="auto"/>
        <w:ind w:firstLine="720"/>
        <w:rPr>
          <w:color w:val="000000" w:themeColor="text1"/>
        </w:rPr>
      </w:pPr>
    </w:p>
    <w:p w14:paraId="1969E404" w14:textId="77777777" w:rsidR="00D05B6A" w:rsidRPr="00517DB8" w:rsidRDefault="00D05B6A" w:rsidP="00D05B6A">
      <w:pPr>
        <w:spacing w:line="360" w:lineRule="auto"/>
        <w:rPr>
          <w:color w:val="000000" w:themeColor="text1"/>
        </w:rPr>
      </w:pPr>
      <m:oMathPara>
        <m:oMath>
          <m:r>
            <w:rPr>
              <w:rFonts w:ascii="Cambria Math" w:hAnsi="Cambria Math"/>
              <w:color w:val="000000" w:themeColor="text1"/>
            </w:rPr>
            <m:t>P(SP3)=0.583, α=2</m:t>
          </m:r>
        </m:oMath>
      </m:oMathPara>
    </w:p>
    <w:p w14:paraId="0E5D39A9" w14:textId="77777777" w:rsidR="00D05B6A" w:rsidRPr="00D03DE5" w:rsidRDefault="00D05B6A" w:rsidP="00D05B6A">
      <w:pPr>
        <w:spacing w:line="360" w:lineRule="auto"/>
        <w:rPr>
          <w:color w:val="000000" w:themeColor="text1"/>
        </w:rPr>
      </w:pPr>
    </w:p>
    <w:p w14:paraId="2979B175" w14:textId="77777777" w:rsidR="00D05B6A" w:rsidRDefault="00D05B6A" w:rsidP="00D05B6A">
      <w:pPr>
        <w:spacing w:line="360" w:lineRule="auto"/>
        <w:ind w:firstLine="720"/>
        <w:rPr>
          <w:color w:val="000000" w:themeColor="text1"/>
        </w:rPr>
      </w:pPr>
      <w:r w:rsidRPr="00517DB8">
        <w:rPr>
          <w:color w:val="000000" w:themeColor="text1"/>
        </w:rPr>
        <w:t xml:space="preserve">Estimated Probability for Non-AD Drugs: </w:t>
      </w:r>
    </w:p>
    <w:p w14:paraId="3C999DA9" w14:textId="77777777" w:rsidR="00D05B6A" w:rsidRPr="00D03DE5" w:rsidRDefault="00D05B6A" w:rsidP="00D05B6A">
      <w:pPr>
        <w:spacing w:line="360" w:lineRule="auto"/>
        <w:ind w:firstLine="720"/>
        <w:rPr>
          <w:color w:val="000000" w:themeColor="text1"/>
        </w:rPr>
      </w:pPr>
    </w:p>
    <w:p w14:paraId="6C423329" w14:textId="77777777" w:rsidR="00D05B6A" w:rsidRPr="00D03DE5" w:rsidRDefault="00D05B6A" w:rsidP="00D05B6A">
      <w:pPr>
        <w:spacing w:line="360" w:lineRule="auto"/>
        <w:rPr>
          <w:color w:val="000000" w:themeColor="text1"/>
        </w:rPr>
      </w:pPr>
      <m:oMathPara>
        <m:oMath>
          <m:r>
            <w:rPr>
              <w:rFonts w:ascii="Cambria Math" w:hAnsi="Cambria Math"/>
              <w:color w:val="000000" w:themeColor="text1"/>
            </w:rPr>
            <m:t>0.583×</m:t>
          </m:r>
          <m:f>
            <m:fPr>
              <m:ctrlPr>
                <w:rPr>
                  <w:rFonts w:ascii="Cambria Math" w:hAnsi="Cambria Math"/>
                  <w:i/>
                  <w:iCs/>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=29.15%</m:t>
          </m:r>
        </m:oMath>
      </m:oMathPara>
    </w:p>
    <w:p w14:paraId="42B192C5" w14:textId="77777777" w:rsidR="00D05B6A" w:rsidRPr="00517DB8" w:rsidRDefault="00D05B6A" w:rsidP="00D05B6A">
      <w:pPr>
        <w:spacing w:line="360" w:lineRule="auto"/>
        <w:ind w:left="1440"/>
        <w:rPr>
          <w:color w:val="000000" w:themeColor="text1"/>
        </w:rPr>
      </w:pPr>
    </w:p>
    <w:p w14:paraId="3158788B" w14:textId="77777777" w:rsidR="00D05B6A" w:rsidRPr="00D03DE5" w:rsidRDefault="5183A6D9" w:rsidP="00D05B6A">
      <w:pPr>
        <w:pStyle w:val="Heading3"/>
        <w:spacing w:line="360" w:lineRule="auto"/>
        <w:rPr>
          <w:rFonts w:cs="Times New Roman"/>
          <w:color w:val="000000" w:themeColor="text1"/>
        </w:rPr>
      </w:pPr>
      <w:bookmarkStart w:id="51" w:name="_Toc1201185303"/>
      <w:r w:rsidRPr="5183A6D9">
        <w:rPr>
          <w:rFonts w:eastAsia="Times New Roman" w:cs="Times New Roman"/>
          <w:color w:val="000000" w:themeColor="text1"/>
        </w:rPr>
        <w:t>Alzheimer’s-Specific Model Adjustment:</w:t>
      </w:r>
      <w:bookmarkEnd w:id="51"/>
    </w:p>
    <w:p w14:paraId="2A153255" w14:textId="77777777" w:rsidR="00D05B6A" w:rsidRDefault="00D05B6A" w:rsidP="00D05B6A">
      <w:pPr>
        <w:spacing w:line="360" w:lineRule="auto"/>
        <w:ind w:firstLine="720"/>
        <w:rPr>
          <w:color w:val="000000" w:themeColor="text1"/>
        </w:rPr>
      </w:pPr>
      <w:r w:rsidRPr="00D03DE5">
        <w:rPr>
          <w:color w:val="000000" w:themeColor="text1"/>
        </w:rPr>
        <w:t>AD Phase III Success Rate</w:t>
      </w:r>
      <w:r>
        <w:rPr>
          <w:color w:val="000000" w:themeColor="text1"/>
        </w:rPr>
        <w:t xml:space="preserve"> </w:t>
      </w:r>
      <w:r w:rsidRPr="001A024D">
        <w:rPr>
          <w:color w:val="000000" w:themeColor="text1"/>
        </w:rPr>
        <w:t>(</w:t>
      </w:r>
      <w:hyperlink r:id="rId147" w:history="1">
        <w:r w:rsidRPr="001A024D">
          <w:rPr>
            <w:rStyle w:val="Hyperlink"/>
          </w:rPr>
          <w:t>Kim et al., 2022</w:t>
        </w:r>
      </w:hyperlink>
      <w:r w:rsidRPr="001A024D">
        <w:rPr>
          <w:color w:val="000000" w:themeColor="text1"/>
        </w:rPr>
        <w:t>)</w:t>
      </w:r>
      <w:r w:rsidRPr="00D03DE5">
        <w:rPr>
          <w:color w:val="000000" w:themeColor="text1"/>
        </w:rPr>
        <w:t xml:space="preserve">: </w:t>
      </w:r>
    </w:p>
    <w:p w14:paraId="0A38A573" w14:textId="77777777" w:rsidR="00D05B6A" w:rsidRPr="00D03DE5" w:rsidRDefault="00D05B6A" w:rsidP="00D05B6A">
      <w:pPr>
        <w:spacing w:line="360" w:lineRule="auto"/>
        <w:ind w:firstLine="720"/>
        <w:rPr>
          <w:color w:val="000000" w:themeColor="text1"/>
        </w:rPr>
      </w:pPr>
    </w:p>
    <w:p w14:paraId="3A2FD397" w14:textId="77777777" w:rsidR="00D05B6A" w:rsidRPr="001A024D" w:rsidRDefault="00D05B6A" w:rsidP="00D05B6A">
      <w:pPr>
        <w:spacing w:line="360" w:lineRule="auto"/>
        <w:rPr>
          <w:color w:val="000000" w:themeColor="text1"/>
        </w:rPr>
      </w:pPr>
      <m:oMathPara>
        <m:oMath>
          <m:r>
            <w:rPr>
              <w:rFonts w:ascii="Cambria Math" w:hAnsi="Cambria Math"/>
              <w:color w:val="000000" w:themeColor="text1"/>
            </w:rPr>
            <m:t>Estimated at 2%</m:t>
          </m:r>
        </m:oMath>
      </m:oMathPara>
    </w:p>
    <w:p w14:paraId="57D52524" w14:textId="77777777" w:rsidR="00D05B6A" w:rsidRPr="00D03DE5" w:rsidRDefault="00D05B6A" w:rsidP="00D05B6A">
      <w:pPr>
        <w:spacing w:line="360" w:lineRule="auto"/>
        <w:rPr>
          <w:color w:val="000000" w:themeColor="text1"/>
        </w:rPr>
      </w:pPr>
    </w:p>
    <w:p w14:paraId="26FEB564" w14:textId="77777777" w:rsidR="00D05B6A" w:rsidRDefault="00D05B6A" w:rsidP="00D05B6A">
      <w:pPr>
        <w:spacing w:line="360" w:lineRule="auto"/>
        <w:ind w:firstLine="720"/>
        <w:rPr>
          <w:color w:val="000000" w:themeColor="text1"/>
        </w:rPr>
      </w:pPr>
      <w:r w:rsidRPr="00D03DE5">
        <w:rPr>
          <w:color w:val="000000" w:themeColor="text1"/>
        </w:rPr>
        <w:t>Moderate Failure (Simufilam) For AD</w:t>
      </w:r>
      <w:r>
        <w:rPr>
          <w:color w:val="000000" w:themeColor="text1"/>
        </w:rPr>
        <w:t>:</w:t>
      </w:r>
    </w:p>
    <w:p w14:paraId="1481729B" w14:textId="77777777" w:rsidR="00D05B6A" w:rsidRPr="00D03DE5" w:rsidRDefault="00D05B6A" w:rsidP="00D05B6A">
      <w:pPr>
        <w:spacing w:line="360" w:lineRule="auto"/>
        <w:ind w:firstLine="720"/>
        <w:rPr>
          <w:color w:val="000000" w:themeColor="text1"/>
        </w:rPr>
      </w:pPr>
    </w:p>
    <w:p w14:paraId="45165D67" w14:textId="77777777" w:rsidR="00D05B6A" w:rsidRPr="00D03DE5" w:rsidRDefault="00D05B6A" w:rsidP="00D05B6A">
      <w:pPr>
        <w:spacing w:line="360" w:lineRule="auto"/>
        <w:rPr>
          <w:color w:val="000000" w:themeColor="text1"/>
        </w:rPr>
      </w:pPr>
      <m:oMathPara>
        <m:oMath>
          <m:r>
            <m:rPr>
              <m:sty m:val="p"/>
            </m:rPr>
            <w:rPr>
              <w:rFonts w:ascii="Cambria Math" w:hAnsi="Cambria Math"/>
              <w:color w:val="000000" w:themeColor="text1"/>
            </w:rPr>
            <m:t>P(SP3,AD)=0.02, α=2</m:t>
          </m:r>
        </m:oMath>
      </m:oMathPara>
    </w:p>
    <w:p w14:paraId="060A21FF" w14:textId="77777777" w:rsidR="00D05B6A" w:rsidRPr="00D03DE5" w:rsidRDefault="00D05B6A" w:rsidP="00D05B6A">
      <w:pPr>
        <w:spacing w:line="360" w:lineRule="auto"/>
        <w:rPr>
          <w:color w:val="000000" w:themeColor="text1"/>
        </w:rPr>
      </w:pPr>
    </w:p>
    <w:p w14:paraId="4DC6E47D" w14:textId="77777777" w:rsidR="00D05B6A" w:rsidRPr="00D03DE5" w:rsidRDefault="00D05B6A" w:rsidP="00D05B6A">
      <w:pPr>
        <w:spacing w:line="360" w:lineRule="auto"/>
        <w:ind w:firstLine="720"/>
        <w:rPr>
          <w:color w:val="000000" w:themeColor="text1"/>
        </w:rPr>
      </w:pPr>
      <w:r w:rsidRPr="00D03DE5">
        <w:rPr>
          <w:color w:val="000000" w:themeColor="text1"/>
        </w:rPr>
        <w:t xml:space="preserve">Adjusted Probability for AD Drugs: </w:t>
      </w:r>
    </w:p>
    <w:p w14:paraId="623879BB" w14:textId="77777777" w:rsidR="00D05B6A" w:rsidRPr="00D03DE5" w:rsidRDefault="00D05B6A" w:rsidP="00D05B6A">
      <w:pPr>
        <w:spacing w:line="360" w:lineRule="auto"/>
        <w:rPr>
          <w:color w:val="000000" w:themeColor="text1"/>
        </w:rPr>
      </w:pPr>
      <m:oMathPara>
        <m:oMath>
          <m:r>
            <m:rPr>
              <m:sty m:val="p"/>
            </m:rPr>
            <w:rPr>
              <w:rFonts w:ascii="Cambria Math" w:hAnsi="Cambria Math"/>
              <w:color w:val="000000" w:themeColor="text1"/>
            </w:rPr>
            <w:lastRenderedPageBreak/>
            <m:t>0.02*</m:t>
          </m:r>
          <m:f>
            <m:fPr>
              <m:ctrlPr>
                <w:rPr>
                  <w:rFonts w:ascii="Cambria Math" w:hAnsi="Cambria Math"/>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m:rPr>
              <m:sty m:val="p"/>
            </m:rPr>
            <w:rPr>
              <w:rFonts w:ascii="Cambria Math" w:hAnsi="Cambria Math"/>
              <w:color w:val="000000" w:themeColor="text1"/>
            </w:rPr>
            <m:t>=1%</m:t>
          </m:r>
        </m:oMath>
      </m:oMathPara>
    </w:p>
    <w:p w14:paraId="2BA2F179" w14:textId="77777777" w:rsidR="00D05B6A" w:rsidRPr="00D03DE5" w:rsidRDefault="00D05B6A" w:rsidP="00D05B6A">
      <w:pPr>
        <w:spacing w:line="360" w:lineRule="auto"/>
        <w:rPr>
          <w:color w:val="000000" w:themeColor="text1"/>
        </w:rPr>
      </w:pPr>
    </w:p>
    <w:p w14:paraId="25167012" w14:textId="77777777" w:rsidR="00D05B6A" w:rsidRPr="00D03DE5" w:rsidRDefault="00D05B6A" w:rsidP="00D05B6A">
      <w:pPr>
        <w:spacing w:line="360" w:lineRule="auto"/>
        <w:rPr>
          <w:color w:val="000000" w:themeColor="text1"/>
        </w:rPr>
      </w:pPr>
    </w:p>
    <w:p w14:paraId="68D63675" w14:textId="77777777" w:rsidR="00D05B6A" w:rsidRPr="00D03DE5" w:rsidRDefault="5183A6D9" w:rsidP="00D05B6A">
      <w:pPr>
        <w:pStyle w:val="Heading3"/>
        <w:spacing w:line="360" w:lineRule="auto"/>
        <w:rPr>
          <w:rFonts w:cs="Times New Roman"/>
          <w:color w:val="000000" w:themeColor="text1"/>
        </w:rPr>
      </w:pPr>
      <w:bookmarkStart w:id="52" w:name="_Toc1241754317"/>
      <w:r w:rsidRPr="5183A6D9">
        <w:rPr>
          <w:rFonts w:eastAsia="Times New Roman" w:cs="Times New Roman"/>
          <w:color w:val="000000" w:themeColor="text1"/>
        </w:rPr>
        <w:t>Weighted Average for AD Context:</w:t>
      </w:r>
      <w:bookmarkEnd w:id="52"/>
    </w:p>
    <w:p w14:paraId="7CF41120" w14:textId="77777777" w:rsidR="00D05B6A" w:rsidRPr="00D03DE5" w:rsidRDefault="00D05B6A" w:rsidP="00D05B6A">
      <w:pPr>
        <w:spacing w:line="360" w:lineRule="auto"/>
        <w:rPr>
          <w:color w:val="000000" w:themeColor="text1"/>
        </w:rPr>
      </w:pPr>
      <w:r w:rsidRPr="00517DB8">
        <w:rPr>
          <w:color w:val="000000" w:themeColor="text1"/>
        </w:rPr>
        <w:t xml:space="preserve">Combining AD and general therapeutic probabilities, weighted </w:t>
      </w:r>
      <m:oMath>
        <m:f>
          <m:fPr>
            <m:ctrlPr>
              <w:rPr>
                <w:rFonts w:ascii="Cambria Math" w:hAnsi="Cambria Math"/>
                <w:i/>
                <w:color w:val="000000" w:themeColor="text1"/>
              </w:rPr>
            </m:ctrlPr>
          </m:fPr>
          <m:num>
            <m:r>
              <w:rPr>
                <w:rFonts w:ascii="Cambria Math" w:hAnsi="Cambria Math"/>
                <w:color w:val="000000" w:themeColor="text1"/>
              </w:rPr>
              <m:t>2</m:t>
            </m:r>
          </m:num>
          <m:den>
            <m:r>
              <w:rPr>
                <w:rFonts w:ascii="Cambria Math" w:hAnsi="Cambria Math"/>
                <w:color w:val="000000" w:themeColor="text1"/>
              </w:rPr>
              <m:t>3</m:t>
            </m:r>
          </m:den>
        </m:f>
      </m:oMath>
      <w:r w:rsidRPr="00D03DE5">
        <w:rPr>
          <w:color w:val="000000" w:themeColor="text1"/>
        </w:rPr>
        <w:t xml:space="preserve"> for AD and </w:t>
      </w:r>
      <m:oMath>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den>
        </m:f>
      </m:oMath>
      <w:r w:rsidRPr="00517DB8">
        <w:rPr>
          <w:color w:val="000000" w:themeColor="text1"/>
        </w:rPr>
        <w:t>​ for general:</w:t>
      </w:r>
    </w:p>
    <w:p w14:paraId="3A41E4AC" w14:textId="77777777" w:rsidR="00D05B6A" w:rsidRPr="00517DB8" w:rsidRDefault="00D05B6A" w:rsidP="00D05B6A">
      <w:pPr>
        <w:spacing w:line="360" w:lineRule="auto"/>
        <w:rPr>
          <w:color w:val="000000" w:themeColor="text1"/>
        </w:rPr>
      </w:pPr>
    </w:p>
    <w:p w14:paraId="0CEE71A1" w14:textId="77777777" w:rsidR="00D05B6A" w:rsidRPr="00D03DE5" w:rsidRDefault="00D05B6A" w:rsidP="00D05B6A">
      <w:pPr>
        <w:spacing w:line="360" w:lineRule="auto"/>
        <w:rPr>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PS3</m:t>
              </m:r>
            </m:e>
          </m:d>
          <m:r>
            <w:rPr>
              <w:rFonts w:ascii="Cambria Math" w:hAnsi="Cambria Math"/>
              <w:color w:val="000000" w:themeColor="text1"/>
            </w:rPr>
            <m:t>=</m:t>
          </m:r>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2</m:t>
                  </m:r>
                </m:num>
                <m:den>
                  <m:r>
                    <w:rPr>
                      <w:rFonts w:ascii="Cambria Math" w:hAnsi="Cambria Math"/>
                      <w:color w:val="000000" w:themeColor="text1"/>
                    </w:rPr>
                    <m:t>3</m:t>
                  </m:r>
                </m:den>
              </m:f>
              <m:r>
                <w:rPr>
                  <w:rFonts w:ascii="Cambria Math" w:hAnsi="Cambria Math"/>
                  <w:color w:val="000000" w:themeColor="text1"/>
                </w:rPr>
                <m:t>*0.01</m:t>
              </m:r>
            </m:e>
          </m:d>
          <m:r>
            <w:rPr>
              <w:rFonts w:ascii="Cambria Math" w:hAnsi="Cambria Math"/>
              <w:color w:val="000000" w:themeColor="text1"/>
            </w:rPr>
            <m:t>+</m:t>
          </m:r>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den>
              </m:f>
              <m:r>
                <w:rPr>
                  <w:rFonts w:ascii="Cambria Math" w:hAnsi="Cambria Math"/>
                  <w:color w:val="000000" w:themeColor="text1"/>
                </w:rPr>
                <m:t>*0.2915</m:t>
              </m:r>
            </m:e>
          </m:d>
          <m:r>
            <w:rPr>
              <w:rFonts w:ascii="Cambria Math" w:hAnsi="Cambria Math"/>
              <w:color w:val="000000" w:themeColor="text1"/>
            </w:rPr>
            <m:t>=5.19%</m:t>
          </m:r>
        </m:oMath>
      </m:oMathPara>
    </w:p>
    <w:p w14:paraId="3289EA7B" w14:textId="77777777" w:rsidR="00D05B6A" w:rsidRPr="00D03DE5" w:rsidRDefault="00D05B6A" w:rsidP="00D05B6A">
      <w:pPr>
        <w:spacing w:line="360" w:lineRule="auto"/>
        <w:rPr>
          <w:color w:val="000000" w:themeColor="text1"/>
        </w:rPr>
      </w:pPr>
    </w:p>
    <w:p w14:paraId="6FF544FA" w14:textId="77777777" w:rsidR="00D05B6A" w:rsidRPr="00D03DE5" w:rsidRDefault="00D05B6A" w:rsidP="00D05B6A">
      <w:pPr>
        <w:spacing w:line="360" w:lineRule="auto"/>
        <w:rPr>
          <w:color w:val="000000" w:themeColor="text1"/>
        </w:rPr>
      </w:pPr>
      <w:r w:rsidRPr="00D03DE5">
        <w:rPr>
          <w:color w:val="000000" w:themeColor="text1"/>
        </w:rPr>
        <w:t>Given the complexities of AD and the moderate Phase II failure of Simufilam, our model estimates a 5.19% probability of success in Phase III. This calculation highlights the substantial challenges in advancing to successful late-stage trials after a Phase II failure in AD.</w:t>
      </w:r>
    </w:p>
    <w:p w14:paraId="2F6411EC" w14:textId="77777777" w:rsidR="00D05B6A" w:rsidRPr="00D03DE5" w:rsidRDefault="00D05B6A" w:rsidP="00D05B6A">
      <w:pPr>
        <w:spacing w:line="360" w:lineRule="auto"/>
        <w:rPr>
          <w:color w:val="000000" w:themeColor="text1"/>
        </w:rPr>
      </w:pPr>
    </w:p>
    <w:p w14:paraId="2D10622D" w14:textId="77777777" w:rsidR="00D05B6A" w:rsidRPr="00D03DE5" w:rsidRDefault="00D05B6A" w:rsidP="00D05B6A">
      <w:pPr>
        <w:spacing w:line="360" w:lineRule="auto"/>
        <w:rPr>
          <w:color w:val="000000" w:themeColor="text1"/>
        </w:rPr>
      </w:pPr>
    </w:p>
    <w:p w14:paraId="68933136" w14:textId="77777777" w:rsidR="00D05B6A" w:rsidRPr="00D03DE5" w:rsidRDefault="5183A6D9" w:rsidP="00D05B6A">
      <w:pPr>
        <w:pStyle w:val="Heading2"/>
        <w:spacing w:line="360" w:lineRule="auto"/>
        <w:rPr>
          <w:rFonts w:ascii="Times New Roman" w:hAnsi="Times New Roman" w:cs="Times New Roman"/>
          <w:color w:val="000000" w:themeColor="text1"/>
        </w:rPr>
      </w:pPr>
      <w:bookmarkStart w:id="53" w:name="_Toc1417640603"/>
      <w:r w:rsidRPr="5183A6D9">
        <w:rPr>
          <w:rFonts w:ascii="Times New Roman" w:eastAsia="Times New Roman" w:hAnsi="Times New Roman" w:cs="Times New Roman"/>
          <w:color w:val="000000" w:themeColor="text1"/>
        </w:rPr>
        <w:t>4. Probability that Simufilam’s Phase III Trial is Suitably Designed for Demonstrating Efficacy P(</w:t>
      </w:r>
      <w:r w:rsidRPr="5183A6D9">
        <w:rPr>
          <w:rFonts w:ascii="Times New Roman" w:hAnsi="Times New Roman" w:cs="Times New Roman"/>
          <w:color w:val="000000" w:themeColor="text1"/>
        </w:rPr>
        <w:t>P3D)</w:t>
      </w:r>
      <w:bookmarkEnd w:id="53"/>
    </w:p>
    <w:p w14:paraId="71D3CECA" w14:textId="77777777" w:rsidR="00D05B6A" w:rsidRPr="00D03DE5" w:rsidRDefault="00D05B6A" w:rsidP="00D05B6A">
      <w:pPr>
        <w:spacing w:line="360" w:lineRule="auto"/>
        <w:rPr>
          <w:color w:val="000000" w:themeColor="text1"/>
        </w:rPr>
      </w:pPr>
      <w:r w:rsidRPr="009418CF">
        <w:rPr>
          <w:color w:val="000000" w:themeColor="text1"/>
        </w:rPr>
        <w:t>To assess the probability that Simufilam’s Phase III trial is designed effectively to showcase therapeutic efficacy, a factor-based probability model is appropriate. Unlike conditional probability models, which are more applicable to systems with interdependent outcomes, each trial design factor here contributes independently to the overall likelihood of demonstrating efficacy without directly influencing other factors. This approach considers the individual impact of each factor on the trial's success potential, providing a straightforward and non-conditional probability calculation.</w:t>
      </w:r>
    </w:p>
    <w:p w14:paraId="65B103FB" w14:textId="77777777" w:rsidR="00D05B6A" w:rsidRPr="009418CF" w:rsidRDefault="00D05B6A" w:rsidP="00D05B6A">
      <w:pPr>
        <w:spacing w:line="360" w:lineRule="auto"/>
        <w:rPr>
          <w:color w:val="000000" w:themeColor="text1"/>
        </w:rPr>
      </w:pPr>
    </w:p>
    <w:p w14:paraId="52F2A3E7" w14:textId="77777777" w:rsidR="00D05B6A" w:rsidRPr="00D03DE5" w:rsidRDefault="00D05B6A" w:rsidP="00D05B6A">
      <w:pPr>
        <w:spacing w:line="360" w:lineRule="auto"/>
        <w:rPr>
          <w:color w:val="000000" w:themeColor="text1"/>
        </w:rPr>
      </w:pPr>
      <w:r w:rsidRPr="009418CF">
        <w:rPr>
          <w:color w:val="000000" w:themeColor="text1"/>
        </w:rPr>
        <w:t>Each key factor of the trial design—such as endpoint relevance, sample size adequacy, and patient population—has been scored independently on a scale from 0 (poor) to 1 (excellent). These scores are averaged to determine the probability P(</w:t>
      </w:r>
      <w:r w:rsidRPr="00D03DE5">
        <w:rPr>
          <w:color w:val="000000" w:themeColor="text1"/>
        </w:rPr>
        <w:t>P3D)</w:t>
      </w:r>
      <w:r w:rsidRPr="009418CF">
        <w:rPr>
          <w:color w:val="000000" w:themeColor="text1"/>
        </w:rPr>
        <w:t>, representing the likelihood that the design supports achieving the desired clinical outcomes.</w:t>
      </w:r>
    </w:p>
    <w:p w14:paraId="4186A817" w14:textId="77777777" w:rsidR="00D05B6A" w:rsidRPr="009418CF" w:rsidRDefault="00D05B6A" w:rsidP="00D05B6A">
      <w:pPr>
        <w:spacing w:line="360" w:lineRule="auto"/>
        <w:rPr>
          <w:color w:val="000000" w:themeColor="text1"/>
        </w:rPr>
      </w:pPr>
    </w:p>
    <w:p w14:paraId="65EB45A8" w14:textId="77777777" w:rsidR="00D05B6A" w:rsidRPr="009418CF" w:rsidRDefault="00D05B6A" w:rsidP="00D05B6A">
      <w:pPr>
        <w:spacing w:line="360" w:lineRule="auto"/>
        <w:rPr>
          <w:color w:val="000000" w:themeColor="text1"/>
        </w:rPr>
      </w:pPr>
      <w:r w:rsidRPr="009418CF">
        <w:rPr>
          <w:color w:val="000000" w:themeColor="text1"/>
        </w:rPr>
        <w:t>Key Design Factors and Scores</w:t>
      </w:r>
    </w:p>
    <w:p w14:paraId="0DDC2CEE" w14:textId="77777777" w:rsidR="00D05B6A" w:rsidRPr="009418CF" w:rsidRDefault="00D05B6A" w:rsidP="00D05B6A">
      <w:pPr>
        <w:numPr>
          <w:ilvl w:val="0"/>
          <w:numId w:val="52"/>
        </w:numPr>
        <w:spacing w:line="360" w:lineRule="auto"/>
        <w:rPr>
          <w:color w:val="000000" w:themeColor="text1"/>
        </w:rPr>
      </w:pPr>
      <w:r w:rsidRPr="009418CF">
        <w:rPr>
          <w:color w:val="000000" w:themeColor="text1"/>
          <w:u w:val="single"/>
        </w:rPr>
        <w:t>Primary Endpoint Relevance (PER):</w:t>
      </w:r>
      <w:r w:rsidRPr="009418CF">
        <w:rPr>
          <w:color w:val="000000" w:themeColor="text1"/>
        </w:rPr>
        <w:t xml:space="preserve"> The trial uses ADAS-Cog12, a cognitive assessment tailored to Alzheimer’s disease, to measure cognitive and functional decline over 52 weeks.</w:t>
      </w:r>
    </w:p>
    <w:p w14:paraId="52B45358" w14:textId="77777777" w:rsidR="00D05B6A" w:rsidRPr="002B1A75" w:rsidRDefault="00D05B6A" w:rsidP="00D05B6A">
      <w:pPr>
        <w:spacing w:line="360" w:lineRule="auto"/>
        <w:rPr>
          <w:color w:val="000000" w:themeColor="text1"/>
        </w:rPr>
      </w:pPr>
      <m:oMathPara>
        <m:oMath>
          <m:r>
            <w:rPr>
              <w:rFonts w:ascii="Cambria Math" w:hAnsi="Cambria Math"/>
              <w:color w:val="000000" w:themeColor="text1"/>
            </w:rPr>
            <m:t>PER=0.9</m:t>
          </m:r>
        </m:oMath>
      </m:oMathPara>
    </w:p>
    <w:p w14:paraId="6AEE293D" w14:textId="77777777" w:rsidR="00D05B6A" w:rsidRPr="009418CF" w:rsidRDefault="00D05B6A" w:rsidP="00D05B6A">
      <w:pPr>
        <w:spacing w:line="360" w:lineRule="auto"/>
        <w:rPr>
          <w:color w:val="000000" w:themeColor="text1"/>
        </w:rPr>
      </w:pPr>
    </w:p>
    <w:p w14:paraId="4DB0F3EF" w14:textId="77777777" w:rsidR="00D05B6A" w:rsidRPr="00D03DE5" w:rsidRDefault="00D05B6A" w:rsidP="00D05B6A">
      <w:pPr>
        <w:numPr>
          <w:ilvl w:val="0"/>
          <w:numId w:val="52"/>
        </w:numPr>
        <w:spacing w:line="360" w:lineRule="auto"/>
        <w:rPr>
          <w:color w:val="000000" w:themeColor="text1"/>
        </w:rPr>
      </w:pPr>
      <w:r w:rsidRPr="009418CF">
        <w:rPr>
          <w:color w:val="000000" w:themeColor="text1"/>
          <w:u w:val="single"/>
        </w:rPr>
        <w:t>Statistical Power and Sample Size (SPS):</w:t>
      </w:r>
      <w:r w:rsidRPr="009418CF">
        <w:rPr>
          <w:color w:val="000000" w:themeColor="text1"/>
        </w:rPr>
        <w:t xml:space="preserve"> With 750 randomized participants (1:1 allocation), the trial’s design maximizes statistical power.</w:t>
      </w:r>
    </w:p>
    <w:p w14:paraId="188AEB86" w14:textId="77777777" w:rsidR="00D05B6A" w:rsidRPr="009418CF" w:rsidRDefault="00D05B6A" w:rsidP="00D05B6A">
      <w:pPr>
        <w:spacing w:line="360" w:lineRule="auto"/>
        <w:ind w:left="720"/>
        <w:rPr>
          <w:color w:val="000000" w:themeColor="text1"/>
        </w:rPr>
      </w:pPr>
    </w:p>
    <w:p w14:paraId="247A2309" w14:textId="77777777" w:rsidR="00D05B6A" w:rsidRPr="00D03DE5" w:rsidRDefault="00D05B6A" w:rsidP="00D05B6A">
      <w:pPr>
        <w:spacing w:line="360" w:lineRule="auto"/>
        <w:rPr>
          <w:color w:val="000000" w:themeColor="text1"/>
        </w:rPr>
      </w:pPr>
      <m:oMathPara>
        <m:oMath>
          <m:r>
            <w:rPr>
              <w:rFonts w:ascii="Cambria Math" w:hAnsi="Cambria Math"/>
              <w:color w:val="000000" w:themeColor="text1"/>
            </w:rPr>
            <m:t>SPS=0.85</m:t>
          </m:r>
        </m:oMath>
      </m:oMathPara>
    </w:p>
    <w:p w14:paraId="7C9EE250" w14:textId="77777777" w:rsidR="00D05B6A" w:rsidRPr="009418CF" w:rsidRDefault="00D05B6A" w:rsidP="00D05B6A">
      <w:pPr>
        <w:spacing w:line="360" w:lineRule="auto"/>
        <w:ind w:left="1080"/>
        <w:rPr>
          <w:color w:val="000000" w:themeColor="text1"/>
        </w:rPr>
      </w:pPr>
    </w:p>
    <w:p w14:paraId="765D134A" w14:textId="77777777" w:rsidR="00D05B6A" w:rsidRPr="00D03DE5" w:rsidRDefault="00D05B6A" w:rsidP="00D05B6A">
      <w:pPr>
        <w:numPr>
          <w:ilvl w:val="0"/>
          <w:numId w:val="52"/>
        </w:numPr>
        <w:spacing w:line="360" w:lineRule="auto"/>
        <w:rPr>
          <w:color w:val="000000" w:themeColor="text1"/>
        </w:rPr>
      </w:pPr>
      <w:r w:rsidRPr="009418CF">
        <w:rPr>
          <w:color w:val="000000" w:themeColor="text1"/>
          <w:u w:val="single"/>
        </w:rPr>
        <w:t>Randomization and Blinding (RB):</w:t>
      </w:r>
      <w:r w:rsidRPr="009418CF">
        <w:rPr>
          <w:color w:val="000000" w:themeColor="text1"/>
        </w:rPr>
        <w:t xml:space="preserve"> Double-blind and quadruple-masked, this approach minimizes biases effectively.</w:t>
      </w:r>
    </w:p>
    <w:p w14:paraId="6BBA0460" w14:textId="77777777" w:rsidR="00D05B6A" w:rsidRPr="009418CF" w:rsidRDefault="00D05B6A" w:rsidP="00D05B6A">
      <w:pPr>
        <w:spacing w:line="360" w:lineRule="auto"/>
        <w:ind w:left="720"/>
        <w:rPr>
          <w:color w:val="000000" w:themeColor="text1"/>
        </w:rPr>
      </w:pPr>
    </w:p>
    <w:p w14:paraId="5A46D8E0" w14:textId="77777777" w:rsidR="00D05B6A" w:rsidRPr="00D03DE5" w:rsidRDefault="00D05B6A" w:rsidP="00D05B6A">
      <w:pPr>
        <w:pStyle w:val="ListParagraph"/>
        <w:spacing w:line="360" w:lineRule="auto"/>
        <w:rPr>
          <w:color w:val="000000" w:themeColor="text1"/>
        </w:rPr>
      </w:pPr>
      <m:oMathPara>
        <m:oMath>
          <m:r>
            <w:rPr>
              <w:rFonts w:ascii="Cambria Math" w:hAnsi="Cambria Math"/>
              <w:color w:val="000000" w:themeColor="text1"/>
            </w:rPr>
            <m:t>RB=0.9</m:t>
          </m:r>
        </m:oMath>
      </m:oMathPara>
    </w:p>
    <w:p w14:paraId="6AFAE8E8" w14:textId="77777777" w:rsidR="00D05B6A" w:rsidRPr="009418CF" w:rsidRDefault="00D05B6A" w:rsidP="00D05B6A">
      <w:pPr>
        <w:spacing w:line="360" w:lineRule="auto"/>
        <w:rPr>
          <w:color w:val="000000" w:themeColor="text1"/>
        </w:rPr>
      </w:pPr>
    </w:p>
    <w:p w14:paraId="36C5FCD3" w14:textId="77777777" w:rsidR="00D05B6A" w:rsidRPr="00D03DE5" w:rsidRDefault="00D05B6A" w:rsidP="00D05B6A">
      <w:pPr>
        <w:numPr>
          <w:ilvl w:val="0"/>
          <w:numId w:val="52"/>
        </w:numPr>
        <w:spacing w:line="360" w:lineRule="auto"/>
        <w:rPr>
          <w:color w:val="000000" w:themeColor="text1"/>
        </w:rPr>
      </w:pPr>
      <w:r w:rsidRPr="009418CF">
        <w:rPr>
          <w:color w:val="000000" w:themeColor="text1"/>
          <w:u w:val="single"/>
        </w:rPr>
        <w:t>Control Group Appropriateness (CGA):</w:t>
      </w:r>
      <w:r w:rsidRPr="009418CF">
        <w:rPr>
          <w:color w:val="000000" w:themeColor="text1"/>
        </w:rPr>
        <w:t xml:space="preserve"> A well-matched placebo control group ensures unbiased comparison, increasing trial validity.</w:t>
      </w:r>
    </w:p>
    <w:p w14:paraId="6480FDE5" w14:textId="77777777" w:rsidR="00D05B6A" w:rsidRPr="009418CF" w:rsidRDefault="00D05B6A" w:rsidP="00D05B6A">
      <w:pPr>
        <w:spacing w:line="360" w:lineRule="auto"/>
        <w:ind w:left="720"/>
        <w:rPr>
          <w:color w:val="000000" w:themeColor="text1"/>
        </w:rPr>
      </w:pPr>
    </w:p>
    <w:p w14:paraId="439932D3" w14:textId="77777777" w:rsidR="00D05B6A" w:rsidRPr="00D03DE5" w:rsidRDefault="00D05B6A" w:rsidP="00D05B6A">
      <w:pPr>
        <w:pStyle w:val="ListParagraph"/>
        <w:spacing w:line="360" w:lineRule="auto"/>
        <w:rPr>
          <w:color w:val="000000" w:themeColor="text1"/>
        </w:rPr>
      </w:pPr>
      <m:oMathPara>
        <m:oMath>
          <m:r>
            <w:rPr>
              <w:rFonts w:ascii="Cambria Math" w:hAnsi="Cambria Math"/>
              <w:color w:val="000000" w:themeColor="text1"/>
            </w:rPr>
            <m:t>CGA=0.8</m:t>
          </m:r>
        </m:oMath>
      </m:oMathPara>
    </w:p>
    <w:p w14:paraId="673FB36C" w14:textId="77777777" w:rsidR="00D05B6A" w:rsidRPr="009418CF" w:rsidRDefault="00D05B6A" w:rsidP="00D05B6A">
      <w:pPr>
        <w:spacing w:line="360" w:lineRule="auto"/>
        <w:rPr>
          <w:color w:val="000000" w:themeColor="text1"/>
        </w:rPr>
      </w:pPr>
    </w:p>
    <w:p w14:paraId="11D33039" w14:textId="77777777" w:rsidR="00D05B6A" w:rsidRPr="00D03DE5" w:rsidRDefault="00D05B6A" w:rsidP="00D05B6A">
      <w:pPr>
        <w:numPr>
          <w:ilvl w:val="0"/>
          <w:numId w:val="52"/>
        </w:numPr>
        <w:spacing w:line="360" w:lineRule="auto"/>
        <w:rPr>
          <w:color w:val="000000" w:themeColor="text1"/>
        </w:rPr>
      </w:pPr>
      <w:r w:rsidRPr="009418CF">
        <w:rPr>
          <w:color w:val="000000" w:themeColor="text1"/>
          <w:u w:val="single"/>
        </w:rPr>
        <w:t>Patient Population Relevance (PPR):</w:t>
      </w:r>
      <w:r w:rsidRPr="009418CF">
        <w:rPr>
          <w:color w:val="000000" w:themeColor="text1"/>
        </w:rPr>
        <w:t xml:space="preserve"> Involving mild-to-moderate Alzheimer’s cases aged 50–87 with stable background medication ensures applicability to real-world cases.</w:t>
      </w:r>
    </w:p>
    <w:p w14:paraId="6DEDA317" w14:textId="77777777" w:rsidR="00D05B6A" w:rsidRPr="009418CF" w:rsidRDefault="00D05B6A" w:rsidP="00D05B6A">
      <w:pPr>
        <w:spacing w:line="360" w:lineRule="auto"/>
        <w:ind w:left="720"/>
        <w:rPr>
          <w:color w:val="000000" w:themeColor="text1"/>
        </w:rPr>
      </w:pPr>
    </w:p>
    <w:p w14:paraId="5096A5E3" w14:textId="77777777" w:rsidR="00D05B6A" w:rsidRPr="00D03DE5" w:rsidRDefault="00D05B6A" w:rsidP="00D05B6A">
      <w:pPr>
        <w:pStyle w:val="ListParagraph"/>
        <w:spacing w:line="360" w:lineRule="auto"/>
        <w:rPr>
          <w:color w:val="000000" w:themeColor="text1"/>
        </w:rPr>
      </w:pPr>
      <m:oMathPara>
        <m:oMath>
          <m:r>
            <w:rPr>
              <w:rFonts w:ascii="Cambria Math" w:hAnsi="Cambria Math"/>
              <w:color w:val="000000" w:themeColor="text1"/>
            </w:rPr>
            <m:t>PPR=0.85</m:t>
          </m:r>
        </m:oMath>
      </m:oMathPara>
    </w:p>
    <w:p w14:paraId="3E66CB1C" w14:textId="77777777" w:rsidR="00D05B6A" w:rsidRPr="009418CF" w:rsidRDefault="00D05B6A" w:rsidP="00D05B6A">
      <w:pPr>
        <w:spacing w:line="360" w:lineRule="auto"/>
        <w:rPr>
          <w:color w:val="000000" w:themeColor="text1"/>
        </w:rPr>
      </w:pPr>
    </w:p>
    <w:p w14:paraId="088ABC41" w14:textId="77777777" w:rsidR="00D05B6A" w:rsidRPr="00D03DE5" w:rsidRDefault="00D05B6A" w:rsidP="00D05B6A">
      <w:pPr>
        <w:numPr>
          <w:ilvl w:val="0"/>
          <w:numId w:val="52"/>
        </w:numPr>
        <w:spacing w:line="360" w:lineRule="auto"/>
        <w:rPr>
          <w:color w:val="000000" w:themeColor="text1"/>
        </w:rPr>
      </w:pPr>
      <w:r w:rsidRPr="009418CF">
        <w:rPr>
          <w:color w:val="000000" w:themeColor="text1"/>
          <w:u w:val="single"/>
        </w:rPr>
        <w:t>Compliance and Dropout Management (CDM):</w:t>
      </w:r>
      <w:r w:rsidRPr="009418CF">
        <w:rPr>
          <w:color w:val="000000" w:themeColor="text1"/>
        </w:rPr>
        <w:t xml:space="preserve"> Monthly assessments and safety monitoring protocols help retain participants and track adherence.</w:t>
      </w:r>
    </w:p>
    <w:p w14:paraId="4D64BD3D" w14:textId="77777777" w:rsidR="00D05B6A" w:rsidRPr="009418CF" w:rsidRDefault="00D05B6A" w:rsidP="00D05B6A">
      <w:pPr>
        <w:spacing w:line="360" w:lineRule="auto"/>
        <w:ind w:left="720"/>
        <w:rPr>
          <w:color w:val="000000" w:themeColor="text1"/>
        </w:rPr>
      </w:pPr>
    </w:p>
    <w:p w14:paraId="2CBCACC5" w14:textId="77777777" w:rsidR="00D05B6A" w:rsidRPr="00D03DE5" w:rsidRDefault="00D05B6A" w:rsidP="00D05B6A">
      <w:pPr>
        <w:pStyle w:val="ListParagraph"/>
        <w:spacing w:line="360" w:lineRule="auto"/>
        <w:rPr>
          <w:color w:val="000000" w:themeColor="text1"/>
        </w:rPr>
      </w:pPr>
      <m:oMathPara>
        <m:oMath>
          <m:r>
            <w:rPr>
              <w:rFonts w:ascii="Cambria Math" w:hAnsi="Cambria Math"/>
              <w:color w:val="000000" w:themeColor="text1"/>
            </w:rPr>
            <m:t>CDM=0.8</m:t>
          </m:r>
        </m:oMath>
      </m:oMathPara>
    </w:p>
    <w:p w14:paraId="5D3CD2B6" w14:textId="77777777" w:rsidR="00D05B6A" w:rsidRPr="009418CF" w:rsidRDefault="00D05B6A" w:rsidP="00D05B6A">
      <w:pPr>
        <w:spacing w:line="360" w:lineRule="auto"/>
        <w:rPr>
          <w:color w:val="000000" w:themeColor="text1"/>
        </w:rPr>
      </w:pPr>
    </w:p>
    <w:p w14:paraId="016C8576" w14:textId="77777777" w:rsidR="00D05B6A" w:rsidRPr="00D03DE5" w:rsidRDefault="00D05B6A" w:rsidP="00D05B6A">
      <w:pPr>
        <w:numPr>
          <w:ilvl w:val="0"/>
          <w:numId w:val="52"/>
        </w:numPr>
        <w:spacing w:line="360" w:lineRule="auto"/>
        <w:rPr>
          <w:color w:val="000000" w:themeColor="text1"/>
        </w:rPr>
      </w:pPr>
      <w:r w:rsidRPr="009418CF">
        <w:rPr>
          <w:color w:val="000000" w:themeColor="text1"/>
          <w:u w:val="single"/>
        </w:rPr>
        <w:t>Regulatory Compliance (RC):</w:t>
      </w:r>
      <w:r w:rsidRPr="009418CF">
        <w:rPr>
          <w:color w:val="000000" w:themeColor="text1"/>
        </w:rPr>
        <w:t xml:space="preserve"> The study adheres to FDA guidelines and has a Data Safety Monitoring Board (DSMB) overseeing safety.</w:t>
      </w:r>
    </w:p>
    <w:p w14:paraId="3B489E37" w14:textId="77777777" w:rsidR="00D05B6A" w:rsidRPr="009418CF" w:rsidRDefault="00D05B6A" w:rsidP="00D05B6A">
      <w:pPr>
        <w:spacing w:line="360" w:lineRule="auto"/>
        <w:ind w:left="720"/>
        <w:rPr>
          <w:color w:val="000000" w:themeColor="text1"/>
        </w:rPr>
      </w:pPr>
    </w:p>
    <w:p w14:paraId="6BEA6D1C" w14:textId="77777777" w:rsidR="00D05B6A" w:rsidRPr="00D03DE5" w:rsidRDefault="00D05B6A" w:rsidP="00D05B6A">
      <w:pPr>
        <w:pStyle w:val="ListParagraph"/>
        <w:spacing w:line="360" w:lineRule="auto"/>
        <w:rPr>
          <w:color w:val="000000" w:themeColor="text1"/>
        </w:rPr>
      </w:pPr>
      <m:oMathPara>
        <m:oMath>
          <m:r>
            <w:rPr>
              <w:rFonts w:ascii="Cambria Math" w:hAnsi="Cambria Math"/>
              <w:color w:val="000000" w:themeColor="text1"/>
            </w:rPr>
            <m:t>RC=0.95</m:t>
          </m:r>
        </m:oMath>
      </m:oMathPara>
    </w:p>
    <w:p w14:paraId="1B68BB44" w14:textId="77777777" w:rsidR="00D05B6A" w:rsidRPr="009418CF" w:rsidRDefault="00D05B6A" w:rsidP="00D05B6A">
      <w:pPr>
        <w:spacing w:line="360" w:lineRule="auto"/>
        <w:rPr>
          <w:color w:val="000000" w:themeColor="text1"/>
        </w:rPr>
      </w:pPr>
    </w:p>
    <w:p w14:paraId="1BE4EF5B" w14:textId="77777777" w:rsidR="00D05B6A" w:rsidRPr="00D03DE5" w:rsidRDefault="00D05B6A" w:rsidP="00D05B6A">
      <w:pPr>
        <w:numPr>
          <w:ilvl w:val="0"/>
          <w:numId w:val="52"/>
        </w:numPr>
        <w:spacing w:line="360" w:lineRule="auto"/>
        <w:rPr>
          <w:color w:val="000000" w:themeColor="text1"/>
        </w:rPr>
      </w:pPr>
      <w:r w:rsidRPr="009418CF">
        <w:rPr>
          <w:color w:val="000000" w:themeColor="text1"/>
          <w:u w:val="single"/>
        </w:rPr>
        <w:t>Safety Monitoring (SM):</w:t>
      </w:r>
      <w:r w:rsidRPr="009418CF">
        <w:rPr>
          <w:color w:val="000000" w:themeColor="text1"/>
        </w:rPr>
        <w:t xml:space="preserve"> Comprehensive monitoring of vital signs and adverse events maintains high safety standards.</w:t>
      </w:r>
    </w:p>
    <w:p w14:paraId="38BF2CC2" w14:textId="77777777" w:rsidR="00D05B6A" w:rsidRPr="009418CF" w:rsidRDefault="00D05B6A" w:rsidP="00D05B6A">
      <w:pPr>
        <w:spacing w:line="360" w:lineRule="auto"/>
        <w:ind w:left="720"/>
        <w:rPr>
          <w:color w:val="000000" w:themeColor="text1"/>
        </w:rPr>
      </w:pPr>
    </w:p>
    <w:p w14:paraId="1924D8E2" w14:textId="77777777" w:rsidR="00D05B6A" w:rsidRPr="00D03DE5" w:rsidRDefault="00D05B6A" w:rsidP="00D05B6A">
      <w:pPr>
        <w:pStyle w:val="ListParagraph"/>
        <w:spacing w:line="360" w:lineRule="auto"/>
        <w:rPr>
          <w:color w:val="000000" w:themeColor="text1"/>
        </w:rPr>
      </w:pPr>
      <m:oMathPara>
        <m:oMath>
          <m:r>
            <w:rPr>
              <w:rFonts w:ascii="Cambria Math" w:hAnsi="Cambria Math"/>
              <w:color w:val="000000" w:themeColor="text1"/>
            </w:rPr>
            <m:t>SM=0.9</m:t>
          </m:r>
        </m:oMath>
      </m:oMathPara>
    </w:p>
    <w:p w14:paraId="35A117BD" w14:textId="77777777" w:rsidR="00D05B6A" w:rsidRPr="009418CF" w:rsidRDefault="00D05B6A" w:rsidP="00D05B6A">
      <w:pPr>
        <w:spacing w:line="360" w:lineRule="auto"/>
        <w:rPr>
          <w:color w:val="000000" w:themeColor="text1"/>
        </w:rPr>
      </w:pPr>
    </w:p>
    <w:p w14:paraId="00188C00" w14:textId="77777777" w:rsidR="00D05B6A" w:rsidRPr="00D03DE5" w:rsidRDefault="00D05B6A" w:rsidP="00D05B6A">
      <w:pPr>
        <w:numPr>
          <w:ilvl w:val="0"/>
          <w:numId w:val="52"/>
        </w:numPr>
        <w:spacing w:line="360" w:lineRule="auto"/>
        <w:rPr>
          <w:color w:val="000000" w:themeColor="text1"/>
        </w:rPr>
      </w:pPr>
      <w:r w:rsidRPr="009418CF">
        <w:rPr>
          <w:color w:val="000000" w:themeColor="text1"/>
          <w:u w:val="single"/>
        </w:rPr>
        <w:t>Follow-Up Duration (FD):</w:t>
      </w:r>
      <w:r w:rsidRPr="009418CF">
        <w:rPr>
          <w:color w:val="000000" w:themeColor="text1"/>
        </w:rPr>
        <w:t xml:space="preserve"> A 52-week period allows sufficient observation of drug effects on Alzheimer’s progression.</w:t>
      </w:r>
    </w:p>
    <w:p w14:paraId="48BF8369" w14:textId="77777777" w:rsidR="00D05B6A" w:rsidRPr="009418CF" w:rsidRDefault="00D05B6A" w:rsidP="00D05B6A">
      <w:pPr>
        <w:spacing w:line="360" w:lineRule="auto"/>
        <w:ind w:left="720"/>
        <w:rPr>
          <w:color w:val="000000" w:themeColor="text1"/>
        </w:rPr>
      </w:pPr>
    </w:p>
    <w:p w14:paraId="762141D0" w14:textId="77777777" w:rsidR="00D05B6A" w:rsidRPr="00D03DE5" w:rsidRDefault="00D05B6A" w:rsidP="00D05B6A">
      <w:pPr>
        <w:pStyle w:val="ListParagraph"/>
        <w:spacing w:line="360" w:lineRule="auto"/>
        <w:rPr>
          <w:color w:val="000000" w:themeColor="text1"/>
        </w:rPr>
      </w:pPr>
      <m:oMathPara>
        <m:oMath>
          <m:r>
            <w:rPr>
              <w:rFonts w:ascii="Cambria Math" w:hAnsi="Cambria Math"/>
              <w:color w:val="000000" w:themeColor="text1"/>
            </w:rPr>
            <m:t>FD=0.9</m:t>
          </m:r>
        </m:oMath>
      </m:oMathPara>
    </w:p>
    <w:p w14:paraId="74E6BAE6" w14:textId="77777777" w:rsidR="00D05B6A" w:rsidRPr="009418CF" w:rsidRDefault="00D05B6A" w:rsidP="00D05B6A">
      <w:pPr>
        <w:spacing w:line="360" w:lineRule="auto"/>
        <w:rPr>
          <w:color w:val="000000" w:themeColor="text1"/>
        </w:rPr>
      </w:pPr>
    </w:p>
    <w:p w14:paraId="529D10F3" w14:textId="77777777" w:rsidR="00D05B6A" w:rsidRPr="009418CF" w:rsidRDefault="00D05B6A" w:rsidP="00D05B6A">
      <w:pPr>
        <w:spacing w:line="360" w:lineRule="auto"/>
        <w:rPr>
          <w:color w:val="000000" w:themeColor="text1"/>
        </w:rPr>
      </w:pPr>
      <w:r w:rsidRPr="009418CF">
        <w:rPr>
          <w:color w:val="000000" w:themeColor="text1"/>
        </w:rPr>
        <w:t>Calculation of P(</w:t>
      </w:r>
      <w:r w:rsidRPr="00D03DE5">
        <w:rPr>
          <w:color w:val="000000" w:themeColor="text1"/>
        </w:rPr>
        <w:t>P3</w:t>
      </w:r>
      <w:r w:rsidRPr="009418CF">
        <w:rPr>
          <w:color w:val="000000" w:themeColor="text1"/>
        </w:rPr>
        <w:t>D)</w:t>
      </w:r>
    </w:p>
    <w:p w14:paraId="6EA01CCE" w14:textId="77777777" w:rsidR="00D05B6A" w:rsidRPr="00D03DE5" w:rsidRDefault="00D05B6A" w:rsidP="00D05B6A">
      <w:pPr>
        <w:spacing w:line="360" w:lineRule="auto"/>
        <w:rPr>
          <w:color w:val="000000" w:themeColor="text1"/>
        </w:rPr>
      </w:pPr>
      <w:r w:rsidRPr="009418CF">
        <w:rPr>
          <w:color w:val="000000" w:themeColor="text1"/>
        </w:rPr>
        <w:t>The probability P(</w:t>
      </w:r>
      <w:r w:rsidRPr="00D03DE5">
        <w:rPr>
          <w:color w:val="000000" w:themeColor="text1"/>
        </w:rPr>
        <w:t>P3</w:t>
      </w:r>
      <w:r w:rsidRPr="009418CF">
        <w:rPr>
          <w:color w:val="000000" w:themeColor="text1"/>
        </w:rPr>
        <w:t>D) is calculated by averaging these factor scores:</w:t>
      </w:r>
    </w:p>
    <w:p w14:paraId="0F7E0592" w14:textId="77777777" w:rsidR="00D05B6A" w:rsidRPr="00D03DE5" w:rsidRDefault="00D05B6A" w:rsidP="00D05B6A">
      <w:pPr>
        <w:spacing w:line="360" w:lineRule="auto"/>
        <w:rPr>
          <w:color w:val="000000" w:themeColor="text1"/>
        </w:rPr>
      </w:pPr>
    </w:p>
    <w:p w14:paraId="70A879E5" w14:textId="77777777" w:rsidR="00D05B6A" w:rsidRPr="00D03DE5" w:rsidRDefault="00D05B6A" w:rsidP="00D05B6A">
      <w:pPr>
        <w:spacing w:line="360" w:lineRule="auto"/>
        <w:rPr>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P3D</m:t>
              </m:r>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PER+SPS+RB+CGA+PPR+CDM+RC+SM+FD</m:t>
              </m:r>
            </m:num>
            <m:den>
              <m:r>
                <w:rPr>
                  <w:rFonts w:ascii="Cambria Math" w:hAnsi="Cambria Math"/>
                  <w:color w:val="000000" w:themeColor="text1"/>
                </w:rPr>
                <m:t>9</m:t>
              </m:r>
            </m:den>
          </m:f>
        </m:oMath>
      </m:oMathPara>
    </w:p>
    <w:p w14:paraId="0A592774" w14:textId="77777777" w:rsidR="00D05B6A" w:rsidRPr="009418CF" w:rsidRDefault="00D05B6A" w:rsidP="00D05B6A">
      <w:pPr>
        <w:spacing w:line="360" w:lineRule="auto"/>
        <w:rPr>
          <w:color w:val="000000" w:themeColor="text1"/>
        </w:rPr>
      </w:pPr>
    </w:p>
    <w:p w14:paraId="194B37ED" w14:textId="77777777" w:rsidR="00D05B6A" w:rsidRPr="00D03DE5" w:rsidRDefault="00D05B6A" w:rsidP="00D05B6A">
      <w:pPr>
        <w:spacing w:line="360" w:lineRule="auto"/>
        <w:rPr>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P3D</m:t>
              </m:r>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0.9+0.85+0.9+0.8+0.85+0.8+0.95+0.9+0.9</m:t>
              </m:r>
            </m:num>
            <m:den>
              <m:r>
                <w:rPr>
                  <w:rFonts w:ascii="Cambria Math" w:hAnsi="Cambria Math"/>
                  <w:color w:val="000000" w:themeColor="text1"/>
                </w:rPr>
                <m:t>9</m:t>
              </m:r>
            </m:den>
          </m:f>
          <m:r>
            <w:rPr>
              <w:rFonts w:ascii="Cambria Math" w:hAnsi="Cambria Math"/>
              <w:color w:val="000000" w:themeColor="text1"/>
            </w:rPr>
            <m:t>=0.865</m:t>
          </m:r>
        </m:oMath>
      </m:oMathPara>
    </w:p>
    <w:p w14:paraId="75AD4E12" w14:textId="77777777" w:rsidR="00D05B6A" w:rsidRPr="00D03DE5" w:rsidRDefault="00D05B6A" w:rsidP="00D05B6A">
      <w:pPr>
        <w:spacing w:line="360" w:lineRule="auto"/>
        <w:rPr>
          <w:color w:val="000000" w:themeColor="text1"/>
        </w:rPr>
      </w:pPr>
    </w:p>
    <w:p w14:paraId="1498F39D" w14:textId="77777777" w:rsidR="00D05B6A" w:rsidRPr="00D03DE5" w:rsidRDefault="00D05B6A" w:rsidP="00D05B6A">
      <w:pPr>
        <w:pStyle w:val="ListParagraph"/>
        <w:spacing w:line="360" w:lineRule="auto"/>
        <w:rPr>
          <w:color w:val="000000" w:themeColor="text1"/>
        </w:rPr>
      </w:pPr>
      <m:oMathPara>
        <m:oMath>
          <m:r>
            <w:rPr>
              <w:rFonts w:ascii="Cambria Math" w:hAnsi="Cambria Math"/>
              <w:color w:val="000000" w:themeColor="text1"/>
            </w:rPr>
            <m:t>P(P3D)=86.5%</m:t>
          </m:r>
        </m:oMath>
      </m:oMathPara>
    </w:p>
    <w:p w14:paraId="4AC6973D" w14:textId="77777777" w:rsidR="00D05B6A" w:rsidRPr="00D03DE5" w:rsidRDefault="00D05B6A" w:rsidP="00D05B6A">
      <w:pPr>
        <w:spacing w:line="360" w:lineRule="auto"/>
        <w:rPr>
          <w:color w:val="000000" w:themeColor="text1"/>
        </w:rPr>
      </w:pPr>
    </w:p>
    <w:p w14:paraId="3FA4EAC2" w14:textId="77777777" w:rsidR="00D05B6A" w:rsidRPr="009418CF" w:rsidRDefault="00D05B6A" w:rsidP="00D05B6A">
      <w:pPr>
        <w:spacing w:line="360" w:lineRule="auto"/>
        <w:rPr>
          <w:color w:val="000000" w:themeColor="text1"/>
        </w:rPr>
      </w:pPr>
      <w:r w:rsidRPr="009418CF">
        <w:rPr>
          <w:color w:val="000000" w:themeColor="text1"/>
        </w:rPr>
        <w:t>The calculated probability P(</w:t>
      </w:r>
      <w:r w:rsidRPr="00D03DE5">
        <w:rPr>
          <w:color w:val="000000" w:themeColor="text1"/>
        </w:rPr>
        <w:t>P3</w:t>
      </w:r>
      <w:r w:rsidRPr="009418CF">
        <w:rPr>
          <w:color w:val="000000" w:themeColor="text1"/>
        </w:rPr>
        <w:t xml:space="preserve">D) of 0.865, or 86.5%, suggests that the design of Simufilam’s Phase III trial is highly likely to support demonstrating the drug’s efficacy in </w:t>
      </w:r>
      <w:r w:rsidRPr="00D03DE5">
        <w:rPr>
          <w:color w:val="000000" w:themeColor="text1"/>
        </w:rPr>
        <w:t>AD</w:t>
      </w:r>
      <w:r w:rsidRPr="009418CF">
        <w:rPr>
          <w:color w:val="000000" w:themeColor="text1"/>
        </w:rPr>
        <w:t xml:space="preserve"> </w:t>
      </w:r>
      <w:r w:rsidRPr="00D03DE5">
        <w:rPr>
          <w:color w:val="000000" w:themeColor="text1"/>
        </w:rPr>
        <w:t>if there any efficacity</w:t>
      </w:r>
      <w:r w:rsidRPr="009418CF">
        <w:rPr>
          <w:color w:val="000000" w:themeColor="text1"/>
        </w:rPr>
        <w:t xml:space="preserve">. This non-conditional probability assessment clarifies how each design factor </w:t>
      </w:r>
      <w:r w:rsidRPr="009418CF">
        <w:rPr>
          <w:color w:val="000000" w:themeColor="text1"/>
        </w:rPr>
        <w:lastRenderedPageBreak/>
        <w:t>independently contributes to the trial’s overall success potential, providing a realistic evaluation without interdependent assumptions.</w:t>
      </w:r>
    </w:p>
    <w:p w14:paraId="34CEE806" w14:textId="77777777" w:rsidR="00D05B6A" w:rsidRPr="00D03DE5" w:rsidRDefault="00D05B6A" w:rsidP="00D05B6A">
      <w:pPr>
        <w:spacing w:line="360" w:lineRule="auto"/>
        <w:rPr>
          <w:color w:val="000000" w:themeColor="text1"/>
        </w:rPr>
      </w:pPr>
    </w:p>
    <w:p w14:paraId="00A7F5F7" w14:textId="77777777" w:rsidR="00D05B6A" w:rsidRPr="00D03DE5" w:rsidRDefault="00D05B6A" w:rsidP="00D05B6A">
      <w:pPr>
        <w:spacing w:line="360" w:lineRule="auto"/>
        <w:rPr>
          <w:color w:val="000000" w:themeColor="text1"/>
        </w:rPr>
      </w:pPr>
    </w:p>
    <w:p w14:paraId="4693B8A8" w14:textId="77777777" w:rsidR="00D05B6A" w:rsidRPr="00D03DE5" w:rsidRDefault="5183A6D9" w:rsidP="00D05B6A">
      <w:pPr>
        <w:pStyle w:val="Heading2"/>
        <w:spacing w:line="360" w:lineRule="auto"/>
        <w:rPr>
          <w:rFonts w:ascii="Times New Roman" w:hAnsi="Times New Roman" w:cs="Times New Roman"/>
          <w:color w:val="000000" w:themeColor="text1"/>
        </w:rPr>
      </w:pPr>
      <w:bookmarkStart w:id="54" w:name="_Toc1222511371"/>
      <w:r w:rsidRPr="5183A6D9">
        <w:rPr>
          <w:rFonts w:ascii="Times New Roman" w:hAnsi="Times New Roman" w:cs="Times New Roman"/>
          <w:color w:val="000000" w:themeColor="text1"/>
        </w:rPr>
        <w:t>The Final Probability</w:t>
      </w:r>
      <w:bookmarkEnd w:id="54"/>
    </w:p>
    <w:p w14:paraId="2C1FDA27" w14:textId="77777777" w:rsidR="00D05B6A" w:rsidRPr="00D03DE5" w:rsidRDefault="00D05B6A" w:rsidP="00D05B6A">
      <w:pPr>
        <w:spacing w:line="360" w:lineRule="auto"/>
        <w:rPr>
          <w:color w:val="000000" w:themeColor="text1"/>
        </w:rPr>
      </w:pPr>
      <w:r w:rsidRPr="00D03DE5">
        <w:rPr>
          <w:color w:val="000000" w:themeColor="text1"/>
        </w:rPr>
        <w:t>To complete this probability analysis of Simufilam’s likelihood of success in Phase III trials, we multiply the probabilities calculated for each factor to yield an overall probability of success, denoted as</w:t>
      </w:r>
    </w:p>
    <w:p w14:paraId="5D00D64B" w14:textId="77777777" w:rsidR="00D05B6A" w:rsidRPr="00D03DE5" w:rsidRDefault="00D05B6A" w:rsidP="00D05B6A">
      <w:pPr>
        <w:spacing w:line="360" w:lineRule="auto"/>
        <w:rPr>
          <w:color w:val="000000" w:themeColor="text1"/>
        </w:rPr>
      </w:pPr>
      <m:oMathPara>
        <m:oMath>
          <m:r>
            <w:rPr>
              <w:rFonts w:ascii="Cambria Math" w:hAnsi="Cambria Math"/>
              <w:color w:val="000000" w:themeColor="text1"/>
            </w:rPr>
            <m:t>P(S)=P(T)*P(D)*P(PS3)*P(P3D)</m:t>
          </m:r>
        </m:oMath>
      </m:oMathPara>
    </w:p>
    <w:p w14:paraId="0429EA12" w14:textId="77777777" w:rsidR="00D05B6A" w:rsidRPr="00D03DE5" w:rsidRDefault="00D05B6A" w:rsidP="00D05B6A">
      <w:pPr>
        <w:spacing w:line="360" w:lineRule="auto"/>
        <w:rPr>
          <w:color w:val="000000" w:themeColor="text1"/>
        </w:rPr>
      </w:pPr>
    </w:p>
    <w:p w14:paraId="57055A74" w14:textId="77777777" w:rsidR="00D05B6A" w:rsidRPr="00D03DE5" w:rsidRDefault="00D05B6A" w:rsidP="00D05B6A">
      <w:pPr>
        <w:spacing w:line="360" w:lineRule="auto"/>
        <w:rPr>
          <w:color w:val="000000" w:themeColor="text1"/>
        </w:rPr>
      </w:pPr>
      <w:r w:rsidRPr="00D03DE5">
        <w:rPr>
          <w:color w:val="000000" w:themeColor="text1"/>
        </w:rPr>
        <w:t>Substituting the values from our analysis:</w:t>
      </w:r>
    </w:p>
    <w:p w14:paraId="036BEA89" w14:textId="77777777" w:rsidR="00D05B6A" w:rsidRPr="00D03DE5" w:rsidRDefault="00D05B6A" w:rsidP="00D05B6A">
      <w:pPr>
        <w:spacing w:line="360" w:lineRule="auto"/>
        <w:rPr>
          <w:color w:val="000000" w:themeColor="text1"/>
        </w:rPr>
      </w:pPr>
    </w:p>
    <w:p w14:paraId="5E114DCE" w14:textId="77777777" w:rsidR="00D05B6A" w:rsidRPr="00D03DE5" w:rsidRDefault="00D05B6A" w:rsidP="00D05B6A">
      <w:pPr>
        <w:spacing w:line="360" w:lineRule="auto"/>
        <w:rPr>
          <w:color w:val="000000" w:themeColor="text1"/>
        </w:rPr>
      </w:pPr>
      <m:oMathPara>
        <m:oMath>
          <m:r>
            <w:rPr>
              <w:rFonts w:ascii="Cambria Math" w:hAnsi="Cambria Math"/>
              <w:color w:val="000000" w:themeColor="text1"/>
            </w:rPr>
            <m:t>P(S)=0.000162*0.44*0.0519*0.865</m:t>
          </m:r>
        </m:oMath>
      </m:oMathPara>
    </w:p>
    <w:p w14:paraId="58E2AEFA" w14:textId="77777777" w:rsidR="00D05B6A" w:rsidRPr="00D03DE5" w:rsidRDefault="00D05B6A" w:rsidP="00D05B6A">
      <w:pPr>
        <w:spacing w:line="360" w:lineRule="auto"/>
        <w:rPr>
          <w:color w:val="000000" w:themeColor="text1"/>
        </w:rPr>
      </w:pPr>
    </w:p>
    <w:p w14:paraId="0B5F902E" w14:textId="77777777" w:rsidR="00D05B6A" w:rsidRPr="00D03DE5" w:rsidRDefault="00D05B6A" w:rsidP="00D05B6A">
      <w:pPr>
        <w:spacing w:line="360" w:lineRule="auto"/>
        <w:rPr>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S</m:t>
              </m:r>
            </m:e>
          </m:d>
          <m:r>
            <w:rPr>
              <w:rFonts w:ascii="Cambria Math" w:hAnsi="Cambria Math"/>
              <w:color w:val="000000" w:themeColor="text1"/>
            </w:rPr>
            <m:t>=0.0000032=0.00032%</m:t>
          </m:r>
        </m:oMath>
      </m:oMathPara>
    </w:p>
    <w:p w14:paraId="6C2AE2A4" w14:textId="77777777" w:rsidR="00D05B6A" w:rsidRPr="00D03DE5" w:rsidRDefault="00D05B6A" w:rsidP="00D05B6A">
      <w:pPr>
        <w:spacing w:line="360" w:lineRule="auto"/>
        <w:rPr>
          <w:color w:val="000000" w:themeColor="text1"/>
        </w:rPr>
      </w:pPr>
    </w:p>
    <w:p w14:paraId="444594AE" w14:textId="77777777" w:rsidR="00D05B6A" w:rsidRPr="00735A8A" w:rsidRDefault="00D05B6A" w:rsidP="00D05B6A">
      <w:pPr>
        <w:spacing w:line="360" w:lineRule="auto"/>
        <w:rPr>
          <w:color w:val="000000" w:themeColor="text1"/>
        </w:rPr>
      </w:pPr>
      <w:r w:rsidRPr="00735A8A">
        <w:rPr>
          <w:color w:val="000000" w:themeColor="text1"/>
        </w:rPr>
        <w:t>This final probability of</w:t>
      </w:r>
      <w:r w:rsidRPr="00735A8A">
        <w:rPr>
          <w:i/>
          <w:iCs/>
          <w:color w:val="000000" w:themeColor="text1"/>
        </w:rPr>
        <w:t xml:space="preserve"> 0.00032% </w:t>
      </w:r>
      <w:r w:rsidRPr="00735A8A">
        <w:rPr>
          <w:color w:val="000000" w:themeColor="text1"/>
        </w:rPr>
        <w:t>underscores the extreme unlikelihood of Simufilam achieving success in its Phase III trials, based on the combination of conditional and independent assessments across multiple critical factors. Each factor has a substantial influence on the final outcome, and the cumulative analysis provides a rigorous, transparent, and data-driven projection of Simufilam’s potential, one that aligns with both empirical evidence and statistical rigor.</w:t>
      </w:r>
    </w:p>
    <w:p w14:paraId="3C65AEA7" w14:textId="77777777" w:rsidR="00D05B6A" w:rsidRPr="00735A8A" w:rsidRDefault="00D05B6A" w:rsidP="00D05B6A">
      <w:pPr>
        <w:spacing w:line="360" w:lineRule="auto"/>
        <w:rPr>
          <w:color w:val="000000" w:themeColor="text1"/>
        </w:rPr>
      </w:pPr>
      <w:r w:rsidRPr="00735A8A">
        <w:rPr>
          <w:color w:val="000000" w:themeColor="text1"/>
        </w:rPr>
        <w:t>In conclusion, the probability of Simufilam’s success is extraordinarily low, reinforcing our hypothesis about its efficacy. This probabilistic approach serves as a dependable framework, incorporating scientific rigor and clarity, for evaluating the drug’s potential in Alzheimer's disease treatment.</w:t>
      </w:r>
    </w:p>
    <w:p w14:paraId="23EA1589" w14:textId="77777777" w:rsidR="00D05B6A" w:rsidRPr="00D03DE5" w:rsidRDefault="00D05B6A" w:rsidP="00D05B6A">
      <w:pPr>
        <w:spacing w:line="360" w:lineRule="auto"/>
        <w:rPr>
          <w:color w:val="000000" w:themeColor="text1"/>
        </w:rPr>
      </w:pPr>
    </w:p>
    <w:p w14:paraId="6648EC94" w14:textId="77777777" w:rsidR="00D05B6A" w:rsidRPr="00D03DE5" w:rsidRDefault="00D05B6A" w:rsidP="00D05B6A">
      <w:pPr>
        <w:spacing w:line="360" w:lineRule="auto"/>
        <w:rPr>
          <w:color w:val="000000" w:themeColor="text1"/>
        </w:rPr>
      </w:pPr>
      <w:r w:rsidRPr="00D03DE5">
        <w:rPr>
          <w:color w:val="000000" w:themeColor="text1"/>
        </w:rPr>
        <w:t>We will now develop a verification model to reinforce the accuracy of our findings. By following this process, we will reach a probability estimate of Simufilam’s likely success or failure, framed within a rigorous mathematical structure.</w:t>
      </w:r>
    </w:p>
    <w:p w14:paraId="16A8D25E" w14:textId="77777777" w:rsidR="00D05B6A" w:rsidRPr="00D03DE5" w:rsidRDefault="00D05B6A" w:rsidP="00D05B6A">
      <w:pPr>
        <w:spacing w:line="360" w:lineRule="auto"/>
        <w:rPr>
          <w:rFonts w:eastAsiaTheme="minorEastAsia"/>
          <w:color w:val="000000" w:themeColor="text1"/>
        </w:rPr>
      </w:pPr>
    </w:p>
    <w:p w14:paraId="659B2980" w14:textId="77777777" w:rsidR="00D05B6A" w:rsidRPr="00D03DE5" w:rsidRDefault="5183A6D9" w:rsidP="00D05B6A">
      <w:pPr>
        <w:pStyle w:val="Heading2"/>
        <w:spacing w:line="360" w:lineRule="auto"/>
        <w:rPr>
          <w:rFonts w:ascii="Times New Roman" w:hAnsi="Times New Roman" w:cs="Times New Roman"/>
          <w:color w:val="000000" w:themeColor="text1"/>
        </w:rPr>
      </w:pPr>
      <w:bookmarkStart w:id="55" w:name="_Toc1844118916"/>
      <w:r w:rsidRPr="5183A6D9">
        <w:rPr>
          <w:rFonts w:ascii="Times New Roman" w:hAnsi="Times New Roman" w:cs="Times New Roman"/>
          <w:color w:val="000000" w:themeColor="text1"/>
        </w:rPr>
        <w:lastRenderedPageBreak/>
        <w:t>Probability of Simufilam’s Efficacy in Alzheimer’s Disease:</w:t>
      </w:r>
      <w:bookmarkEnd w:id="55"/>
      <w:r w:rsidRPr="5183A6D9">
        <w:rPr>
          <w:rFonts w:ascii="Times New Roman" w:hAnsi="Times New Roman" w:cs="Times New Roman"/>
          <w:color w:val="000000" w:themeColor="text1"/>
        </w:rPr>
        <w:t xml:space="preserve"> </w:t>
      </w:r>
    </w:p>
    <w:p w14:paraId="0C940D0A" w14:textId="77777777" w:rsidR="00D05B6A" w:rsidRPr="00D03DE5" w:rsidRDefault="00D05B6A" w:rsidP="00D05B6A">
      <w:pPr>
        <w:spacing w:line="360" w:lineRule="auto"/>
        <w:rPr>
          <w:color w:val="000000" w:themeColor="text1"/>
        </w:rPr>
      </w:pPr>
      <w:r w:rsidRPr="00D03DE5">
        <w:rPr>
          <w:color w:val="000000" w:themeColor="text1"/>
        </w:rPr>
        <w:t xml:space="preserve">As we evaluate the therapeutic potential of Simufilam, a prospective treatment for AD developed by Cassava Sciences, we find several critical challenges that sharply reduce the likelihood of clinical success. Given that Cassava’s valuation is heavily contingent on Simufilam’s performance, the probability of therapeutic efficacy (P_eff) directly informs our investment thesis. In this analysis, we outline the core factors affecting Simufilam’s efficacy, building a comprehensive probabilistic model that integrates pharmacokinetic limitations, biochemical interactions, and historical efficacy data for similar drugs. Using both published literature and pharmacodynamic standards, we assign probability weights to these critical factors, ultimately calculating a Probability of Efficacy (P_eff) for Simufilam in Alzheimer’s treatment as </w:t>
      </w:r>
      <w:r w:rsidRPr="00D03DE5">
        <w:rPr>
          <w:i/>
          <w:iCs/>
          <w:color w:val="000000" w:themeColor="text1"/>
        </w:rPr>
        <w:t>0.003375%.</w:t>
      </w:r>
      <w:r w:rsidRPr="00D03DE5">
        <w:rPr>
          <w:color w:val="000000" w:themeColor="text1"/>
        </w:rPr>
        <w:t xml:space="preserve"> This outcome supports a high-confidence short position on Cassava Sciences, reflecting severe overvaluation based on the drug's speculative success.</w:t>
      </w:r>
    </w:p>
    <w:p w14:paraId="26C4DD93" w14:textId="77777777" w:rsidR="00D05B6A" w:rsidRPr="00D03DE5" w:rsidRDefault="00D05B6A" w:rsidP="00D05B6A">
      <w:pPr>
        <w:spacing w:line="360" w:lineRule="auto"/>
        <w:rPr>
          <w:color w:val="000000" w:themeColor="text1"/>
        </w:rPr>
      </w:pPr>
    </w:p>
    <w:p w14:paraId="697518EE" w14:textId="77777777" w:rsidR="00D05B6A" w:rsidRPr="00D03DE5" w:rsidRDefault="00D05B6A" w:rsidP="00D05B6A">
      <w:pPr>
        <w:spacing w:line="360" w:lineRule="auto"/>
        <w:rPr>
          <w:color w:val="000000" w:themeColor="text1"/>
        </w:rPr>
      </w:pPr>
    </w:p>
    <w:p w14:paraId="4C4A5C12" w14:textId="77777777" w:rsidR="00D05B6A" w:rsidRPr="00D03DE5" w:rsidRDefault="00D05B6A" w:rsidP="00D05B6A">
      <w:pPr>
        <w:spacing w:line="360" w:lineRule="auto"/>
        <w:rPr>
          <w:b/>
          <w:bCs/>
          <w:color w:val="000000" w:themeColor="text1"/>
        </w:rPr>
      </w:pPr>
      <w:r w:rsidRPr="00D03DE5">
        <w:rPr>
          <w:b/>
          <w:bCs/>
          <w:color w:val="000000" w:themeColor="text1"/>
        </w:rPr>
        <w:t>Building the Probability Model</w:t>
      </w:r>
    </w:p>
    <w:p w14:paraId="5BBAF0CF" w14:textId="77777777" w:rsidR="00D05B6A" w:rsidRPr="00D03DE5" w:rsidRDefault="00D05B6A" w:rsidP="00D05B6A">
      <w:pPr>
        <w:spacing w:line="360" w:lineRule="auto"/>
        <w:rPr>
          <w:color w:val="000000" w:themeColor="text1"/>
        </w:rPr>
      </w:pPr>
      <w:r w:rsidRPr="00D03DE5">
        <w:rPr>
          <w:color w:val="000000" w:themeColor="text1"/>
        </w:rPr>
        <w:t>The probability of Simufilam’s efficacy is modeled by analyzing several factors critical to AD treatment, each affecting the drug's likelihood of success:</w:t>
      </w:r>
    </w:p>
    <w:p w14:paraId="2DB51FF9" w14:textId="77777777" w:rsidR="00D05B6A" w:rsidRPr="00D03DE5" w:rsidRDefault="00D05B6A" w:rsidP="00D05B6A">
      <w:pPr>
        <w:numPr>
          <w:ilvl w:val="0"/>
          <w:numId w:val="46"/>
        </w:numPr>
        <w:spacing w:line="360" w:lineRule="auto"/>
        <w:rPr>
          <w:color w:val="000000" w:themeColor="text1"/>
        </w:rPr>
      </w:pPr>
      <w:r w:rsidRPr="00D03DE5">
        <w:rPr>
          <w:color w:val="000000" w:themeColor="text1"/>
        </w:rPr>
        <w:t>Blood-Brain Barrier Penetration (BBB_P)</w:t>
      </w:r>
    </w:p>
    <w:p w14:paraId="18986714" w14:textId="77777777" w:rsidR="00D05B6A" w:rsidRPr="00D03DE5" w:rsidRDefault="00D05B6A" w:rsidP="00D05B6A">
      <w:pPr>
        <w:numPr>
          <w:ilvl w:val="0"/>
          <w:numId w:val="46"/>
        </w:numPr>
        <w:spacing w:line="360" w:lineRule="auto"/>
        <w:rPr>
          <w:color w:val="000000" w:themeColor="text1"/>
        </w:rPr>
      </w:pPr>
      <w:r w:rsidRPr="00D03DE5">
        <w:rPr>
          <w:color w:val="000000" w:themeColor="text1"/>
        </w:rPr>
        <w:t>Target Specificity (T_S)</w:t>
      </w:r>
    </w:p>
    <w:p w14:paraId="29B73904" w14:textId="77777777" w:rsidR="00D05B6A" w:rsidRPr="00D03DE5" w:rsidRDefault="00D05B6A" w:rsidP="00D05B6A">
      <w:pPr>
        <w:numPr>
          <w:ilvl w:val="0"/>
          <w:numId w:val="46"/>
        </w:numPr>
        <w:spacing w:line="360" w:lineRule="auto"/>
        <w:rPr>
          <w:color w:val="000000" w:themeColor="text1"/>
        </w:rPr>
      </w:pPr>
      <w:r w:rsidRPr="00D03DE5">
        <w:rPr>
          <w:color w:val="000000" w:themeColor="text1"/>
        </w:rPr>
        <w:t>Efficacy on Aβ Pathology (Aβ_E)</w:t>
      </w:r>
    </w:p>
    <w:p w14:paraId="7513249E" w14:textId="77777777" w:rsidR="00D05B6A" w:rsidRPr="00D03DE5" w:rsidRDefault="00D05B6A" w:rsidP="00D05B6A">
      <w:pPr>
        <w:numPr>
          <w:ilvl w:val="0"/>
          <w:numId w:val="46"/>
        </w:numPr>
        <w:spacing w:line="360" w:lineRule="auto"/>
        <w:rPr>
          <w:color w:val="000000" w:themeColor="text1"/>
        </w:rPr>
      </w:pPr>
      <w:r w:rsidRPr="00D03DE5">
        <w:rPr>
          <w:color w:val="000000" w:themeColor="text1"/>
        </w:rPr>
        <w:t>Tau Pathology Factor (Tau_P)</w:t>
      </w:r>
    </w:p>
    <w:p w14:paraId="7A70BD40" w14:textId="77777777" w:rsidR="00D05B6A" w:rsidRPr="00D03DE5" w:rsidRDefault="00D05B6A" w:rsidP="00D05B6A">
      <w:pPr>
        <w:numPr>
          <w:ilvl w:val="0"/>
          <w:numId w:val="46"/>
        </w:numPr>
        <w:spacing w:line="360" w:lineRule="auto"/>
        <w:rPr>
          <w:color w:val="000000" w:themeColor="text1"/>
        </w:rPr>
      </w:pPr>
      <w:r w:rsidRPr="00D03DE5">
        <w:rPr>
          <w:color w:val="000000" w:themeColor="text1"/>
        </w:rPr>
        <w:t>Synaptic Integrity (Syn_I)</w:t>
      </w:r>
    </w:p>
    <w:p w14:paraId="52194A31" w14:textId="77777777" w:rsidR="00D05B6A" w:rsidRPr="00D03DE5" w:rsidRDefault="00D05B6A" w:rsidP="00D05B6A">
      <w:pPr>
        <w:numPr>
          <w:ilvl w:val="0"/>
          <w:numId w:val="46"/>
        </w:numPr>
        <w:spacing w:line="360" w:lineRule="auto"/>
        <w:rPr>
          <w:color w:val="000000" w:themeColor="text1"/>
        </w:rPr>
      </w:pPr>
      <w:r w:rsidRPr="00D03DE5">
        <w:rPr>
          <w:color w:val="000000" w:themeColor="text1"/>
        </w:rPr>
        <w:t>Neuroinflammation Factor (N_I)</w:t>
      </w:r>
    </w:p>
    <w:p w14:paraId="2F402314" w14:textId="77777777" w:rsidR="00D05B6A" w:rsidRPr="00D03DE5" w:rsidRDefault="00D05B6A" w:rsidP="00D05B6A">
      <w:pPr>
        <w:numPr>
          <w:ilvl w:val="0"/>
          <w:numId w:val="46"/>
        </w:numPr>
        <w:spacing w:line="360" w:lineRule="auto"/>
        <w:rPr>
          <w:color w:val="000000" w:themeColor="text1"/>
        </w:rPr>
      </w:pPr>
      <w:r w:rsidRPr="00D03DE5">
        <w:rPr>
          <w:color w:val="000000" w:themeColor="text1"/>
        </w:rPr>
        <w:t>Historical Efficacy of α7nAChR Targeting (α7nAChR_H)</w:t>
      </w:r>
    </w:p>
    <w:p w14:paraId="4A8E719C" w14:textId="77777777" w:rsidR="00D05B6A" w:rsidRPr="00D03DE5" w:rsidRDefault="00D05B6A" w:rsidP="00D05B6A">
      <w:pPr>
        <w:spacing w:line="360" w:lineRule="auto"/>
        <w:rPr>
          <w:color w:val="000000" w:themeColor="text1"/>
        </w:rPr>
      </w:pPr>
    </w:p>
    <w:p w14:paraId="55A9421D" w14:textId="77777777" w:rsidR="00D05B6A" w:rsidRPr="00D03DE5" w:rsidRDefault="00D05B6A" w:rsidP="00D05B6A">
      <w:pPr>
        <w:spacing w:line="360" w:lineRule="auto"/>
        <w:rPr>
          <w:color w:val="000000" w:themeColor="text1"/>
        </w:rPr>
      </w:pPr>
      <w:r w:rsidRPr="00D03DE5">
        <w:rPr>
          <w:color w:val="000000" w:themeColor="text1"/>
        </w:rPr>
        <w:t xml:space="preserve">Each component is assigned a probability value between </w:t>
      </w:r>
      <w:r w:rsidRPr="00D03DE5">
        <w:rPr>
          <w:i/>
          <w:iCs/>
          <w:color w:val="000000" w:themeColor="text1"/>
        </w:rPr>
        <w:t>0</w:t>
      </w:r>
      <w:r w:rsidRPr="00D03DE5">
        <w:rPr>
          <w:color w:val="000000" w:themeColor="text1"/>
        </w:rPr>
        <w:t xml:space="preserve"> and </w:t>
      </w:r>
      <w:r w:rsidRPr="00D03DE5">
        <w:rPr>
          <w:i/>
          <w:iCs/>
          <w:color w:val="000000" w:themeColor="text1"/>
        </w:rPr>
        <w:t>1</w:t>
      </w:r>
      <w:r w:rsidRPr="00D03DE5">
        <w:rPr>
          <w:color w:val="000000" w:themeColor="text1"/>
        </w:rPr>
        <w:t>, reflecting its positive impact on Simufilam’s potential efficacy.</w:t>
      </w:r>
    </w:p>
    <w:p w14:paraId="595A4792" w14:textId="77777777" w:rsidR="00D05B6A" w:rsidRPr="00D03DE5" w:rsidRDefault="00D05B6A" w:rsidP="00D05B6A">
      <w:pPr>
        <w:spacing w:line="360" w:lineRule="auto"/>
        <w:rPr>
          <w:b/>
          <w:bCs/>
          <w:color w:val="000000" w:themeColor="text1"/>
        </w:rPr>
      </w:pPr>
    </w:p>
    <w:p w14:paraId="7778A199" w14:textId="77777777" w:rsidR="00D05B6A" w:rsidRPr="00D03DE5" w:rsidRDefault="00D05B6A" w:rsidP="00D05B6A">
      <w:pPr>
        <w:spacing w:line="360" w:lineRule="auto"/>
        <w:rPr>
          <w:b/>
          <w:bCs/>
          <w:color w:val="000000" w:themeColor="text1"/>
        </w:rPr>
      </w:pPr>
      <w:r w:rsidRPr="00D03DE5">
        <w:rPr>
          <w:b/>
          <w:bCs/>
          <w:color w:val="000000" w:themeColor="text1"/>
        </w:rPr>
        <w:t>1. Blood-Brain Barrier Penetration (BBB_P)</w:t>
      </w:r>
    </w:p>
    <w:p w14:paraId="69DC6A8F" w14:textId="77777777" w:rsidR="00D05B6A" w:rsidRPr="00D03DE5" w:rsidRDefault="00D05B6A" w:rsidP="00D05B6A">
      <w:pPr>
        <w:spacing w:line="360" w:lineRule="auto"/>
        <w:rPr>
          <w:color w:val="000000" w:themeColor="text1"/>
        </w:rPr>
      </w:pPr>
      <w:r w:rsidRPr="00D03DE5">
        <w:rPr>
          <w:color w:val="000000" w:themeColor="text1"/>
        </w:rPr>
        <w:lastRenderedPageBreak/>
        <w:t>BBB penetration is essential for any drug targeting the central nervous system (CNS). Simufilam’s LogP value of 1.1 and a half-life of 4.5 hours indicate a significant limitation in its BBB penetration capability. For optimal BBB penetration, an AD drug typically has a LogP between 2 and 3, with other pharmacokinetic factors supporting prolonged CNS presence. Given these factors:</w:t>
      </w:r>
    </w:p>
    <w:p w14:paraId="47F0D314" w14:textId="77777777" w:rsidR="00D05B6A" w:rsidRPr="00D03DE5" w:rsidRDefault="00D05B6A" w:rsidP="00D05B6A">
      <w:pPr>
        <w:spacing w:line="360" w:lineRule="auto"/>
        <w:rPr>
          <w:color w:val="000000" w:themeColor="text1"/>
        </w:rPr>
      </w:pPr>
    </w:p>
    <w:p w14:paraId="7CDE8C04" w14:textId="77777777" w:rsidR="00D05B6A" w:rsidRPr="00D03DE5" w:rsidRDefault="00D05B6A" w:rsidP="00D05B6A">
      <w:pPr>
        <w:spacing w:line="360" w:lineRule="auto"/>
        <w:rPr>
          <w:color w:val="000000" w:themeColor="text1"/>
        </w:rPr>
      </w:pPr>
      <m:oMathPara>
        <m:oMath>
          <m:r>
            <w:rPr>
              <w:rFonts w:ascii="Cambria Math" w:hAnsi="Cambria Math"/>
              <w:color w:val="000000" w:themeColor="text1"/>
            </w:rPr>
            <m:t>BB</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P</m:t>
              </m:r>
            </m:sub>
          </m:sSub>
          <m:r>
            <w:rPr>
              <w:rFonts w:ascii="Cambria Math" w:hAnsi="Cambria Math"/>
              <w:color w:val="000000" w:themeColor="text1"/>
            </w:rPr>
            <m:t>=0.75</m:t>
          </m:r>
        </m:oMath>
      </m:oMathPara>
    </w:p>
    <w:p w14:paraId="00AE68EC" w14:textId="77777777" w:rsidR="00D05B6A" w:rsidRPr="00D03DE5" w:rsidRDefault="00D05B6A" w:rsidP="00D05B6A">
      <w:pPr>
        <w:spacing w:line="360" w:lineRule="auto"/>
        <w:rPr>
          <w:b/>
          <w:bCs/>
          <w:color w:val="000000" w:themeColor="text1"/>
        </w:rPr>
      </w:pPr>
    </w:p>
    <w:p w14:paraId="3DFBD5C4" w14:textId="77777777" w:rsidR="00D05B6A" w:rsidRPr="00D03DE5" w:rsidRDefault="00D05B6A" w:rsidP="00D05B6A">
      <w:pPr>
        <w:spacing w:line="360" w:lineRule="auto"/>
        <w:rPr>
          <w:b/>
          <w:bCs/>
          <w:color w:val="000000" w:themeColor="text1"/>
        </w:rPr>
      </w:pPr>
      <w:r w:rsidRPr="00D03DE5">
        <w:rPr>
          <w:b/>
          <w:bCs/>
          <w:color w:val="000000" w:themeColor="text1"/>
        </w:rPr>
        <w:t>2. Target Specificity (T_S)</w:t>
      </w:r>
    </w:p>
    <w:p w14:paraId="0144843E" w14:textId="77777777" w:rsidR="00D05B6A" w:rsidRPr="00D03DE5" w:rsidRDefault="00D05B6A" w:rsidP="00D05B6A">
      <w:pPr>
        <w:spacing w:line="360" w:lineRule="auto"/>
        <w:rPr>
          <w:color w:val="000000" w:themeColor="text1"/>
        </w:rPr>
      </w:pPr>
      <w:r w:rsidRPr="00D03DE5">
        <w:rPr>
          <w:color w:val="000000" w:themeColor="text1"/>
        </w:rPr>
        <w:t>Simufilam's target, FLNA, is widely expressed across various tissues, raising concerns about specificity. Off-target effects and interactions with non-AD pathways reduce the drug's specificity, which is crucial in achieving targeted AD pathology modification. Assigning weight:</w:t>
      </w:r>
    </w:p>
    <w:p w14:paraId="3C91FAC4" w14:textId="77777777" w:rsidR="00D05B6A" w:rsidRPr="00D03DE5" w:rsidRDefault="00D05B6A" w:rsidP="00D05B6A">
      <w:pPr>
        <w:spacing w:line="360" w:lineRule="auto"/>
        <w:rPr>
          <w:color w:val="000000" w:themeColor="text1"/>
        </w:rPr>
      </w:pPr>
    </w:p>
    <w:p w14:paraId="474E0C8B" w14:textId="77777777" w:rsidR="00D05B6A" w:rsidRPr="00D03DE5" w:rsidRDefault="009A6469" w:rsidP="00D05B6A">
      <w:pPr>
        <w:spacing w:line="360" w:lineRule="auto"/>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S</m:t>
              </m:r>
            </m:sub>
          </m:sSub>
          <m:r>
            <w:rPr>
              <w:rFonts w:ascii="Cambria Math" w:hAnsi="Cambria Math"/>
              <w:color w:val="000000" w:themeColor="text1"/>
            </w:rPr>
            <m:t>=0.25</m:t>
          </m:r>
        </m:oMath>
      </m:oMathPara>
    </w:p>
    <w:p w14:paraId="1843FF8C" w14:textId="77777777" w:rsidR="00D05B6A" w:rsidRPr="00D03DE5" w:rsidRDefault="00D05B6A" w:rsidP="00D05B6A">
      <w:pPr>
        <w:spacing w:line="360" w:lineRule="auto"/>
        <w:rPr>
          <w:color w:val="000000" w:themeColor="text1"/>
        </w:rPr>
      </w:pPr>
    </w:p>
    <w:p w14:paraId="03AF698A" w14:textId="77777777" w:rsidR="00D05B6A" w:rsidRPr="00D03DE5" w:rsidRDefault="00D05B6A" w:rsidP="00D05B6A">
      <w:pPr>
        <w:spacing w:line="360" w:lineRule="auto"/>
        <w:rPr>
          <w:b/>
          <w:bCs/>
          <w:color w:val="000000" w:themeColor="text1"/>
        </w:rPr>
      </w:pPr>
      <w:r w:rsidRPr="00D03DE5">
        <w:rPr>
          <w:b/>
          <w:bCs/>
          <w:color w:val="000000" w:themeColor="text1"/>
        </w:rPr>
        <w:t>3. Efficacy on Aβ Pathology (Aβ_E)</w:t>
      </w:r>
    </w:p>
    <w:p w14:paraId="7B709823" w14:textId="77777777" w:rsidR="00D05B6A" w:rsidRPr="00D03DE5" w:rsidRDefault="00D05B6A" w:rsidP="00D05B6A">
      <w:pPr>
        <w:spacing w:line="360" w:lineRule="auto"/>
        <w:rPr>
          <w:color w:val="000000" w:themeColor="text1"/>
        </w:rPr>
      </w:pPr>
      <w:r w:rsidRPr="00D03DE5">
        <w:rPr>
          <w:color w:val="000000" w:themeColor="text1"/>
        </w:rPr>
        <w:t>Simufilam targets the neurotoxic effects of Aβ42 by interacting with FLNA and α7nAChR. However, it lacks any direct mechanism to clear amyloid plaques or oligomers, which are fundamental drivers of AD pathology. This deficiency is critical given the multifactorial nature of Aβ42 toxicity, including plaque buildup and protein interactions that Simufilam does not address.</w:t>
      </w:r>
    </w:p>
    <w:p w14:paraId="29898215" w14:textId="77777777" w:rsidR="00D05B6A" w:rsidRPr="00D03DE5" w:rsidRDefault="00D05B6A" w:rsidP="00D05B6A">
      <w:pPr>
        <w:spacing w:line="360" w:lineRule="auto"/>
        <w:rPr>
          <w:color w:val="000000" w:themeColor="text1"/>
        </w:rPr>
      </w:pPr>
    </w:p>
    <w:p w14:paraId="1B5033C7" w14:textId="77777777" w:rsidR="00D05B6A" w:rsidRPr="00D03DE5" w:rsidRDefault="00D05B6A" w:rsidP="00D05B6A">
      <w:pPr>
        <w:spacing w:line="360" w:lineRule="auto"/>
        <w:rPr>
          <w:rFonts w:eastAsiaTheme="minorEastAsia"/>
          <w:color w:val="000000" w:themeColor="text1"/>
        </w:rPr>
      </w:pPr>
      <m:oMathPara>
        <m:oMath>
          <m:r>
            <m:rPr>
              <m:sty m:val="p"/>
            </m:rPr>
            <w:rPr>
              <w:rFonts w:ascii="Cambria Math" w:hAnsi="Cambria Math"/>
              <w:color w:val="000000" w:themeColor="text1"/>
            </w:rPr>
            <m:t>Aβ_E</m:t>
          </m:r>
          <m:r>
            <w:rPr>
              <w:rFonts w:ascii="Cambria Math" w:hAnsi="Cambria Math"/>
              <w:color w:val="000000" w:themeColor="text1"/>
            </w:rPr>
            <m:t>=0.15</m:t>
          </m:r>
        </m:oMath>
      </m:oMathPara>
    </w:p>
    <w:p w14:paraId="6EDF0C18" w14:textId="77777777" w:rsidR="00D05B6A" w:rsidRPr="00D03DE5" w:rsidRDefault="00D05B6A" w:rsidP="00D05B6A">
      <w:pPr>
        <w:spacing w:line="360" w:lineRule="auto"/>
        <w:rPr>
          <w:color w:val="000000" w:themeColor="text1"/>
        </w:rPr>
      </w:pPr>
    </w:p>
    <w:p w14:paraId="7DDFD466" w14:textId="77777777" w:rsidR="00D05B6A" w:rsidRPr="00D03DE5" w:rsidRDefault="00D05B6A" w:rsidP="00D05B6A">
      <w:pPr>
        <w:spacing w:line="360" w:lineRule="auto"/>
        <w:rPr>
          <w:b/>
          <w:bCs/>
          <w:color w:val="000000" w:themeColor="text1"/>
        </w:rPr>
      </w:pPr>
      <w:r w:rsidRPr="00D03DE5">
        <w:rPr>
          <w:b/>
          <w:bCs/>
          <w:color w:val="000000" w:themeColor="text1"/>
        </w:rPr>
        <w:t>4 Tau Pathology Factor (Tau_P)</w:t>
      </w:r>
    </w:p>
    <w:p w14:paraId="0EE44B9D" w14:textId="77777777" w:rsidR="00D05B6A" w:rsidRPr="00D03DE5" w:rsidRDefault="00D05B6A" w:rsidP="00D05B6A">
      <w:pPr>
        <w:spacing w:line="360" w:lineRule="auto"/>
        <w:rPr>
          <w:color w:val="000000" w:themeColor="text1"/>
        </w:rPr>
      </w:pPr>
      <w:r w:rsidRPr="00D03DE5">
        <w:rPr>
          <w:color w:val="000000" w:themeColor="text1"/>
        </w:rPr>
        <w:t>Tau hyperphosphorylation and the resulting formation of neurofibrillary tangles (NFTs) are key contributors to AD. Simufilam’s mechanism does not interact with kinases or other enzymes involved in tau hyperphosphorylation, nor does it reduce tau aggregation.</w:t>
      </w:r>
    </w:p>
    <w:p w14:paraId="67357191" w14:textId="77777777" w:rsidR="00D05B6A" w:rsidRPr="00D03DE5" w:rsidRDefault="00D05B6A" w:rsidP="00D05B6A">
      <w:pPr>
        <w:spacing w:line="360" w:lineRule="auto"/>
        <w:rPr>
          <w:color w:val="000000" w:themeColor="text1"/>
        </w:rPr>
      </w:pPr>
      <w:r w:rsidRPr="00D03DE5">
        <w:rPr>
          <w:color w:val="000000" w:themeColor="text1"/>
        </w:rPr>
        <w:t>Tau pathology weight:</w:t>
      </w:r>
    </w:p>
    <w:p w14:paraId="0852B5F9" w14:textId="77777777" w:rsidR="00D05B6A" w:rsidRPr="00D03DE5" w:rsidRDefault="00D05B6A" w:rsidP="00D05B6A">
      <w:pPr>
        <w:spacing w:line="360" w:lineRule="auto"/>
        <w:rPr>
          <w:color w:val="000000" w:themeColor="text1"/>
        </w:rPr>
      </w:pPr>
    </w:p>
    <w:p w14:paraId="681BD351" w14:textId="77777777" w:rsidR="00D05B6A" w:rsidRPr="00D03DE5" w:rsidRDefault="00D05B6A" w:rsidP="00D05B6A">
      <w:pPr>
        <w:spacing w:line="360" w:lineRule="auto"/>
        <w:rPr>
          <w:rFonts w:eastAsiaTheme="minorEastAsia"/>
          <w:color w:val="000000" w:themeColor="text1"/>
        </w:rPr>
      </w:pPr>
      <m:oMathPara>
        <m:oMath>
          <m:r>
            <m:rPr>
              <m:sty m:val="p"/>
            </m:rPr>
            <w:rPr>
              <w:rFonts w:ascii="Cambria Math" w:hAnsi="Cambria Math"/>
              <w:color w:val="000000" w:themeColor="text1"/>
            </w:rPr>
            <m:t>Tau_P</m:t>
          </m:r>
          <m:r>
            <w:rPr>
              <w:rFonts w:ascii="Cambria Math" w:hAnsi="Cambria Math"/>
              <w:color w:val="000000" w:themeColor="text1"/>
            </w:rPr>
            <m:t>=0.05</m:t>
          </m:r>
        </m:oMath>
      </m:oMathPara>
    </w:p>
    <w:p w14:paraId="0E86BDAB" w14:textId="77777777" w:rsidR="00D05B6A" w:rsidRPr="00D03DE5" w:rsidRDefault="00D05B6A" w:rsidP="00D05B6A">
      <w:pPr>
        <w:spacing w:line="360" w:lineRule="auto"/>
        <w:rPr>
          <w:color w:val="000000" w:themeColor="text1"/>
        </w:rPr>
      </w:pPr>
    </w:p>
    <w:p w14:paraId="62270A88" w14:textId="77777777" w:rsidR="00D05B6A" w:rsidRPr="00D03DE5" w:rsidRDefault="00D05B6A" w:rsidP="00D05B6A">
      <w:pPr>
        <w:spacing w:line="360" w:lineRule="auto"/>
        <w:rPr>
          <w:b/>
          <w:bCs/>
          <w:color w:val="000000" w:themeColor="text1"/>
        </w:rPr>
      </w:pPr>
      <w:r w:rsidRPr="00D03DE5">
        <w:rPr>
          <w:b/>
          <w:bCs/>
          <w:color w:val="000000" w:themeColor="text1"/>
        </w:rPr>
        <w:t>5. Synaptic Integrity (Syn_I)</w:t>
      </w:r>
    </w:p>
    <w:p w14:paraId="0ECBF334" w14:textId="77777777" w:rsidR="00D05B6A" w:rsidRPr="00D03DE5" w:rsidRDefault="00D05B6A" w:rsidP="00D05B6A">
      <w:pPr>
        <w:spacing w:line="360" w:lineRule="auto"/>
        <w:rPr>
          <w:color w:val="000000" w:themeColor="text1"/>
        </w:rPr>
      </w:pPr>
      <w:r w:rsidRPr="00D03DE5">
        <w:rPr>
          <w:color w:val="000000" w:themeColor="text1"/>
        </w:rPr>
        <w:t>Partial stabilization of FLNA may offer some synaptic support. However, without direct action on Aβ oligomer toxicity, which disrupts synaptic signaling, Simufilam is unlikely to maintain synaptic integrity effectively.</w:t>
      </w:r>
    </w:p>
    <w:p w14:paraId="413DC5AB" w14:textId="77777777" w:rsidR="00D05B6A" w:rsidRPr="00D03DE5" w:rsidRDefault="00D05B6A" w:rsidP="00D05B6A">
      <w:pPr>
        <w:spacing w:line="360" w:lineRule="auto"/>
        <w:rPr>
          <w:color w:val="000000" w:themeColor="text1"/>
        </w:rPr>
      </w:pPr>
      <w:r w:rsidRPr="00D03DE5">
        <w:rPr>
          <w:color w:val="000000" w:themeColor="text1"/>
        </w:rPr>
        <w:t>Estimated probability:</w:t>
      </w:r>
    </w:p>
    <w:p w14:paraId="79D4F84D" w14:textId="77777777" w:rsidR="00D05B6A" w:rsidRPr="00D03DE5" w:rsidRDefault="00D05B6A" w:rsidP="00D05B6A">
      <w:pPr>
        <w:spacing w:line="360" w:lineRule="auto"/>
        <w:rPr>
          <w:rFonts w:eastAsiaTheme="minorEastAsia"/>
          <w:color w:val="000000" w:themeColor="text1"/>
        </w:rPr>
      </w:pPr>
      <m:oMathPara>
        <m:oMath>
          <m:r>
            <m:rPr>
              <m:sty m:val="p"/>
            </m:rPr>
            <w:rPr>
              <w:rFonts w:ascii="Cambria Math" w:hAnsi="Cambria Math"/>
              <w:color w:val="000000" w:themeColor="text1"/>
            </w:rPr>
            <m:t>Syn_I</m:t>
          </m:r>
          <m:r>
            <w:rPr>
              <w:rFonts w:ascii="Cambria Math" w:hAnsi="Cambria Math"/>
              <w:color w:val="000000" w:themeColor="text1"/>
            </w:rPr>
            <m:t>=0.3</m:t>
          </m:r>
        </m:oMath>
      </m:oMathPara>
    </w:p>
    <w:p w14:paraId="7A46913D" w14:textId="77777777" w:rsidR="00D05B6A" w:rsidRPr="00D03DE5" w:rsidRDefault="00D05B6A" w:rsidP="00D05B6A">
      <w:pPr>
        <w:spacing w:line="360" w:lineRule="auto"/>
        <w:rPr>
          <w:b/>
          <w:bCs/>
          <w:color w:val="000000" w:themeColor="text1"/>
        </w:rPr>
      </w:pPr>
    </w:p>
    <w:p w14:paraId="003EC754" w14:textId="77777777" w:rsidR="00D05B6A" w:rsidRPr="00D03DE5" w:rsidRDefault="00D05B6A" w:rsidP="00D05B6A">
      <w:pPr>
        <w:spacing w:line="360" w:lineRule="auto"/>
        <w:rPr>
          <w:b/>
          <w:bCs/>
          <w:color w:val="000000" w:themeColor="text1"/>
        </w:rPr>
      </w:pPr>
    </w:p>
    <w:p w14:paraId="03717FDE" w14:textId="77777777" w:rsidR="00D05B6A" w:rsidRPr="00D03DE5" w:rsidRDefault="00D05B6A" w:rsidP="00D05B6A">
      <w:pPr>
        <w:spacing w:line="360" w:lineRule="auto"/>
        <w:rPr>
          <w:b/>
          <w:bCs/>
          <w:color w:val="000000" w:themeColor="text1"/>
        </w:rPr>
      </w:pPr>
      <w:r w:rsidRPr="00D03DE5">
        <w:rPr>
          <w:b/>
          <w:bCs/>
          <w:color w:val="000000" w:themeColor="text1"/>
        </w:rPr>
        <w:t>6. Neuroinflammation Factor (N_I)</w:t>
      </w:r>
    </w:p>
    <w:p w14:paraId="34430A6B" w14:textId="77777777" w:rsidR="00D05B6A" w:rsidRPr="00D03DE5" w:rsidRDefault="00D05B6A" w:rsidP="00D05B6A">
      <w:pPr>
        <w:spacing w:line="360" w:lineRule="auto"/>
        <w:rPr>
          <w:color w:val="000000" w:themeColor="text1"/>
        </w:rPr>
      </w:pPr>
      <w:r w:rsidRPr="00D03DE5">
        <w:rPr>
          <w:color w:val="000000" w:themeColor="text1"/>
        </w:rPr>
        <w:t>Chronic neuroinflammation is associated with Aβ plaque accumulation, contributing to cognitive decline in AD. Simufilam does not address pro-inflammatory cytokines or other neuroinflammatory pathways.</w:t>
      </w:r>
    </w:p>
    <w:p w14:paraId="0AF37783" w14:textId="77777777" w:rsidR="00D05B6A" w:rsidRPr="00D03DE5" w:rsidRDefault="00D05B6A" w:rsidP="00D05B6A">
      <w:pPr>
        <w:spacing w:line="360" w:lineRule="auto"/>
        <w:rPr>
          <w:color w:val="000000" w:themeColor="text1"/>
        </w:rPr>
      </w:pPr>
      <w:r w:rsidRPr="00D03DE5">
        <w:rPr>
          <w:color w:val="000000" w:themeColor="text1"/>
        </w:rPr>
        <w:t>Assigning:</w:t>
      </w:r>
    </w:p>
    <w:p w14:paraId="393C9892" w14:textId="77777777" w:rsidR="00D05B6A" w:rsidRPr="00D03DE5" w:rsidRDefault="00D05B6A" w:rsidP="00D05B6A">
      <w:pPr>
        <w:spacing w:line="360" w:lineRule="auto"/>
        <w:rPr>
          <w:rFonts w:eastAsiaTheme="minorEastAsia"/>
          <w:color w:val="000000" w:themeColor="text1"/>
        </w:rPr>
      </w:pPr>
      <m:oMathPara>
        <m:oMath>
          <m:r>
            <m:rPr>
              <m:sty m:val="p"/>
            </m:rPr>
            <w:rPr>
              <w:rFonts w:ascii="Cambria Math" w:hAnsi="Cambria Math"/>
              <w:color w:val="000000" w:themeColor="text1"/>
            </w:rPr>
            <m:t>N_I</m:t>
          </m:r>
          <m:r>
            <w:rPr>
              <w:rFonts w:ascii="Cambria Math" w:hAnsi="Cambria Math"/>
              <w:color w:val="000000" w:themeColor="text1"/>
            </w:rPr>
            <m:t>=0.2</m:t>
          </m:r>
        </m:oMath>
      </m:oMathPara>
    </w:p>
    <w:p w14:paraId="64B5EF2B" w14:textId="77777777" w:rsidR="00D05B6A" w:rsidRPr="00D03DE5" w:rsidRDefault="00D05B6A" w:rsidP="00D05B6A">
      <w:pPr>
        <w:spacing w:line="360" w:lineRule="auto"/>
        <w:rPr>
          <w:color w:val="000000" w:themeColor="text1"/>
        </w:rPr>
      </w:pPr>
    </w:p>
    <w:p w14:paraId="32A529C7" w14:textId="77777777" w:rsidR="00D05B6A" w:rsidRPr="00D03DE5" w:rsidRDefault="00D05B6A" w:rsidP="00D05B6A">
      <w:pPr>
        <w:spacing w:line="360" w:lineRule="auto"/>
        <w:rPr>
          <w:b/>
          <w:bCs/>
          <w:color w:val="000000" w:themeColor="text1"/>
        </w:rPr>
      </w:pPr>
      <w:r w:rsidRPr="00D03DE5">
        <w:rPr>
          <w:b/>
          <w:bCs/>
          <w:color w:val="000000" w:themeColor="text1"/>
        </w:rPr>
        <w:t>7. Historical Efficacy of α7nAChR Targeting (α7nAChR_H)</w:t>
      </w:r>
    </w:p>
    <w:p w14:paraId="05407304" w14:textId="77777777" w:rsidR="00D05B6A" w:rsidRPr="00D03DE5" w:rsidRDefault="00D05B6A" w:rsidP="00D05B6A">
      <w:pPr>
        <w:spacing w:line="360" w:lineRule="auto"/>
        <w:rPr>
          <w:color w:val="000000" w:themeColor="text1"/>
        </w:rPr>
      </w:pPr>
      <w:r w:rsidRPr="00D03DE5">
        <w:rPr>
          <w:color w:val="000000" w:themeColor="text1"/>
        </w:rPr>
        <w:t>Historically, drugs targeting α7 nicotinic acetylcholine receptors (nAChR) have failed to deliver clinical efficacy in AD trials, despite a favorable safety profile. This factor reflects the limited clinical potential of drugs centered on α7nAChR interactions.</w:t>
      </w:r>
    </w:p>
    <w:p w14:paraId="14890B04" w14:textId="77777777" w:rsidR="00D05B6A" w:rsidRPr="00D03DE5" w:rsidRDefault="00D05B6A" w:rsidP="00D05B6A">
      <w:pPr>
        <w:spacing w:line="360" w:lineRule="auto"/>
        <w:rPr>
          <w:color w:val="000000" w:themeColor="text1"/>
        </w:rPr>
      </w:pPr>
    </w:p>
    <w:p w14:paraId="68785285" w14:textId="77777777" w:rsidR="00D05B6A" w:rsidRPr="00D03DE5" w:rsidRDefault="00D05B6A" w:rsidP="00D05B6A">
      <w:pPr>
        <w:spacing w:line="360" w:lineRule="auto"/>
        <w:rPr>
          <w:rFonts w:eastAsiaTheme="minorEastAsia"/>
          <w:color w:val="000000" w:themeColor="text1"/>
        </w:rPr>
      </w:pPr>
      <m:oMathPara>
        <m:oMath>
          <m:r>
            <m:rPr>
              <m:sty m:val="p"/>
            </m:rPr>
            <w:rPr>
              <w:rFonts w:ascii="Cambria Math" w:hAnsi="Cambria Math"/>
              <w:color w:val="000000" w:themeColor="text1"/>
            </w:rPr>
            <m:t>a7nAChR_H</m:t>
          </m:r>
          <m:r>
            <w:rPr>
              <w:rFonts w:ascii="Cambria Math" w:hAnsi="Cambria Math"/>
              <w:color w:val="000000" w:themeColor="text1"/>
            </w:rPr>
            <m:t>=0.1</m:t>
          </m:r>
        </m:oMath>
      </m:oMathPara>
    </w:p>
    <w:p w14:paraId="6B02AFC0" w14:textId="77777777" w:rsidR="00D05B6A" w:rsidRPr="00D03DE5" w:rsidRDefault="00D05B6A" w:rsidP="00D05B6A">
      <w:pPr>
        <w:spacing w:line="360" w:lineRule="auto"/>
        <w:rPr>
          <w:color w:val="000000" w:themeColor="text1"/>
        </w:rPr>
      </w:pPr>
    </w:p>
    <w:p w14:paraId="611D471E" w14:textId="77777777" w:rsidR="00D05B6A" w:rsidRPr="00D03DE5" w:rsidRDefault="00D05B6A" w:rsidP="00D05B6A">
      <w:pPr>
        <w:spacing w:line="360" w:lineRule="auto"/>
        <w:rPr>
          <w:color w:val="000000" w:themeColor="text1"/>
        </w:rPr>
      </w:pPr>
    </w:p>
    <w:p w14:paraId="3B3E392B" w14:textId="77777777" w:rsidR="00D05B6A" w:rsidRPr="00D03DE5" w:rsidRDefault="00D05B6A" w:rsidP="00D05B6A">
      <w:pPr>
        <w:spacing w:line="360" w:lineRule="auto"/>
        <w:rPr>
          <w:color w:val="000000" w:themeColor="text1"/>
        </w:rPr>
      </w:pPr>
    </w:p>
    <w:p w14:paraId="5D23F658" w14:textId="77777777" w:rsidR="00D05B6A" w:rsidRPr="00D03DE5" w:rsidRDefault="5183A6D9" w:rsidP="00D05B6A">
      <w:pPr>
        <w:pStyle w:val="Heading3"/>
        <w:spacing w:line="360" w:lineRule="auto"/>
        <w:rPr>
          <w:rFonts w:cs="Times New Roman"/>
          <w:color w:val="000000" w:themeColor="text1"/>
        </w:rPr>
      </w:pPr>
      <w:bookmarkStart w:id="56" w:name="_Toc13519434"/>
      <w:r w:rsidRPr="5183A6D9">
        <w:rPr>
          <w:rFonts w:cs="Times New Roman"/>
          <w:color w:val="000000" w:themeColor="text1"/>
        </w:rPr>
        <w:t>Probability Equation Construction and Calculation</w:t>
      </w:r>
      <w:bookmarkEnd w:id="56"/>
    </w:p>
    <w:p w14:paraId="47AE71FF" w14:textId="77777777" w:rsidR="00D05B6A" w:rsidRPr="00D03DE5" w:rsidRDefault="00D05B6A" w:rsidP="00D05B6A">
      <w:pPr>
        <w:spacing w:line="360" w:lineRule="auto"/>
        <w:rPr>
          <w:color w:val="000000" w:themeColor="text1"/>
        </w:rPr>
      </w:pPr>
      <w:r w:rsidRPr="00D03DE5">
        <w:rPr>
          <w:color w:val="000000" w:themeColor="text1"/>
        </w:rPr>
        <w:t>The total probability of efficacy (P_eff) is derived by multiplying each of the probability factors, as shown in the formula below:</w:t>
      </w:r>
    </w:p>
    <w:p w14:paraId="0A583049" w14:textId="77777777" w:rsidR="00D05B6A" w:rsidRPr="00D03DE5" w:rsidRDefault="00D05B6A" w:rsidP="00D05B6A">
      <w:pPr>
        <w:spacing w:line="360" w:lineRule="auto"/>
        <w:rPr>
          <w:color w:val="000000" w:themeColor="text1"/>
        </w:rPr>
      </w:pPr>
    </w:p>
    <w:p w14:paraId="74412287" w14:textId="77777777" w:rsidR="00D05B6A" w:rsidRPr="00D03DE5" w:rsidRDefault="00D05B6A" w:rsidP="00D05B6A">
      <w:pPr>
        <w:spacing w:line="360" w:lineRule="auto"/>
        <w:rPr>
          <w:color w:val="000000" w:themeColor="text1"/>
        </w:rPr>
      </w:pPr>
      <m:oMathPara>
        <m:oMath>
          <m:r>
            <w:rPr>
              <w:rFonts w:ascii="Cambria Math" w:hAnsi="Cambria Math"/>
              <w:color w:val="000000" w:themeColor="text1"/>
            </w:rPr>
            <m:t>Peff=BB</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P</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s</m:t>
              </m:r>
            </m:sub>
          </m:sSub>
          <m:r>
            <w:rPr>
              <w:rFonts w:ascii="Cambria Math" w:hAnsi="Cambria Math"/>
              <w:color w:val="000000" w:themeColor="text1"/>
            </w:rPr>
            <m:t>*A</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E</m:t>
              </m:r>
            </m:sub>
          </m:sSub>
          <m:r>
            <w:rPr>
              <w:rFonts w:ascii="Cambria Math" w:eastAsiaTheme="minorEastAsia" w:hAnsi="Cambria Math"/>
              <w:color w:val="000000" w:themeColor="text1"/>
            </w:rPr>
            <m:t>*Ta</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u</m:t>
              </m:r>
            </m:e>
            <m:sub>
              <m:r>
                <w:rPr>
                  <w:rFonts w:ascii="Cambria Math" w:eastAsiaTheme="minorEastAsia" w:hAnsi="Cambria Math"/>
                  <w:color w:val="000000" w:themeColor="text1"/>
                </w:rPr>
                <m:t>P</m:t>
              </m:r>
            </m:sub>
          </m:sSub>
          <m:r>
            <w:rPr>
              <w:rFonts w:ascii="Cambria Math" w:eastAsiaTheme="minorEastAsia" w:hAnsi="Cambria Math"/>
              <w:color w:val="000000" w:themeColor="text1"/>
            </w:rPr>
            <m:t>*Sy</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*N_I*a7nAChR_H</m:t>
          </m:r>
        </m:oMath>
      </m:oMathPara>
    </w:p>
    <w:p w14:paraId="01D69639" w14:textId="77777777" w:rsidR="00D05B6A" w:rsidRPr="00D03DE5" w:rsidRDefault="00D05B6A" w:rsidP="00D05B6A">
      <w:pPr>
        <w:spacing w:line="360" w:lineRule="auto"/>
        <w:rPr>
          <w:color w:val="000000" w:themeColor="text1"/>
        </w:rPr>
      </w:pPr>
    </w:p>
    <w:p w14:paraId="204DC1E1" w14:textId="77777777" w:rsidR="00D05B6A" w:rsidRPr="00D03DE5" w:rsidRDefault="00D05B6A" w:rsidP="00D05B6A">
      <w:pPr>
        <w:spacing w:line="360" w:lineRule="auto"/>
        <w:rPr>
          <w:color w:val="000000" w:themeColor="text1"/>
        </w:rPr>
      </w:pPr>
      <w:r w:rsidRPr="00D03DE5">
        <w:rPr>
          <w:color w:val="000000" w:themeColor="text1"/>
        </w:rPr>
        <w:t>Substitute the assigned values for each factor:</w:t>
      </w:r>
    </w:p>
    <w:p w14:paraId="62139EEB" w14:textId="77777777" w:rsidR="00D05B6A" w:rsidRPr="00D03DE5" w:rsidRDefault="00D05B6A" w:rsidP="00D05B6A">
      <w:pPr>
        <w:spacing w:line="360" w:lineRule="auto"/>
        <w:rPr>
          <w:color w:val="000000" w:themeColor="text1"/>
        </w:rPr>
      </w:pPr>
    </w:p>
    <w:p w14:paraId="25C48779" w14:textId="77777777" w:rsidR="00D05B6A" w:rsidRPr="00D03DE5" w:rsidRDefault="00D05B6A" w:rsidP="00D05B6A">
      <w:pPr>
        <w:spacing w:line="360" w:lineRule="auto"/>
        <w:rPr>
          <w:rFonts w:eastAsiaTheme="minorEastAsia"/>
          <w:color w:val="000000" w:themeColor="text1"/>
        </w:rPr>
      </w:pPr>
      <m:oMathPara>
        <m:oMath>
          <m:r>
            <w:rPr>
              <w:rFonts w:ascii="Cambria Math" w:hAnsi="Cambria Math"/>
              <w:color w:val="000000" w:themeColor="text1"/>
            </w:rPr>
            <m:t>Peff=0.75*0.25*0.15</m:t>
          </m:r>
          <m:r>
            <w:rPr>
              <w:rFonts w:ascii="Cambria Math" w:eastAsiaTheme="minorEastAsia" w:hAnsi="Cambria Math"/>
              <w:color w:val="000000" w:themeColor="text1"/>
            </w:rPr>
            <m:t>*0.05*0.3*0.2*0.1</m:t>
          </m:r>
        </m:oMath>
      </m:oMathPara>
    </w:p>
    <w:p w14:paraId="7F8DE839" w14:textId="77777777" w:rsidR="00D05B6A" w:rsidRPr="00D03DE5" w:rsidRDefault="00D05B6A" w:rsidP="00D05B6A">
      <w:pPr>
        <w:spacing w:line="360" w:lineRule="auto"/>
        <w:rPr>
          <w:color w:val="000000" w:themeColor="text1"/>
        </w:rPr>
      </w:pPr>
    </w:p>
    <w:p w14:paraId="0212C68D" w14:textId="77777777" w:rsidR="00D05B6A" w:rsidRPr="00D03DE5" w:rsidRDefault="00D05B6A" w:rsidP="00D05B6A">
      <w:pPr>
        <w:spacing w:line="360" w:lineRule="auto"/>
        <w:rPr>
          <w:color w:val="000000" w:themeColor="text1"/>
        </w:rPr>
      </w:pPr>
      <m:oMathPara>
        <m:oMath>
          <m:r>
            <w:rPr>
              <w:rFonts w:ascii="Cambria Math" w:hAnsi="Cambria Math"/>
              <w:color w:val="000000" w:themeColor="text1"/>
            </w:rPr>
            <m:t>Peff=0.00003375=0.003375%</m:t>
          </m:r>
        </m:oMath>
      </m:oMathPara>
    </w:p>
    <w:p w14:paraId="2557BBCF" w14:textId="77777777" w:rsidR="00D05B6A" w:rsidRPr="00D03DE5" w:rsidRDefault="00D05B6A" w:rsidP="00D05B6A">
      <w:pPr>
        <w:spacing w:line="360" w:lineRule="auto"/>
        <w:rPr>
          <w:color w:val="000000" w:themeColor="text1"/>
        </w:rPr>
      </w:pPr>
    </w:p>
    <w:p w14:paraId="31CCAA9A" w14:textId="77777777" w:rsidR="00D05B6A" w:rsidRPr="00D03DE5" w:rsidRDefault="00D05B6A" w:rsidP="00D05B6A">
      <w:pPr>
        <w:spacing w:line="360" w:lineRule="auto"/>
        <w:rPr>
          <w:color w:val="000000" w:themeColor="text1"/>
        </w:rPr>
      </w:pPr>
      <w:r w:rsidRPr="00D03DE5">
        <w:rPr>
          <w:color w:val="000000" w:themeColor="text1"/>
        </w:rPr>
        <w:t xml:space="preserve">This equates to </w:t>
      </w:r>
      <w:r w:rsidRPr="00D03DE5">
        <w:rPr>
          <w:i/>
          <w:iCs/>
          <w:color w:val="000000" w:themeColor="text1"/>
        </w:rPr>
        <w:t>a 0.003375%</w:t>
      </w:r>
      <w:r w:rsidRPr="00D03DE5">
        <w:rPr>
          <w:b/>
          <w:bCs/>
          <w:color w:val="000000" w:themeColor="text1"/>
        </w:rPr>
        <w:t xml:space="preserve"> </w:t>
      </w:r>
      <w:r w:rsidRPr="00D03DE5">
        <w:rPr>
          <w:color w:val="000000" w:themeColor="text1"/>
        </w:rPr>
        <w:t>probability of Simufilam achieving clinical efficacy in treating AD.</w:t>
      </w:r>
    </w:p>
    <w:p w14:paraId="13B99B7B" w14:textId="77777777" w:rsidR="00D05B6A" w:rsidRDefault="00D05B6A" w:rsidP="00D05B6A">
      <w:pPr>
        <w:spacing w:line="360" w:lineRule="auto"/>
        <w:rPr>
          <w:color w:val="000000" w:themeColor="text1"/>
        </w:rPr>
      </w:pPr>
    </w:p>
    <w:p w14:paraId="528E86BD" w14:textId="77777777" w:rsidR="00D05B6A" w:rsidRDefault="00D05B6A" w:rsidP="00D05B6A">
      <w:pPr>
        <w:spacing w:line="360" w:lineRule="auto"/>
        <w:rPr>
          <w:color w:val="000000" w:themeColor="text1"/>
        </w:rPr>
      </w:pPr>
    </w:p>
    <w:p w14:paraId="40D3DE52" w14:textId="3E8FD542" w:rsidR="00D05B6A" w:rsidRDefault="5183A6D9" w:rsidP="00D05B6A">
      <w:pPr>
        <w:pStyle w:val="Heading2"/>
        <w:rPr>
          <w:color w:val="000000" w:themeColor="text1"/>
        </w:rPr>
      </w:pPr>
      <w:bookmarkStart w:id="57" w:name="_Toc1867953434"/>
      <w:r w:rsidRPr="5183A6D9">
        <w:rPr>
          <w:color w:val="000000" w:themeColor="text1"/>
        </w:rPr>
        <w:t>Final Probability</w:t>
      </w:r>
      <w:bookmarkEnd w:id="57"/>
    </w:p>
    <w:p w14:paraId="1B04CB94" w14:textId="061C311B" w:rsidR="00D05B6A" w:rsidRDefault="5183A6D9" w:rsidP="00D05B6A">
      <w:pPr>
        <w:spacing w:line="360" w:lineRule="auto"/>
        <w:jc w:val="both"/>
      </w:pPr>
      <w:r>
        <w:t>We estimate a POS for Simufilam in its Phase III trials to be between 0.00032% and 0.0034%, indicating a high statistical likelihood of failure. While these numbers may support a strategy of shorting the stock, it’s important to acknowledge the inherent unpredictability in drug development, which can sometimes defy statistical odds. Top of Form</w:t>
      </w:r>
    </w:p>
    <w:p w14:paraId="580DE20E" w14:textId="77777777" w:rsidR="00B13D4A" w:rsidRDefault="00B13D4A" w:rsidP="00FD21A0">
      <w:pPr>
        <w:spacing w:line="360" w:lineRule="auto"/>
      </w:pPr>
    </w:p>
    <w:p w14:paraId="272B3EB4" w14:textId="77777777" w:rsidR="00B13D4A" w:rsidRDefault="00B13D4A" w:rsidP="00FD21A0">
      <w:pPr>
        <w:spacing w:line="360" w:lineRule="auto"/>
      </w:pPr>
    </w:p>
    <w:p w14:paraId="52F6D1AF" w14:textId="77777777" w:rsidR="00572890" w:rsidRDefault="00572890" w:rsidP="00FD21A0">
      <w:pPr>
        <w:spacing w:line="360" w:lineRule="auto"/>
      </w:pPr>
    </w:p>
    <w:p w14:paraId="10883090" w14:textId="77777777" w:rsidR="00572890" w:rsidRPr="001836F4" w:rsidRDefault="00572890" w:rsidP="00FD21A0">
      <w:pPr>
        <w:spacing w:line="360" w:lineRule="auto"/>
      </w:pPr>
    </w:p>
    <w:p w14:paraId="4896401E" w14:textId="03C4B0E1" w:rsidR="00FD21A0" w:rsidRPr="001836F4" w:rsidRDefault="5183A6D9" w:rsidP="5183A6D9">
      <w:pPr>
        <w:pStyle w:val="Heading1"/>
        <w:rPr>
          <w:rFonts w:ascii="Times New Roman" w:eastAsia="Times New Roman" w:hAnsi="Times New Roman" w:cs="Times New Roman"/>
          <w:b/>
          <w:bCs/>
          <w:color w:val="auto"/>
        </w:rPr>
      </w:pPr>
      <w:bookmarkStart w:id="58" w:name="_Toc996571553"/>
      <w:r w:rsidRPr="5183A6D9">
        <w:rPr>
          <w:rFonts w:ascii="Times New Roman" w:eastAsia="Times New Roman" w:hAnsi="Times New Roman" w:cs="Times New Roman"/>
          <w:b/>
          <w:bCs/>
          <w:color w:val="auto"/>
        </w:rPr>
        <w:t>Non-Scientific Reasons Why We Are Shorting Cassava Sciences</w:t>
      </w:r>
      <w:bookmarkEnd w:id="58"/>
    </w:p>
    <w:p w14:paraId="3C25480E" w14:textId="0551BDE4" w:rsidR="00FE36C5" w:rsidRPr="001836F4" w:rsidRDefault="004B4E40" w:rsidP="00F84A37">
      <w:pPr>
        <w:spacing w:line="360" w:lineRule="auto"/>
        <w:jc w:val="both"/>
      </w:pPr>
      <w:r w:rsidRPr="004B4E40">
        <w:t xml:space="preserve">In the second part of this </w:t>
      </w:r>
      <w:r w:rsidR="5D119E19" w:rsidRPr="001836F4">
        <w:t>paper</w:t>
      </w:r>
      <w:r w:rsidRPr="004B4E40">
        <w:t xml:space="preserve">, we shift our focus from the scientific basis of Cassava Sciences’ drug Simufilam to the </w:t>
      </w:r>
      <w:r w:rsidR="00BC6D8C" w:rsidRPr="00BC6D8C">
        <w:t>numerous</w:t>
      </w:r>
      <w:r w:rsidR="00BC6D8C">
        <w:t xml:space="preserve"> </w:t>
      </w:r>
      <w:r w:rsidRPr="004B4E40">
        <w:t xml:space="preserve">allegations and legal controversies surrounding the company. </w:t>
      </w:r>
      <w:r w:rsidR="00740250" w:rsidRPr="001836F4">
        <w:t>W</w:t>
      </w:r>
      <w:r w:rsidRPr="004B4E40">
        <w:t xml:space="preserve">e believe it is essential to examine the various claims of misconduct, data manipulation, and questionable practices that have surfaced. These allegations paint a troubling picture of a company under siege from numerous fronts, and while the scientific side of Cassava’s drug development has raised significant concerns, </w:t>
      </w:r>
      <w:r w:rsidR="0097488A" w:rsidRPr="0097488A">
        <w:t>the allegations surrounding the company further reinforce our beliefs</w:t>
      </w:r>
      <w:r w:rsidR="620F4837" w:rsidRPr="001836F4">
        <w:t>.</w:t>
      </w:r>
      <w:r w:rsidR="00FE36C5" w:rsidRPr="001836F4">
        <w:t xml:space="preserve"> </w:t>
      </w:r>
      <w:r w:rsidR="00FE36C5" w:rsidRPr="007369A4">
        <w:t xml:space="preserve">The decision to short Cassava </w:t>
      </w:r>
      <w:r w:rsidR="620F4837" w:rsidRPr="001836F4">
        <w:t>Sciences'</w:t>
      </w:r>
      <w:r w:rsidR="00FE36C5" w:rsidRPr="007369A4">
        <w:t xml:space="preserve"> stock can be solidified by </w:t>
      </w:r>
      <w:r w:rsidR="650012BA" w:rsidRPr="001836F4">
        <w:t>several</w:t>
      </w:r>
      <w:r w:rsidR="00FE36C5" w:rsidRPr="007369A4">
        <w:t xml:space="preserve"> non-scientific concerns surrounding the company</w:t>
      </w:r>
      <w:r w:rsidR="620F4837" w:rsidRPr="001836F4">
        <w:t>. Comprising of</w:t>
      </w:r>
      <w:r w:rsidR="00FE36C5" w:rsidRPr="007369A4">
        <w:t xml:space="preserve"> its clinical trials, and its management's conduct. </w:t>
      </w:r>
      <w:r w:rsidR="00FE36C5" w:rsidRPr="007369A4">
        <w:lastRenderedPageBreak/>
        <w:t>This section aims to expand on the unethical and dubious activities involving compensation schemes, questionable personnel overseeing trials, and the broader manipulation of trial data</w:t>
      </w:r>
      <w:r w:rsidR="650012BA" w:rsidRPr="001836F4">
        <w:t xml:space="preserve"> – reported by the SEC in part.</w:t>
      </w:r>
      <w:r w:rsidR="00FE36C5" w:rsidRPr="007369A4">
        <w:t xml:space="preserve"> All these factors contribute to the rationale </w:t>
      </w:r>
      <w:r w:rsidR="650012BA" w:rsidRPr="001836F4">
        <w:t>to take a short position on</w:t>
      </w:r>
      <w:r w:rsidR="00FE36C5" w:rsidRPr="007369A4">
        <w:t xml:space="preserve"> the stock, highlighting the company's inability to sustain its current value.</w:t>
      </w:r>
    </w:p>
    <w:p w14:paraId="4F087D54" w14:textId="7D4A2629" w:rsidR="004B4E40" w:rsidRPr="004B4E40" w:rsidRDefault="004B4E40" w:rsidP="00F84A37">
      <w:pPr>
        <w:spacing w:line="360" w:lineRule="auto"/>
        <w:jc w:val="both"/>
      </w:pPr>
    </w:p>
    <w:p w14:paraId="3DCEB826" w14:textId="77777777" w:rsidR="00C2160B" w:rsidRPr="001836F4" w:rsidRDefault="00C2160B" w:rsidP="00F84A37">
      <w:pPr>
        <w:spacing w:line="360" w:lineRule="auto"/>
        <w:jc w:val="both"/>
      </w:pPr>
    </w:p>
    <w:p w14:paraId="6F2E9EDF" w14:textId="37B57D9F" w:rsidR="000857E9" w:rsidRPr="001836F4" w:rsidRDefault="5183A6D9" w:rsidP="5183A6D9">
      <w:pPr>
        <w:pStyle w:val="Heading2"/>
        <w:rPr>
          <w:rFonts w:ascii="Times New Roman" w:eastAsia="Times New Roman" w:hAnsi="Times New Roman" w:cs="Times New Roman"/>
          <w:b/>
          <w:bCs/>
          <w:color w:val="auto"/>
        </w:rPr>
      </w:pPr>
      <w:bookmarkStart w:id="59" w:name="_Toc2144265071"/>
      <w:r w:rsidRPr="5183A6D9">
        <w:rPr>
          <w:rFonts w:ascii="Times New Roman" w:eastAsia="Times New Roman" w:hAnsi="Times New Roman" w:cs="Times New Roman"/>
          <w:b/>
          <w:bCs/>
          <w:color w:val="auto"/>
        </w:rPr>
        <w:t>1.FLNA: A Target Nobody Believes In</w:t>
      </w:r>
      <w:bookmarkEnd w:id="59"/>
    </w:p>
    <w:p w14:paraId="6A91B617" w14:textId="0A2BC196" w:rsidR="000857E9" w:rsidRPr="001836F4" w:rsidRDefault="000857E9" w:rsidP="00F84A37">
      <w:pPr>
        <w:spacing w:line="360" w:lineRule="auto"/>
        <w:jc w:val="both"/>
      </w:pPr>
      <w:r w:rsidRPr="00D8004D">
        <w:t xml:space="preserve">One of the clearest indicators that Simufilam is built on </w:t>
      </w:r>
      <w:r w:rsidRPr="001836F4">
        <w:t>questionable scientific</w:t>
      </w:r>
      <w:r w:rsidRPr="00D8004D">
        <w:t xml:space="preserve"> </w:t>
      </w:r>
      <w:r w:rsidR="650012BA" w:rsidRPr="001836F4">
        <w:t>ground</w:t>
      </w:r>
      <w:r w:rsidRPr="00D8004D">
        <w:t xml:space="preserve"> is the </w:t>
      </w:r>
      <w:r w:rsidR="00EB1E5A" w:rsidRPr="001836F4">
        <w:t>limited interest</w:t>
      </w:r>
      <w:r w:rsidRPr="00D8004D">
        <w:t xml:space="preserve"> in FLNA as a </w:t>
      </w:r>
      <w:r w:rsidR="00BC184A" w:rsidRPr="001836F4">
        <w:t xml:space="preserve">therapeutic </w:t>
      </w:r>
      <w:r w:rsidRPr="00D8004D">
        <w:t>target for</w:t>
      </w:r>
      <w:r w:rsidRPr="001836F4">
        <w:t xml:space="preserve"> </w:t>
      </w:r>
      <w:r w:rsidRPr="00D8004D">
        <w:t>AD</w:t>
      </w:r>
      <w:r w:rsidR="005350F5">
        <w:t xml:space="preserve"> </w:t>
      </w:r>
      <w:r w:rsidR="005350F5" w:rsidRPr="005350F5">
        <w:t>(</w:t>
      </w:r>
      <w:hyperlink r:id="rId148" w:history="1">
        <w:r w:rsidR="005350F5" w:rsidRPr="00E156D0">
          <w:rPr>
            <w:rStyle w:val="Hyperlink"/>
            <w:i/>
            <w:iCs/>
          </w:rPr>
          <w:t>FLNA Alzheimer - Search Results - PubMed</w:t>
        </w:r>
        <w:r w:rsidR="005350F5" w:rsidRPr="00E156D0">
          <w:rPr>
            <w:rStyle w:val="Hyperlink"/>
          </w:rPr>
          <w:t xml:space="preserve">, </w:t>
        </w:r>
        <w:r w:rsidR="00E156D0" w:rsidRPr="00E156D0">
          <w:rPr>
            <w:rStyle w:val="Hyperlink"/>
          </w:rPr>
          <w:t>2024</w:t>
        </w:r>
      </w:hyperlink>
      <w:r w:rsidR="005350F5" w:rsidRPr="005350F5">
        <w:t>)</w:t>
      </w:r>
      <w:r w:rsidRPr="00D8004D">
        <w:t xml:space="preserve">. If FLNA </w:t>
      </w:r>
      <w:r w:rsidR="00073859">
        <w:t xml:space="preserve">were a blockbuster therapeutic </w:t>
      </w:r>
      <w:r w:rsidRPr="001836F4">
        <w:t>target</w:t>
      </w:r>
      <w:r w:rsidRPr="00D8004D">
        <w:t xml:space="preserve"> </w:t>
      </w:r>
      <w:r w:rsidR="00EB1E5A" w:rsidRPr="001836F4">
        <w:t xml:space="preserve">for the treatment </w:t>
      </w:r>
      <w:r w:rsidRPr="00D8004D">
        <w:t>o</w:t>
      </w:r>
      <w:r w:rsidR="00D677A2" w:rsidRPr="001836F4">
        <w:t xml:space="preserve">f </w:t>
      </w:r>
      <w:r w:rsidRPr="00D8004D">
        <w:t>A</w:t>
      </w:r>
      <w:r w:rsidR="00D677A2" w:rsidRPr="001836F4">
        <w:t>D</w:t>
      </w:r>
      <w:r w:rsidRPr="00D8004D">
        <w:t xml:space="preserve">, it would have </w:t>
      </w:r>
      <w:r w:rsidR="005D7C7C" w:rsidRPr="001836F4">
        <w:t xml:space="preserve">garnered </w:t>
      </w:r>
      <w:r w:rsidR="00A03B76">
        <w:t>f</w:t>
      </w:r>
      <w:r w:rsidR="005D7C7C" w:rsidRPr="001836F4">
        <w:t>a</w:t>
      </w:r>
      <w:r w:rsidR="00A03B76">
        <w:t>r</w:t>
      </w:r>
      <w:r w:rsidR="005D7C7C" w:rsidRPr="001836F4">
        <w:t xml:space="preserve"> more</w:t>
      </w:r>
      <w:r w:rsidRPr="00D8004D">
        <w:t xml:space="preserve"> attention from the scientific community. </w:t>
      </w:r>
      <w:r w:rsidR="00145A4A" w:rsidRPr="001836F4">
        <w:t xml:space="preserve">However, to date, </w:t>
      </w:r>
      <w:r w:rsidR="00E76100" w:rsidRPr="00E76100">
        <w:t>Cassava Sciences is all but the only biotech to test this hypothesis.</w:t>
      </w:r>
      <w:r w:rsidR="00133E24" w:rsidRPr="001836F4">
        <w:t xml:space="preserve"> Since FLNA was first proposed as a target for AD in 2012</w:t>
      </w:r>
      <w:r w:rsidRPr="00D8004D">
        <w:t xml:space="preserve">, </w:t>
      </w:r>
      <w:r w:rsidR="00E51672" w:rsidRPr="001836F4">
        <w:t xml:space="preserve">only 14 research articles have been published on </w:t>
      </w:r>
      <w:r w:rsidR="5D119E19" w:rsidRPr="001836F4">
        <w:t>it, and this</w:t>
      </w:r>
      <w:r w:rsidR="00E51672" w:rsidRPr="001836F4">
        <w:t xml:space="preserve">, despite over a decade of research in </w:t>
      </w:r>
      <w:r w:rsidR="5D119E19" w:rsidRPr="001836F4">
        <w:t xml:space="preserve">the </w:t>
      </w:r>
      <w:r w:rsidR="00E51672" w:rsidRPr="001836F4">
        <w:t>field</w:t>
      </w:r>
      <w:r w:rsidR="00986B93">
        <w:t xml:space="preserve"> </w:t>
      </w:r>
      <w:r w:rsidR="00986B93" w:rsidRPr="005350F5">
        <w:t>(</w:t>
      </w:r>
      <w:hyperlink r:id="rId149" w:history="1">
        <w:r w:rsidR="00986B93" w:rsidRPr="00E156D0">
          <w:rPr>
            <w:rStyle w:val="Hyperlink"/>
            <w:i/>
            <w:iCs/>
          </w:rPr>
          <w:t>FLNA Alzheimer - Search Results - PubMed</w:t>
        </w:r>
        <w:r w:rsidR="00986B93" w:rsidRPr="00E156D0">
          <w:rPr>
            <w:rStyle w:val="Hyperlink"/>
          </w:rPr>
          <w:t>, 2024</w:t>
        </w:r>
      </w:hyperlink>
      <w:r w:rsidR="00986B93" w:rsidRPr="005350F5">
        <w:t>)</w:t>
      </w:r>
      <w:r w:rsidR="00E51672" w:rsidRPr="001836F4">
        <w:t xml:space="preserve">. Notably, six of these publications are authored by Dr. Hoau-Yan Wang, the </w:t>
      </w:r>
      <w:r w:rsidR="5D119E19" w:rsidRPr="001836F4">
        <w:t>lead</w:t>
      </w:r>
      <w:r w:rsidR="00E51672" w:rsidRPr="001836F4">
        <w:t xml:space="preserve"> researcher </w:t>
      </w:r>
      <w:r w:rsidR="006350B7">
        <w:t xml:space="preserve">of </w:t>
      </w:r>
      <w:r w:rsidR="00E51672" w:rsidRPr="001836F4">
        <w:t>Cassava</w:t>
      </w:r>
      <w:r w:rsidR="006350B7">
        <w:t xml:space="preserve"> Sciences</w:t>
      </w:r>
      <w:r w:rsidR="00E51672" w:rsidRPr="001836F4">
        <w:t>.</w:t>
      </w:r>
    </w:p>
    <w:p w14:paraId="73038278" w14:textId="77777777" w:rsidR="000857E9" w:rsidRPr="00D8004D" w:rsidRDefault="000857E9" w:rsidP="00F84A37">
      <w:pPr>
        <w:spacing w:line="360" w:lineRule="auto"/>
        <w:jc w:val="both"/>
      </w:pPr>
    </w:p>
    <w:p w14:paraId="6DEF1D3F" w14:textId="7672D3A5" w:rsidR="00751E34" w:rsidRPr="00751E34" w:rsidRDefault="00751E34" w:rsidP="00F84A37">
      <w:pPr>
        <w:spacing w:line="360" w:lineRule="auto"/>
        <w:jc w:val="both"/>
      </w:pPr>
      <w:r w:rsidRPr="00751E34">
        <w:t xml:space="preserve">To provide context, between 2012 and </w:t>
      </w:r>
      <w:r w:rsidR="721B52C7" w:rsidRPr="001836F4">
        <w:t>2024 (present day)</w:t>
      </w:r>
      <w:r w:rsidR="000B709E">
        <w:t>,</w:t>
      </w:r>
      <w:r w:rsidRPr="00751E34">
        <w:t xml:space="preserve"> 48,998 papers have been published on </w:t>
      </w:r>
      <w:r w:rsidRPr="00751E34">
        <w:rPr>
          <w:i/>
        </w:rPr>
        <w:t>amyloid and Alzheimer’s disease</w:t>
      </w:r>
      <w:r w:rsidRPr="00751E34">
        <w:t xml:space="preserve"> (</w:t>
      </w:r>
      <w:hyperlink r:id="rId150" w:history="1">
        <w:r w:rsidR="00866134">
          <w:rPr>
            <w:rStyle w:val="Hyperlink"/>
          </w:rPr>
          <w:t>Amyloid Alzheimer - Search Results - PubMed, 2024</w:t>
        </w:r>
      </w:hyperlink>
      <w:r w:rsidR="5D119E19" w:rsidRPr="001836F4">
        <w:t>).</w:t>
      </w:r>
      <w:r w:rsidRPr="00751E34">
        <w:t xml:space="preserve"> Amyloid is one of the most extensively studied </w:t>
      </w:r>
      <w:r w:rsidR="5D119E19" w:rsidRPr="001836F4">
        <w:t>targets</w:t>
      </w:r>
      <w:r w:rsidRPr="00751E34">
        <w:t xml:space="preserve"> in the field</w:t>
      </w:r>
      <w:r w:rsidR="5D119E19" w:rsidRPr="001836F4">
        <w:t>.</w:t>
      </w:r>
      <w:r w:rsidRPr="00751E34">
        <w:t xml:space="preserve"> </w:t>
      </w:r>
      <w:r w:rsidR="00217D48">
        <w:t>Additionally</w:t>
      </w:r>
      <w:r w:rsidR="192B52D3" w:rsidRPr="001836F4">
        <w:t>,</w:t>
      </w:r>
      <w:r w:rsidR="5D119E19" w:rsidRPr="001836F4">
        <w:t xml:space="preserve"> </w:t>
      </w:r>
      <w:r w:rsidRPr="00751E34">
        <w:t>tau</w:t>
      </w:r>
      <w:r w:rsidR="5D119E19" w:rsidRPr="001836F4">
        <w:t xml:space="preserve"> protein</w:t>
      </w:r>
      <w:r w:rsidRPr="00751E34">
        <w:t xml:space="preserve"> </w:t>
      </w:r>
      <w:r w:rsidR="001548D8">
        <w:t>has</w:t>
      </w:r>
      <w:r w:rsidR="192B52D3" w:rsidRPr="001836F4">
        <w:t xml:space="preserve"> also</w:t>
      </w:r>
      <w:r w:rsidR="001548D8">
        <w:t xml:space="preserve"> been a</w:t>
      </w:r>
      <w:r w:rsidR="192B52D3" w:rsidRPr="001836F4">
        <w:t xml:space="preserve"> significant focus </w:t>
      </w:r>
      <w:r w:rsidR="008A21D3">
        <w:t>of</w:t>
      </w:r>
      <w:r w:rsidR="192B52D3" w:rsidRPr="001836F4">
        <w:t xml:space="preserve"> AD research, having</w:t>
      </w:r>
      <w:r w:rsidRPr="00751E34">
        <w:t xml:space="preserve"> 22,216 papers </w:t>
      </w:r>
      <w:r w:rsidR="2DD44FD3" w:rsidRPr="001836F4">
        <w:t xml:space="preserve">published </w:t>
      </w:r>
      <w:r w:rsidRPr="00751E34">
        <w:t>during the same period</w:t>
      </w:r>
      <w:r w:rsidR="2DD44FD3" w:rsidRPr="001836F4">
        <w:t xml:space="preserve"> (</w:t>
      </w:r>
      <w:hyperlink r:id="rId151" w:history="1">
        <w:r w:rsidR="00075696">
          <w:rPr>
            <w:rStyle w:val="Hyperlink"/>
          </w:rPr>
          <w:t>Tau Alzheimer - Search Results - PubMed, 2024</w:t>
        </w:r>
      </w:hyperlink>
      <w:r w:rsidR="2DD44FD3" w:rsidRPr="001836F4">
        <w:t>).</w:t>
      </w:r>
      <w:r w:rsidR="5D119E19" w:rsidRPr="001836F4">
        <w:t xml:space="preserve"> </w:t>
      </w:r>
      <w:r w:rsidR="008C28BC">
        <w:t>Meanwhile</w:t>
      </w:r>
      <w:r w:rsidRPr="00751E34">
        <w:t xml:space="preserve"> microglia</w:t>
      </w:r>
      <w:r w:rsidR="5D119E19" w:rsidRPr="001836F4">
        <w:t xml:space="preserve"> -</w:t>
      </w:r>
      <w:r w:rsidRPr="00751E34">
        <w:t xml:space="preserve"> an emerging </w:t>
      </w:r>
      <w:r w:rsidR="5D119E19" w:rsidRPr="001836F4">
        <w:t xml:space="preserve">target for AD that has spiked </w:t>
      </w:r>
      <w:r w:rsidRPr="00751E34">
        <w:t>interest</w:t>
      </w:r>
      <w:r w:rsidR="5D119E19" w:rsidRPr="001836F4">
        <w:t xml:space="preserve"> in the field in recent years - ha</w:t>
      </w:r>
      <w:r w:rsidR="007A7C99">
        <w:t>ve</w:t>
      </w:r>
      <w:r w:rsidR="5D119E19" w:rsidRPr="001836F4">
        <w:t xml:space="preserve"> been </w:t>
      </w:r>
      <w:r w:rsidR="00C813D7">
        <w:t>the subject of</w:t>
      </w:r>
      <w:r w:rsidRPr="00751E34">
        <w:t xml:space="preserve"> </w:t>
      </w:r>
      <w:r w:rsidR="5FA28C31" w:rsidRPr="0075316C">
        <w:t xml:space="preserve">7,042 </w:t>
      </w:r>
      <w:r w:rsidR="00B203C1">
        <w:t xml:space="preserve">scientific </w:t>
      </w:r>
      <w:r w:rsidR="5FA28C31" w:rsidRPr="0075316C">
        <w:t>publications</w:t>
      </w:r>
      <w:r w:rsidR="5FA28C31">
        <w:t xml:space="preserve"> during the same time period</w:t>
      </w:r>
      <w:r w:rsidR="0075316C">
        <w:t xml:space="preserve"> </w:t>
      </w:r>
      <w:r w:rsidR="0075316C" w:rsidRPr="0075316C">
        <w:t>(</w:t>
      </w:r>
      <w:hyperlink r:id="rId152" w:history="1">
        <w:r w:rsidR="0075316C" w:rsidRPr="0075316C">
          <w:rPr>
            <w:rStyle w:val="Hyperlink"/>
            <w:i/>
            <w:iCs/>
          </w:rPr>
          <w:t>Microglia Alzheimer - Search Results - PubMed</w:t>
        </w:r>
        <w:r w:rsidR="0075316C" w:rsidRPr="0075316C">
          <w:rPr>
            <w:rStyle w:val="Hyperlink"/>
          </w:rPr>
          <w:t>, 2024</w:t>
        </w:r>
      </w:hyperlink>
      <w:r w:rsidR="0075316C">
        <w:t>)</w:t>
      </w:r>
      <w:r w:rsidR="5FA28C31">
        <w:t>.</w:t>
      </w:r>
      <w:r w:rsidRPr="00751E34">
        <w:t xml:space="preserve"> These numbers illustrate that the scientific community is actively investigating multiple pathways in the effort to find a cure for </w:t>
      </w:r>
      <w:r w:rsidR="5D119E19" w:rsidRPr="001836F4">
        <w:t>AD.</w:t>
      </w:r>
      <w:r w:rsidRPr="00751E34">
        <w:t xml:space="preserve"> </w:t>
      </w:r>
      <w:r w:rsidR="2DD44FD3" w:rsidRPr="001836F4">
        <w:t>Still</w:t>
      </w:r>
      <w:r w:rsidRPr="00751E34">
        <w:t xml:space="preserve">, research related to </w:t>
      </w:r>
      <w:r w:rsidRPr="00751E34">
        <w:rPr>
          <w:i/>
        </w:rPr>
        <w:t>FLNA and AD</w:t>
      </w:r>
      <w:r w:rsidRPr="00751E34">
        <w:t xml:space="preserve"> represents </w:t>
      </w:r>
      <w:r w:rsidR="5D119E19" w:rsidRPr="001836F4">
        <w:t xml:space="preserve">only </w:t>
      </w:r>
      <w:r w:rsidR="00E50A83" w:rsidRPr="001836F4">
        <w:t>14 studies</w:t>
      </w:r>
      <w:r w:rsidR="55E5F7D2" w:rsidRPr="001836F4">
        <w:t xml:space="preserve"> over the same time </w:t>
      </w:r>
      <w:r w:rsidR="00E50A83">
        <w:t>period</w:t>
      </w:r>
      <w:r w:rsidR="5D119E19" w:rsidRPr="001836F4">
        <w:t>, with 6 of them made by Dr. Wang.</w:t>
      </w:r>
      <w:r w:rsidRPr="00751E34">
        <w:t xml:space="preserve"> This stark disparity suggests that the scientific community does not consider FLNA to be a promising target for AD research.</w:t>
      </w:r>
    </w:p>
    <w:p w14:paraId="4B068483" w14:textId="77777777" w:rsidR="00751E34" w:rsidRPr="001836F4" w:rsidRDefault="00751E34" w:rsidP="00F84A37">
      <w:pPr>
        <w:spacing w:line="360" w:lineRule="auto"/>
        <w:jc w:val="both"/>
      </w:pPr>
    </w:p>
    <w:p w14:paraId="4021B8C3" w14:textId="518EC5AF" w:rsidR="00751E34" w:rsidRPr="001836F4" w:rsidRDefault="00751E34" w:rsidP="00F84A37">
      <w:pPr>
        <w:spacing w:line="360" w:lineRule="auto"/>
        <w:jc w:val="both"/>
      </w:pPr>
      <w:r w:rsidRPr="00751E34">
        <w:lastRenderedPageBreak/>
        <w:t xml:space="preserve">The </w:t>
      </w:r>
      <w:r w:rsidR="5D119E19" w:rsidRPr="001836F4">
        <w:t>limited amount</w:t>
      </w:r>
      <w:r w:rsidRPr="00751E34">
        <w:t xml:space="preserve"> of research on FLNA is not </w:t>
      </w:r>
      <w:r w:rsidR="00676983">
        <w:t>a</w:t>
      </w:r>
      <w:r w:rsidR="00A13E5A">
        <w:t>c</w:t>
      </w:r>
      <w:r w:rsidRPr="00751E34">
        <w:t xml:space="preserve">cidental; it reflects a lack of confidence from both the scientific and pharmaceutical communities. </w:t>
      </w:r>
      <w:r w:rsidR="002B746B" w:rsidRPr="001836F4">
        <w:t>AD</w:t>
      </w:r>
      <w:r w:rsidRPr="00751E34">
        <w:t xml:space="preserve"> represents a significant global health crisis, with the U.S. alone spending $3</w:t>
      </w:r>
      <w:r w:rsidR="005F045F">
        <w:t>21</w:t>
      </w:r>
      <w:r w:rsidRPr="00751E34">
        <w:t xml:space="preserve"> billion on AD-related care in 202</w:t>
      </w:r>
      <w:r w:rsidR="005F045F">
        <w:t>2</w:t>
      </w:r>
      <w:r w:rsidRPr="00751E34">
        <w:t>, a figure projected to exceed $1 trillion by 2050 (</w:t>
      </w:r>
      <w:hyperlink r:id="rId153">
        <w:r w:rsidR="5916FABD" w:rsidRPr="5916FABD">
          <w:rPr>
            <w:rStyle w:val="Hyperlink"/>
          </w:rPr>
          <w:t>PharmD, 2022</w:t>
        </w:r>
      </w:hyperlink>
      <w:r w:rsidR="5916FABD">
        <w:t>).</w:t>
      </w:r>
      <w:r w:rsidRPr="00751E34">
        <w:t xml:space="preserve"> Any company that successfully develops an effective treatment for AD stands to gain substantial financial returns.</w:t>
      </w:r>
      <w:r w:rsidR="009F71A3" w:rsidRPr="001836F4">
        <w:t xml:space="preserve"> </w:t>
      </w:r>
      <w:r w:rsidRPr="00751E34">
        <w:t xml:space="preserve">Major pharmaceutical </w:t>
      </w:r>
      <w:r w:rsidR="5D119E19" w:rsidRPr="001836F4">
        <w:t>companies</w:t>
      </w:r>
      <w:r w:rsidRPr="00751E34">
        <w:t xml:space="preserve"> such as Eli Lilly, Biogen, and Roche have invested billions of dollars in </w:t>
      </w:r>
      <w:r w:rsidR="5D119E19" w:rsidRPr="001836F4">
        <w:t xml:space="preserve">the </w:t>
      </w:r>
      <w:r w:rsidRPr="00751E34">
        <w:t xml:space="preserve">research </w:t>
      </w:r>
      <w:r w:rsidR="5D119E19" w:rsidRPr="001836F4">
        <w:t>of</w:t>
      </w:r>
      <w:r w:rsidRPr="00751E34">
        <w:t xml:space="preserve"> amyloid, tau, and microglia </w:t>
      </w:r>
      <w:r w:rsidR="000F3490" w:rsidRPr="000F3490">
        <w:t>(</w:t>
      </w:r>
      <w:hyperlink r:id="rId154" w:history="1">
        <w:r w:rsidR="000F3490" w:rsidRPr="000F3490">
          <w:rPr>
            <w:rStyle w:val="Hyperlink"/>
          </w:rPr>
          <w:t>Cummings et al., 2021</w:t>
        </w:r>
      </w:hyperlink>
      <w:r w:rsidRPr="00751E34">
        <w:t xml:space="preserve">). If FLNA </w:t>
      </w:r>
      <w:r w:rsidR="13295224" w:rsidRPr="001836F4">
        <w:t>were</w:t>
      </w:r>
      <w:r w:rsidRPr="00751E34">
        <w:t xml:space="preserve"> a credible target for treating AD, these companies would have pursued it. The fact that no pharmaceutical </w:t>
      </w:r>
      <w:r w:rsidR="5D119E19" w:rsidRPr="001836F4">
        <w:t>companies</w:t>
      </w:r>
      <w:r w:rsidRPr="00751E34">
        <w:t xml:space="preserve"> have explored FLNA as a </w:t>
      </w:r>
      <w:r w:rsidR="13295224" w:rsidRPr="001836F4">
        <w:t xml:space="preserve">sole </w:t>
      </w:r>
      <w:r w:rsidRPr="00751E34">
        <w:t>target</w:t>
      </w:r>
      <w:r w:rsidR="5D119E19" w:rsidRPr="001836F4">
        <w:t xml:space="preserve">, </w:t>
      </w:r>
      <w:r w:rsidR="13295224" w:rsidRPr="001836F4">
        <w:t>indicates</w:t>
      </w:r>
      <w:r w:rsidRPr="00751E34">
        <w:t xml:space="preserve"> that it is not considered a viable approach</w:t>
      </w:r>
      <w:r w:rsidR="5D119E19" w:rsidRPr="001836F4">
        <w:t xml:space="preserve"> to </w:t>
      </w:r>
      <w:r w:rsidR="0062451A" w:rsidRPr="001836F4">
        <w:t xml:space="preserve">cure </w:t>
      </w:r>
      <w:r w:rsidR="0062451A">
        <w:t>AD.</w:t>
      </w:r>
    </w:p>
    <w:p w14:paraId="3DC31E19" w14:textId="77777777" w:rsidR="00751E34" w:rsidRPr="00751E34" w:rsidRDefault="00751E34" w:rsidP="00F84A37">
      <w:pPr>
        <w:spacing w:line="360" w:lineRule="auto"/>
        <w:jc w:val="both"/>
      </w:pPr>
    </w:p>
    <w:p w14:paraId="5AE90DF1" w14:textId="549315F0" w:rsidR="13295224" w:rsidRPr="001836F4" w:rsidRDefault="13295224" w:rsidP="13295224">
      <w:pPr>
        <w:spacing w:line="360" w:lineRule="auto"/>
        <w:jc w:val="both"/>
        <w:rPr>
          <w:i/>
          <w:iCs/>
          <w:highlight w:val="yellow"/>
        </w:rPr>
      </w:pPr>
      <w:r w:rsidRPr="001836F4">
        <w:t xml:space="preserve">Dr. Wang first focused on </w:t>
      </w:r>
      <w:r w:rsidR="00096697">
        <w:t>Remoxy</w:t>
      </w:r>
      <w:r w:rsidRPr="001836F4">
        <w:t xml:space="preserve"> – a drug aimed at opioid overdose – that unfortunately failed to deliver positive results. One year later, Dr. Wang shifted his focus on AD, bringing with him his </w:t>
      </w:r>
      <w:r w:rsidR="4374AA5B">
        <w:t>(</w:t>
      </w:r>
      <w:r w:rsidR="17F04270">
        <w:t xml:space="preserve">Naloxone) </w:t>
      </w:r>
      <w:r w:rsidRPr="001836F4">
        <w:t>theory that FLNA could be a therapeutic pathway</w:t>
      </w:r>
      <w:r w:rsidR="0B7B770F">
        <w:t>.</w:t>
      </w:r>
      <w:r w:rsidRPr="001836F4">
        <w:t xml:space="preserve"> </w:t>
      </w:r>
      <w:r w:rsidR="768F5980">
        <w:t>Despite</w:t>
      </w:r>
      <w:r w:rsidRPr="001836F4">
        <w:t xml:space="preserve"> the vast differences in pathophysiology of these conditions – AD vs. Opioid overdose. This sudden change raises additional questions to the long list of existing inquiries, raising doubts on the scientific basis of FLNA as a target for AD - </w:t>
      </w:r>
      <w:hyperlink w:anchor="_4._Naloxone_Binding">
        <w:r w:rsidR="4374AA5B" w:rsidRPr="4374AA5B">
          <w:rPr>
            <w:rStyle w:val="Hyperlink"/>
          </w:rPr>
          <w:t xml:space="preserve">see section </w:t>
        </w:r>
        <w:r w:rsidR="4374AA5B" w:rsidRPr="4374AA5B">
          <w:rPr>
            <w:rStyle w:val="Hyperlink"/>
            <w:i/>
            <w:iCs/>
          </w:rPr>
          <w:t>4, Naloxone Binding to FLNA and the VAKGL Peptide</w:t>
        </w:r>
      </w:hyperlink>
      <w:r w:rsidR="4374AA5B" w:rsidRPr="4374AA5B">
        <w:rPr>
          <w:i/>
          <w:iCs/>
        </w:rPr>
        <w:t>.</w:t>
      </w:r>
    </w:p>
    <w:p w14:paraId="54483398" w14:textId="77777777" w:rsidR="00751E34" w:rsidRPr="00751E34" w:rsidRDefault="00751E34" w:rsidP="00F84A37">
      <w:pPr>
        <w:spacing w:line="360" w:lineRule="auto"/>
        <w:jc w:val="both"/>
      </w:pPr>
    </w:p>
    <w:p w14:paraId="3F308999" w14:textId="141CC1B4" w:rsidR="00751E34" w:rsidRPr="00751E34" w:rsidRDefault="3CCA9F2B" w:rsidP="00F84A37">
      <w:pPr>
        <w:spacing w:line="360" w:lineRule="auto"/>
        <w:jc w:val="both"/>
      </w:pPr>
      <w:r w:rsidRPr="001836F4">
        <w:t>If</w:t>
      </w:r>
      <w:r w:rsidR="00365E88" w:rsidRPr="001836F4">
        <w:t xml:space="preserve"> FLNA</w:t>
      </w:r>
      <w:r w:rsidR="00751E34" w:rsidRPr="00751E34">
        <w:t xml:space="preserve"> represented a genuine breakthrough in AD research</w:t>
      </w:r>
      <w:r w:rsidR="5D119E19" w:rsidRPr="001836F4">
        <w:t>. It</w:t>
      </w:r>
      <w:r w:rsidR="00751E34" w:rsidRPr="00751E34">
        <w:t xml:space="preserve"> is unclear why, over the course of a decade, no other researchers or institutions, aside from Dr. Wang and Cassava Sciences, have pursued </w:t>
      </w:r>
      <w:r w:rsidR="5D119E19" w:rsidRPr="001836F4">
        <w:t xml:space="preserve">FLNA </w:t>
      </w:r>
      <w:r w:rsidR="00751E34" w:rsidRPr="00751E34">
        <w:t>as a target. The lack of attention from the scientific community suggests that FLNA is unlikely to play a significant role in the progression of AD or in the development of effective treatments.</w:t>
      </w:r>
    </w:p>
    <w:p w14:paraId="6B735395" w14:textId="77777777" w:rsidR="0062451A" w:rsidRDefault="0062451A" w:rsidP="00F84A37">
      <w:pPr>
        <w:spacing w:line="360" w:lineRule="auto"/>
        <w:jc w:val="both"/>
      </w:pPr>
    </w:p>
    <w:p w14:paraId="441B95CA" w14:textId="3E1476B8" w:rsidR="00751E34" w:rsidRPr="00751E34" w:rsidRDefault="00751E34" w:rsidP="00F84A37">
      <w:pPr>
        <w:spacing w:line="360" w:lineRule="auto"/>
        <w:jc w:val="both"/>
      </w:pPr>
      <w:r w:rsidRPr="00751E34">
        <w:t>In conclusion, Cassava Sciences is promoting a hypothesis that lacks support from the scientific community</w:t>
      </w:r>
      <w:r w:rsidR="5D119E19" w:rsidRPr="001836F4">
        <w:t>.</w:t>
      </w:r>
      <w:r w:rsidRPr="00751E34">
        <w:t xml:space="preserve"> Given the critical importance of </w:t>
      </w:r>
      <w:r w:rsidR="00CE4E0A">
        <w:t>AD</w:t>
      </w:r>
      <w:r w:rsidRPr="00751E34">
        <w:t xml:space="preserve"> and the substantial financial and scientific resources dedicated to finding a cure, if FLNA were a legitimate target, it would likely have attracted widespread interest and research efforts</w:t>
      </w:r>
      <w:r w:rsidR="0056744C">
        <w:t xml:space="preserve"> </w:t>
      </w:r>
      <w:r w:rsidR="0056744C" w:rsidRPr="0056744C">
        <w:t>(</w:t>
      </w:r>
      <w:hyperlink r:id="rId155" w:history="1">
        <w:r w:rsidR="0056744C" w:rsidRPr="00245D27">
          <w:rPr>
            <w:rStyle w:val="Hyperlink"/>
            <w:i/>
            <w:iCs/>
          </w:rPr>
          <w:t>Investing in Alzheimer’s Research</w:t>
        </w:r>
        <w:r w:rsidR="0056744C" w:rsidRPr="00245D27">
          <w:rPr>
            <w:rStyle w:val="Hyperlink"/>
          </w:rPr>
          <w:t>, 20</w:t>
        </w:r>
        <w:r w:rsidR="00245D27" w:rsidRPr="00245D27">
          <w:rPr>
            <w:rStyle w:val="Hyperlink"/>
          </w:rPr>
          <w:t>2</w:t>
        </w:r>
        <w:r w:rsidR="0056744C" w:rsidRPr="00245D27">
          <w:rPr>
            <w:rStyle w:val="Hyperlink"/>
          </w:rPr>
          <w:t>4</w:t>
        </w:r>
      </w:hyperlink>
      <w:r w:rsidR="0056744C" w:rsidRPr="0056744C">
        <w:t>)</w:t>
      </w:r>
      <w:r w:rsidR="000F3490">
        <w:t xml:space="preserve"> </w:t>
      </w:r>
      <w:r w:rsidR="000F3490" w:rsidRPr="000F3490">
        <w:t>(</w:t>
      </w:r>
      <w:hyperlink r:id="rId156" w:history="1">
        <w:r w:rsidR="000F3490" w:rsidRPr="000F3490">
          <w:rPr>
            <w:rStyle w:val="Hyperlink"/>
          </w:rPr>
          <w:t>Cummings et al., 2021</w:t>
        </w:r>
      </w:hyperlink>
      <w:r w:rsidR="000F3490" w:rsidRPr="000F3490">
        <w:t>)</w:t>
      </w:r>
      <w:r w:rsidRPr="00751E34">
        <w:t>. The absence of such interest strongly indicates that FLNA has little relevance to Alzheimer’s</w:t>
      </w:r>
      <w:r w:rsidR="5D119E19" w:rsidRPr="001836F4">
        <w:t>.</w:t>
      </w:r>
    </w:p>
    <w:p w14:paraId="24204B88" w14:textId="77777777" w:rsidR="000857E9" w:rsidRPr="001836F4" w:rsidRDefault="000857E9" w:rsidP="00F84A37">
      <w:pPr>
        <w:jc w:val="both"/>
      </w:pPr>
    </w:p>
    <w:p w14:paraId="05FE6ABD" w14:textId="77777777" w:rsidR="000857E9" w:rsidRPr="001836F4" w:rsidRDefault="000857E9" w:rsidP="00F84A37">
      <w:pPr>
        <w:jc w:val="both"/>
      </w:pPr>
    </w:p>
    <w:p w14:paraId="0C518F55" w14:textId="55919BF4" w:rsidR="000857E9" w:rsidRPr="001836F4" w:rsidRDefault="5183A6D9" w:rsidP="5183A6D9">
      <w:pPr>
        <w:pStyle w:val="Heading2"/>
        <w:rPr>
          <w:rFonts w:ascii="Times New Roman" w:eastAsia="Times New Roman" w:hAnsi="Times New Roman" w:cs="Times New Roman"/>
          <w:b/>
          <w:bCs/>
          <w:color w:val="auto"/>
        </w:rPr>
      </w:pPr>
      <w:bookmarkStart w:id="60" w:name="_Toc1874165019"/>
      <w:r w:rsidRPr="5183A6D9">
        <w:rPr>
          <w:rFonts w:ascii="Times New Roman" w:eastAsia="Times New Roman" w:hAnsi="Times New Roman" w:cs="Times New Roman"/>
          <w:b/>
          <w:bCs/>
          <w:color w:val="auto"/>
        </w:rPr>
        <w:lastRenderedPageBreak/>
        <w:t>2. All The Retracted Papers of Dr. Wang</w:t>
      </w:r>
      <w:bookmarkEnd w:id="60"/>
    </w:p>
    <w:p w14:paraId="30326AFF" w14:textId="75E7ACE2" w:rsidR="00090A6B" w:rsidRPr="001836F4" w:rsidRDefault="00833A61" w:rsidP="00F84A37">
      <w:pPr>
        <w:spacing w:line="360" w:lineRule="auto"/>
        <w:jc w:val="both"/>
      </w:pPr>
      <w:r w:rsidRPr="00833A61">
        <w:t xml:space="preserve">Dr. Hoau-Yan Wang’s research, which forms the foundation of Cassava Sciences' experimental </w:t>
      </w:r>
      <w:r w:rsidR="00111E03">
        <w:t>AD</w:t>
      </w:r>
      <w:r w:rsidRPr="00833A61">
        <w:t xml:space="preserve"> drug</w:t>
      </w:r>
      <w:r w:rsidR="13295224" w:rsidRPr="001836F4">
        <w:t xml:space="preserve"> -</w:t>
      </w:r>
      <w:r w:rsidRPr="00833A61">
        <w:t xml:space="preserve"> Simufilam</w:t>
      </w:r>
      <w:r w:rsidR="13295224" w:rsidRPr="001836F4">
        <w:t xml:space="preserve"> -</w:t>
      </w:r>
      <w:r w:rsidRPr="00833A61">
        <w:t xml:space="preserve"> has been associated with several retractions and expressions of concern. These issues raise important questions about the reliability of the research underpinning </w:t>
      </w:r>
      <w:r w:rsidRPr="001836F4">
        <w:t>Simufilam</w:t>
      </w:r>
      <w:r w:rsidRPr="00833A61">
        <w:t xml:space="preserve">’s development. Given Wang’s history of data-related issues, it is essential to critically assess the scientific validity of Simufilam’s </w:t>
      </w:r>
      <w:r w:rsidR="004977CA">
        <w:t>MOA</w:t>
      </w:r>
      <w:r w:rsidRPr="00833A61">
        <w:t>.</w:t>
      </w:r>
    </w:p>
    <w:p w14:paraId="296B62F1" w14:textId="77777777" w:rsidR="005441B0" w:rsidRPr="001836F4" w:rsidRDefault="005441B0" w:rsidP="00F84A37">
      <w:pPr>
        <w:spacing w:line="360" w:lineRule="auto"/>
        <w:jc w:val="both"/>
      </w:pPr>
    </w:p>
    <w:p w14:paraId="193F800C" w14:textId="41CE40C6" w:rsidR="00090A6B" w:rsidRPr="001836F4" w:rsidRDefault="5183A6D9" w:rsidP="5183A6D9">
      <w:pPr>
        <w:pStyle w:val="Heading3"/>
        <w:rPr>
          <w:rFonts w:cs="Times New Roman"/>
          <w:b/>
          <w:bCs/>
          <w:color w:val="auto"/>
        </w:rPr>
      </w:pPr>
      <w:bookmarkStart w:id="61" w:name="_Toc1543602166"/>
      <w:r w:rsidRPr="5183A6D9">
        <w:rPr>
          <w:b/>
          <w:bCs/>
          <w:color w:val="auto"/>
        </w:rPr>
        <w:t>The Fragile Foundation of Simufilam’s Mechanism</w:t>
      </w:r>
      <w:bookmarkEnd w:id="61"/>
    </w:p>
    <w:p w14:paraId="29BC2231" w14:textId="40A9E649" w:rsidR="00AF7005" w:rsidRPr="00AF7005" w:rsidRDefault="00AF7005" w:rsidP="00F84A37">
      <w:pPr>
        <w:spacing w:line="360" w:lineRule="auto"/>
        <w:jc w:val="both"/>
      </w:pPr>
      <w:r w:rsidRPr="00AF7005">
        <w:t>Simufilam is based on the hypothesis that altered forms of FLNA contribute to the pathophysiology of A</w:t>
      </w:r>
      <w:r w:rsidR="00CE600E" w:rsidRPr="001836F4">
        <w:t>D</w:t>
      </w:r>
      <w:r w:rsidRPr="00AF7005">
        <w:t xml:space="preserve">, and that correcting these alterations could mitigate disease progression. This hypothesis is largely derived from </w:t>
      </w:r>
      <w:r w:rsidR="18B787A1" w:rsidRPr="001836F4">
        <w:t xml:space="preserve">Dr. </w:t>
      </w:r>
      <w:r w:rsidRPr="00AF7005">
        <w:t xml:space="preserve">Wang’s earlier studies, which are now the subject of considerable scrutiny. The validity of Simufilam’s development must be evaluated </w:t>
      </w:r>
      <w:r w:rsidRPr="001836F4">
        <w:t>considering</w:t>
      </w:r>
      <w:r w:rsidRPr="00AF7005">
        <w:t xml:space="preserve"> these concerns, particularly given the critical role that these studies</w:t>
      </w:r>
      <w:r w:rsidR="00D17646" w:rsidRPr="001836F4">
        <w:t xml:space="preserve"> </w:t>
      </w:r>
      <w:r w:rsidRPr="00AF7005">
        <w:t>play in supporting the drug’s proposed mechanism</w:t>
      </w:r>
      <w:r w:rsidR="00124FDD" w:rsidRPr="001836F4">
        <w:t xml:space="preserve"> </w:t>
      </w:r>
      <w:r w:rsidR="18B787A1" w:rsidRPr="001836F4">
        <w:t xml:space="preserve">- </w:t>
      </w:r>
      <w:r w:rsidR="00124FDD" w:rsidRPr="001836F4">
        <w:t xml:space="preserve">which </w:t>
      </w:r>
      <w:r w:rsidR="18B787A1" w:rsidRPr="001836F4">
        <w:t xml:space="preserve">led to </w:t>
      </w:r>
      <w:r w:rsidR="00EA6EF2">
        <w:t>more than $16 million of</w:t>
      </w:r>
      <w:r w:rsidR="00124FDD" w:rsidRPr="001836F4">
        <w:t xml:space="preserve"> </w:t>
      </w:r>
      <w:r w:rsidR="009371F5">
        <w:t xml:space="preserve"> </w:t>
      </w:r>
      <w:r w:rsidR="00124FDD" w:rsidRPr="001836F4">
        <w:t>NIH grants</w:t>
      </w:r>
      <w:r w:rsidR="00E935AC">
        <w:t xml:space="preserve"> </w:t>
      </w:r>
      <w:r w:rsidR="00E935AC" w:rsidRPr="00E935AC">
        <w:t>(</w:t>
      </w:r>
      <w:hyperlink r:id="rId157" w:history="1">
        <w:r w:rsidR="00E935AC" w:rsidRPr="00C706DB">
          <w:rPr>
            <w:rStyle w:val="Hyperlink"/>
          </w:rPr>
          <w:t>Wosen, 2024</w:t>
        </w:r>
      </w:hyperlink>
      <w:r w:rsidR="00E935AC" w:rsidRPr="00E935AC">
        <w:t>)</w:t>
      </w:r>
      <w:r w:rsidR="005B0AD6">
        <w:t xml:space="preserve">, </w:t>
      </w:r>
      <w:r w:rsidR="009371F5" w:rsidRPr="009371F5">
        <w:t>(</w:t>
      </w:r>
      <w:hyperlink r:id="rId158" w:history="1">
        <w:r w:rsidR="009371F5" w:rsidRPr="009371F5">
          <w:rPr>
            <w:rStyle w:val="Hyperlink"/>
          </w:rPr>
          <w:t>Walker, 2024</w:t>
        </w:r>
      </w:hyperlink>
      <w:r w:rsidR="009371F5" w:rsidRPr="009371F5">
        <w:t>)</w:t>
      </w:r>
      <w:r w:rsidR="00124FDD" w:rsidRPr="001836F4">
        <w:t>.</w:t>
      </w:r>
    </w:p>
    <w:p w14:paraId="4613561A" w14:textId="77777777" w:rsidR="00090A6B" w:rsidRPr="001836F4" w:rsidRDefault="00090A6B" w:rsidP="00F84A37">
      <w:pPr>
        <w:spacing w:line="360" w:lineRule="auto"/>
        <w:jc w:val="both"/>
        <w:rPr>
          <w:b/>
          <w:bCs/>
        </w:rPr>
      </w:pPr>
    </w:p>
    <w:p w14:paraId="6EDB0586" w14:textId="77777777" w:rsidR="00090A6B" w:rsidRPr="001836F4" w:rsidRDefault="5183A6D9" w:rsidP="00F84A37">
      <w:pPr>
        <w:pStyle w:val="Heading4"/>
        <w:jc w:val="both"/>
        <w:rPr>
          <w:rFonts w:cs="Times New Roman"/>
          <w:color w:val="auto"/>
        </w:rPr>
      </w:pPr>
      <w:bookmarkStart w:id="62" w:name="_Toc1849560428"/>
      <w:r w:rsidRPr="5183A6D9">
        <w:rPr>
          <w:rFonts w:cs="Times New Roman"/>
          <w:color w:val="auto"/>
        </w:rPr>
        <w:t>Retractions and Expressions of Concern</w:t>
      </w:r>
      <w:bookmarkEnd w:id="62"/>
    </w:p>
    <w:p w14:paraId="1640C084" w14:textId="4156CB26" w:rsidR="00090A6B" w:rsidRDefault="003D02E2" w:rsidP="00F84A37">
      <w:pPr>
        <w:spacing w:line="360" w:lineRule="auto"/>
        <w:jc w:val="both"/>
      </w:pPr>
      <w:r w:rsidRPr="001836F4">
        <w:t xml:space="preserve">Retractions in scientific literature often indicate significant issues related to data integrity or methodological errors. Several of Wang’s studies have been retracted or are under investigation, particularly those that form the basis </w:t>
      </w:r>
      <w:r w:rsidR="18B787A1" w:rsidRPr="001836F4">
        <w:t>of</w:t>
      </w:r>
      <w:r w:rsidRPr="001836F4">
        <w:t xml:space="preserve"> the FLNA hypothesis.</w:t>
      </w:r>
    </w:p>
    <w:p w14:paraId="20394595" w14:textId="77777777" w:rsidR="00233988" w:rsidRPr="001836F4" w:rsidRDefault="00233988" w:rsidP="00F84A37">
      <w:pPr>
        <w:spacing w:line="360" w:lineRule="auto"/>
        <w:jc w:val="both"/>
      </w:pPr>
    </w:p>
    <w:p w14:paraId="557CD02A" w14:textId="45A8C8BE" w:rsidR="00090A6B" w:rsidRPr="00233988" w:rsidRDefault="00604824" w:rsidP="00233988">
      <w:pPr>
        <w:pStyle w:val="ListParagraph"/>
        <w:numPr>
          <w:ilvl w:val="0"/>
          <w:numId w:val="55"/>
        </w:numPr>
        <w:spacing w:line="360" w:lineRule="auto"/>
      </w:pPr>
      <w:r w:rsidRPr="00604824">
        <w:rPr>
          <w:rFonts w:eastAsiaTheme="majorEastAsia"/>
          <w:b/>
          <w:bCs/>
        </w:rPr>
        <w:t>2008</w:t>
      </w:r>
      <w:r>
        <w:rPr>
          <w:rFonts w:eastAsiaTheme="majorEastAsia"/>
          <w:b/>
          <w:bCs/>
        </w:rPr>
        <w:t xml:space="preserve"> </w:t>
      </w:r>
      <w:r w:rsidRPr="00604824">
        <w:rPr>
          <w:rFonts w:eastAsiaTheme="majorEastAsia"/>
          <w:b/>
          <w:bCs/>
        </w:rPr>
        <w:t>Study: High-Affinity Naloxone Binding to FLNA</w:t>
      </w:r>
      <w:r w:rsidR="00090A6B" w:rsidRPr="001836F4">
        <w:br/>
        <w:t>One of the earliest studies by Wang that relates to his FLNA hypothesis was retracted</w:t>
      </w:r>
      <w:r w:rsidR="18B787A1" w:rsidRPr="001836F4">
        <w:t>,</w:t>
      </w:r>
      <w:r w:rsidR="00090A6B" w:rsidRPr="001836F4">
        <w:t xml:space="preserve"> due to evidence of data manipulation</w:t>
      </w:r>
      <w:r>
        <w:t xml:space="preserve"> </w:t>
      </w:r>
      <w:r w:rsidRPr="00604824">
        <w:t>(</w:t>
      </w:r>
      <w:hyperlink r:id="rId159" w:history="1">
        <w:r w:rsidRPr="00604824">
          <w:rPr>
            <w:rStyle w:val="Hyperlink"/>
          </w:rPr>
          <w:t>Wang &amp; Burns, 2009</w:t>
        </w:r>
      </w:hyperlink>
      <w:r w:rsidRPr="00604824">
        <w:t>)</w:t>
      </w:r>
      <w:r w:rsidR="00090A6B" w:rsidRPr="001836F4">
        <w:t xml:space="preserve">. The study claimed that naloxone binds FLNA with high affinity. However, irregularities in the Western blot data—including obvious splicing—led to the paper’s retraction. Wang defended the data, attributing the issues to image compression artifacts, but was unable to provide the raw data necessary to substantiate his claims. This retraction is particularly significant as it casts doubt on the very foundation of Simufilam’s </w:t>
      </w:r>
      <w:r w:rsidR="004977CA">
        <w:t xml:space="preserve">MOA </w:t>
      </w:r>
      <w:r w:rsidR="00B12875">
        <w:t>(</w:t>
      </w:r>
      <w:hyperlink r:id="rId160" w:history="1">
        <w:r w:rsidR="00F1379A" w:rsidRPr="003F1BAD">
          <w:rPr>
            <w:rStyle w:val="Hyperlink"/>
          </w:rPr>
          <w:t>R</w:t>
        </w:r>
        <w:r w:rsidR="00B12875" w:rsidRPr="003F1BAD">
          <w:rPr>
            <w:rStyle w:val="Hyperlink"/>
          </w:rPr>
          <w:t>etraction Note</w:t>
        </w:r>
        <w:r w:rsidR="003F1BAD" w:rsidRPr="003F1BAD">
          <w:rPr>
            <w:rStyle w:val="Hyperlink"/>
          </w:rPr>
          <w:t>, 2022</w:t>
        </w:r>
      </w:hyperlink>
      <w:r w:rsidR="003F1BAD">
        <w:t>)</w:t>
      </w:r>
      <w:r w:rsidR="004977CA">
        <w:t>.</w:t>
      </w:r>
    </w:p>
    <w:p w14:paraId="304AAC55" w14:textId="77777777" w:rsidR="00090A6B" w:rsidRPr="001836F4" w:rsidRDefault="00090A6B" w:rsidP="00F84A37">
      <w:pPr>
        <w:pStyle w:val="ListParagraph"/>
        <w:spacing w:line="360" w:lineRule="auto"/>
        <w:jc w:val="both"/>
      </w:pPr>
    </w:p>
    <w:p w14:paraId="3BC200E3" w14:textId="31E6A0E3" w:rsidR="00090A6B" w:rsidRPr="001836F4" w:rsidRDefault="5FA28C31" w:rsidP="00EB10F6">
      <w:pPr>
        <w:pStyle w:val="ListParagraph"/>
        <w:numPr>
          <w:ilvl w:val="0"/>
          <w:numId w:val="30"/>
        </w:numPr>
        <w:spacing w:line="360" w:lineRule="auto"/>
      </w:pPr>
      <w:r w:rsidRPr="00D81737">
        <w:rPr>
          <w:rFonts w:eastAsiaTheme="majorEastAsia"/>
          <w:b/>
          <w:bCs/>
        </w:rPr>
        <w:lastRenderedPageBreak/>
        <w:t>2009 Study: Naloxone’s Pentapeptide Binding Site on FLNA</w:t>
      </w:r>
      <w:r w:rsidR="00AC1EBE">
        <w:br/>
      </w:r>
      <w:r w:rsidR="00090A6B" w:rsidRPr="001836F4">
        <w:t>Following the 2008 paper, Wang published another study further detailing naloxone’s interaction with FLNA</w:t>
      </w:r>
      <w:r w:rsidR="00D81737">
        <w:t xml:space="preserve"> </w:t>
      </w:r>
      <w:r w:rsidR="00D81737" w:rsidRPr="00D81737">
        <w:t>(</w:t>
      </w:r>
      <w:hyperlink r:id="rId161" w:history="1">
        <w:r w:rsidR="00D81737" w:rsidRPr="00D81737">
          <w:rPr>
            <w:rStyle w:val="Hyperlink"/>
          </w:rPr>
          <w:t>Wang &amp; Burns, 2009</w:t>
        </w:r>
      </w:hyperlink>
      <w:r w:rsidR="00D81737" w:rsidRPr="00D81737">
        <w:t>)</w:t>
      </w:r>
      <w:r w:rsidR="00090A6B" w:rsidRPr="001836F4">
        <w:t>. This paper faced similar issues, with multiple figures showing signs of manipulation, such as missing controls and suspicious splice lines. Once again,</w:t>
      </w:r>
      <w:r w:rsidR="18B787A1" w:rsidRPr="001836F4">
        <w:t xml:space="preserve"> Dr.</w:t>
      </w:r>
      <w:r w:rsidR="00090A6B" w:rsidRPr="001836F4">
        <w:t xml:space="preserve"> Wang claimed that technical errors, including scanner malfunctions, were responsible for the inconsistencies. Despite these excuses, the journal editors retracted the paper due to the overwhelming evidence of data tampering. This marks a second major strike against the research supporting Simufilam, further eroding confidence in its underlying science</w:t>
      </w:r>
      <w:r w:rsidR="00AC1EBE">
        <w:t xml:space="preserve"> (</w:t>
      </w:r>
      <w:hyperlink r:id="rId162">
        <w:r w:rsidRPr="5FA28C31">
          <w:rPr>
            <w:rStyle w:val="Hyperlink"/>
          </w:rPr>
          <w:t>Retraction Note, 2022</w:t>
        </w:r>
      </w:hyperlink>
      <w:r>
        <w:t>).</w:t>
      </w:r>
    </w:p>
    <w:p w14:paraId="1CA8CD4C" w14:textId="77777777" w:rsidR="00090A6B" w:rsidRPr="001836F4" w:rsidRDefault="00090A6B" w:rsidP="00F84A37">
      <w:pPr>
        <w:pStyle w:val="ListParagraph"/>
        <w:spacing w:line="360" w:lineRule="auto"/>
        <w:jc w:val="both"/>
        <w:rPr>
          <w:b/>
          <w:bCs/>
        </w:rPr>
      </w:pPr>
    </w:p>
    <w:p w14:paraId="6EAE0157" w14:textId="57ACA3D2" w:rsidR="00D44AF3" w:rsidRPr="00FF6FDD" w:rsidRDefault="5FA28C31" w:rsidP="00EB10F6">
      <w:pPr>
        <w:pStyle w:val="ListParagraph"/>
        <w:numPr>
          <w:ilvl w:val="0"/>
          <w:numId w:val="30"/>
        </w:numPr>
        <w:spacing w:line="360" w:lineRule="auto"/>
        <w:rPr>
          <w:b/>
          <w:bCs/>
        </w:rPr>
      </w:pPr>
      <w:r w:rsidRPr="00FC014F">
        <w:rPr>
          <w:b/>
          <w:bCs/>
        </w:rPr>
        <w:t>Dissociating β-Amyloid from α7 Nicotinic Acetylcholine Receptor by a Novel Therapeutic Agent, S 24795, Normalizes α7 Nicotinic Acetylcholine and NMDA Receptor Function in Alzheimer's Disease Brain</w:t>
      </w:r>
    </w:p>
    <w:p w14:paraId="06E26309" w14:textId="533E2C5D" w:rsidR="008316FE" w:rsidRDefault="00DA0884" w:rsidP="00D44AF3">
      <w:pPr>
        <w:pStyle w:val="ListParagraph"/>
        <w:spacing w:line="360" w:lineRule="auto"/>
      </w:pPr>
      <w:r w:rsidRPr="00DA0884">
        <w:t>In 2009, a study examined interaction between β-amyloid peptides and the α7 nicotinic acetylcholine receptor</w:t>
      </w:r>
      <w:r w:rsidR="002C07DC">
        <w:t xml:space="preserve"> </w:t>
      </w:r>
      <w:r w:rsidR="002C07DC" w:rsidRPr="002C07DC">
        <w:t>(</w:t>
      </w:r>
      <w:hyperlink r:id="rId163" w:history="1">
        <w:r w:rsidR="002C07DC" w:rsidRPr="002C07DC">
          <w:rPr>
            <w:rStyle w:val="Hyperlink"/>
          </w:rPr>
          <w:t>Wang et al., 2009</w:t>
        </w:r>
      </w:hyperlink>
      <w:r w:rsidR="002C07DC" w:rsidRPr="002C07DC">
        <w:t>)</w:t>
      </w:r>
      <w:r w:rsidRPr="00DA0884">
        <w:t xml:space="preserve">. The study concluded that β-amyloid binds to α7nAChR on neurons, leading to synaptic dysfunction—a salient feature in the pathology of Alzheimer's. Though the findings were influential at the time, eventually questions of integrity in the data arose. Similar to other studies in this field, some of the figures showed unusual inconsistencies: there were unexplained splice junctions; proper controls were missing. The authors blamed technical mishaps for these issues, but even with these explanations, scientific scrutiny did not let up. Later studies, including a 2022 follow-up study in the same journal, questioned the reproducibility of these findings and further dented any confidence in the proposed mechanism. </w:t>
      </w:r>
      <w:r w:rsidR="008316FE">
        <w:t>(</w:t>
      </w:r>
      <w:hyperlink r:id="rId164" w:history="1">
        <w:r w:rsidR="008316FE" w:rsidRPr="00144DEB">
          <w:rPr>
            <w:rStyle w:val="Hyperlink"/>
          </w:rPr>
          <w:t>Expression of Concern</w:t>
        </w:r>
        <w:r w:rsidR="00144DEB" w:rsidRPr="00144DEB">
          <w:rPr>
            <w:rStyle w:val="Hyperlink"/>
          </w:rPr>
          <w:t>, 2022</w:t>
        </w:r>
      </w:hyperlink>
      <w:r w:rsidR="008316FE">
        <w:t>)</w:t>
      </w:r>
    </w:p>
    <w:p w14:paraId="33094D2C" w14:textId="77777777" w:rsidR="008316FE" w:rsidRPr="008316FE" w:rsidRDefault="008316FE" w:rsidP="008316FE">
      <w:pPr>
        <w:pStyle w:val="ListParagraph"/>
        <w:spacing w:line="360" w:lineRule="auto"/>
      </w:pPr>
    </w:p>
    <w:p w14:paraId="12A57F09" w14:textId="7BC8E160" w:rsidR="00D6449A" w:rsidRPr="00D03DE5" w:rsidRDefault="00D6449A" w:rsidP="00EB10F6">
      <w:pPr>
        <w:pStyle w:val="ListParagraph"/>
        <w:numPr>
          <w:ilvl w:val="0"/>
          <w:numId w:val="30"/>
        </w:numPr>
        <w:spacing w:line="360" w:lineRule="auto"/>
        <w:rPr>
          <w:b/>
          <w:bCs/>
          <w:color w:val="000000" w:themeColor="text1"/>
        </w:rPr>
      </w:pPr>
      <w:r w:rsidRPr="004C0A7E">
        <w:rPr>
          <w:b/>
          <w:bCs/>
        </w:rPr>
        <w:t>S 24795 Limits β-Amyloid–α7 Nicotinic Receptor Interaction and Reduces Alzheimer's Disease-Like Pathologies</w:t>
      </w:r>
    </w:p>
    <w:p w14:paraId="3A927056" w14:textId="1599B629" w:rsidR="00562C33" w:rsidRDefault="00297AEA" w:rsidP="00000A52">
      <w:pPr>
        <w:pStyle w:val="ListParagraph"/>
        <w:spacing w:line="360" w:lineRule="auto"/>
      </w:pPr>
      <w:r w:rsidRPr="00297AEA">
        <w:t>In November 2009, Wang published a study on the effects of S 24795 in limiting the interaction between β-amyloid and the α7 nicotinic receptor and proposed that the compound could reduce Alzheimer's disease-like pathology</w:t>
      </w:r>
      <w:r w:rsidR="004C0A7E">
        <w:t xml:space="preserve"> </w:t>
      </w:r>
      <w:r w:rsidR="004C0A7E" w:rsidRPr="004C0A7E">
        <w:t>(</w:t>
      </w:r>
      <w:hyperlink r:id="rId165" w:history="1">
        <w:r w:rsidR="004C0A7E" w:rsidRPr="004C0A7E">
          <w:rPr>
            <w:rStyle w:val="Hyperlink"/>
          </w:rPr>
          <w:t>Wang et al., 2009</w:t>
        </w:r>
      </w:hyperlink>
      <w:r w:rsidR="004C0A7E" w:rsidRPr="004C0A7E">
        <w:t>)</w:t>
      </w:r>
      <w:r w:rsidRPr="00297AEA">
        <w:t>.</w:t>
      </w:r>
      <w:r w:rsidR="00F80533" w:rsidRPr="00F80533">
        <w:t xml:space="preserve"> The majority of this research has since been called into question. </w:t>
      </w:r>
      <w:r w:rsidR="00000A52" w:rsidRPr="00000A52">
        <w:t xml:space="preserve">Concerns were raised about potential manipulation of Western blot data, casting doubt on the study’s integrity. In </w:t>
      </w:r>
      <w:r w:rsidR="00000A52" w:rsidRPr="00000A52">
        <w:lastRenderedPageBreak/>
        <w:t xml:space="preserve">response, the journal issued an </w:t>
      </w:r>
      <w:hyperlink r:id="rId166" w:history="1">
        <w:r w:rsidR="00000A52" w:rsidRPr="003A2DDD">
          <w:rPr>
            <w:rStyle w:val="Hyperlink"/>
          </w:rPr>
          <w:t>Expression of Concern in 2023</w:t>
        </w:r>
      </w:hyperlink>
      <w:r w:rsidR="00000A52" w:rsidRPr="00000A52">
        <w:t>, noting that the academic authorities at the City University of New York (CUNY) were investigating these allegations. Pending the outcome of this inquiry, confidence in the study's findings has been significantly compromised, adding to the broader skepticism surrounding research in this area.</w:t>
      </w:r>
    </w:p>
    <w:p w14:paraId="1F961D9D" w14:textId="77777777" w:rsidR="00000A52" w:rsidRPr="00D03DE5" w:rsidRDefault="00000A52" w:rsidP="00000A52">
      <w:pPr>
        <w:pStyle w:val="ListParagraph"/>
        <w:spacing w:line="360" w:lineRule="auto"/>
        <w:rPr>
          <w:rFonts w:eastAsiaTheme="majorEastAsia"/>
          <w:b/>
          <w:bCs/>
          <w:color w:val="000000" w:themeColor="text1"/>
        </w:rPr>
      </w:pPr>
    </w:p>
    <w:p w14:paraId="12D8A55E" w14:textId="4CCFC29A" w:rsidR="00090A6B" w:rsidRPr="00DB008A" w:rsidRDefault="00090A6B" w:rsidP="00EB10F6">
      <w:pPr>
        <w:pStyle w:val="ListParagraph"/>
        <w:numPr>
          <w:ilvl w:val="0"/>
          <w:numId w:val="30"/>
        </w:numPr>
        <w:spacing w:line="360" w:lineRule="auto"/>
        <w:rPr>
          <w:b/>
          <w:bCs/>
        </w:rPr>
      </w:pPr>
      <w:r w:rsidRPr="0043405F">
        <w:rPr>
          <w:rFonts w:eastAsiaTheme="majorEastAsia"/>
          <w:b/>
          <w:bCs/>
        </w:rPr>
        <w:t>2012</w:t>
      </w:r>
      <w:r w:rsidR="00482311" w:rsidRPr="0043405F">
        <w:rPr>
          <w:rFonts w:eastAsiaTheme="majorEastAsia"/>
          <w:b/>
          <w:bCs/>
        </w:rPr>
        <w:t xml:space="preserve">: </w:t>
      </w:r>
      <w:r w:rsidR="00482311" w:rsidRPr="0043405F">
        <w:rPr>
          <w:b/>
          <w:bCs/>
        </w:rPr>
        <w:t>Reducing Amyloid-Related Alzheimer's Disease Pathogenesis by a Small Molecule Targeting Filamin A</w:t>
      </w:r>
      <w:r w:rsidRPr="001836F4">
        <w:br/>
        <w:t xml:space="preserve">Perhaps most damaging to Cassava Sciences is the ongoing investigation into </w:t>
      </w:r>
      <w:r w:rsidR="18B787A1" w:rsidRPr="001836F4">
        <w:t xml:space="preserve">Dr. </w:t>
      </w:r>
      <w:r w:rsidRPr="001836F4">
        <w:t xml:space="preserve">Wang’s 2012 study on FLNA and </w:t>
      </w:r>
      <w:r w:rsidR="008D27B4">
        <w:t>A</w:t>
      </w:r>
      <w:r w:rsidR="008D27B4" w:rsidRPr="00DA0884">
        <w:t>β</w:t>
      </w:r>
      <w:r w:rsidRPr="001836F4">
        <w:t xml:space="preserve">, published in </w:t>
      </w:r>
      <w:r w:rsidRPr="00482311">
        <w:rPr>
          <w:rFonts w:eastAsiaTheme="majorEastAsia"/>
          <w:i/>
          <w:iCs/>
        </w:rPr>
        <w:t>The Journal of Neuroscience</w:t>
      </w:r>
      <w:r w:rsidR="0094178E">
        <w:rPr>
          <w:rFonts w:eastAsiaTheme="majorEastAsia"/>
          <w:i/>
          <w:iCs/>
        </w:rPr>
        <w:t xml:space="preserve"> </w:t>
      </w:r>
      <w:hyperlink r:id="rId167" w:history="1">
        <w:r w:rsidR="0094178E" w:rsidRPr="005D1813">
          <w:rPr>
            <w:rStyle w:val="Hyperlink"/>
            <w:rFonts w:eastAsiaTheme="majorEastAsia"/>
          </w:rPr>
          <w:t>(Wang et al., 2012)</w:t>
        </w:r>
      </w:hyperlink>
      <w:r w:rsidRPr="001836F4">
        <w:t>. This study is directly related to Simufilam and claims that targeting FLNA could reduce amyloid beta-related neurodegeneration, a hallmark of A</w:t>
      </w:r>
      <w:r w:rsidR="00F25062" w:rsidRPr="001836F4">
        <w:t>D</w:t>
      </w:r>
      <w:r w:rsidRPr="001836F4">
        <w:t xml:space="preserve">. However, the journal has since issued an expression of concern due to irregularities in the Western blot images, once again hinting at possible data manipulation. While the investigation remains open, the cloud of uncertainty surrounding this pivotal research is </w:t>
      </w:r>
      <w:r w:rsidR="18B787A1" w:rsidRPr="001836F4">
        <w:t xml:space="preserve">grave </w:t>
      </w:r>
      <w:r w:rsidRPr="001836F4">
        <w:t>enough to warrant serious concern about Simufilam’s legitimacy</w:t>
      </w:r>
      <w:r w:rsidR="0074652D">
        <w:t xml:space="preserve"> (</w:t>
      </w:r>
      <w:hyperlink r:id="rId168" w:history="1">
        <w:r w:rsidR="0074652D" w:rsidRPr="004E0E30">
          <w:rPr>
            <w:rStyle w:val="Hyperlink"/>
          </w:rPr>
          <w:t>Expression of Concern, 2022</w:t>
        </w:r>
      </w:hyperlink>
      <w:r w:rsidR="0074652D">
        <w:t>)</w:t>
      </w:r>
      <w:r w:rsidRPr="001836F4">
        <w:t>.</w:t>
      </w:r>
    </w:p>
    <w:p w14:paraId="3F3BF288" w14:textId="77777777" w:rsidR="00DB008A" w:rsidRPr="00A93DA7" w:rsidRDefault="00DB008A" w:rsidP="00DB008A">
      <w:pPr>
        <w:pStyle w:val="ListParagraph"/>
        <w:spacing w:line="360" w:lineRule="auto"/>
        <w:rPr>
          <w:b/>
          <w:bCs/>
        </w:rPr>
      </w:pPr>
    </w:p>
    <w:p w14:paraId="11C3D952" w14:textId="6AD0569A" w:rsidR="00A93DA7" w:rsidRPr="004B5099" w:rsidRDefault="00A93DA7" w:rsidP="00EB10F6">
      <w:pPr>
        <w:pStyle w:val="ListParagraph"/>
        <w:numPr>
          <w:ilvl w:val="0"/>
          <w:numId w:val="30"/>
        </w:numPr>
        <w:spacing w:line="360" w:lineRule="auto"/>
        <w:rPr>
          <w:b/>
          <w:bCs/>
          <w:color w:val="000000" w:themeColor="text1"/>
        </w:rPr>
      </w:pPr>
      <w:r w:rsidRPr="00DF0BDC">
        <w:rPr>
          <w:b/>
          <w:bCs/>
        </w:rPr>
        <w:t>Simufilam suppresses overactive mTOR and restores its sensitivity to insulin in Alzheimer's disease patient lymphocytes</w:t>
      </w:r>
    </w:p>
    <w:p w14:paraId="529A5A59" w14:textId="547B67BB" w:rsidR="00A93DA7" w:rsidRPr="00482311" w:rsidRDefault="00A93DA7" w:rsidP="00A93DA7">
      <w:pPr>
        <w:pStyle w:val="ListParagraph"/>
        <w:spacing w:line="360" w:lineRule="auto"/>
        <w:rPr>
          <w:b/>
          <w:bCs/>
        </w:rPr>
      </w:pPr>
      <w:r w:rsidRPr="00A93DA7">
        <w:t xml:space="preserve">In yet another blow to </w:t>
      </w:r>
      <w:r w:rsidR="00C134CC">
        <w:t xml:space="preserve">Dr Wang and </w:t>
      </w:r>
      <w:r w:rsidRPr="00A93DA7">
        <w:t xml:space="preserve">Cassava Sciences, an expression of concern has been issued regarding a 2023 study led by Dr. Wang, published in </w:t>
      </w:r>
      <w:r w:rsidRPr="00A93DA7">
        <w:rPr>
          <w:i/>
          <w:iCs/>
        </w:rPr>
        <w:t>Frontiers in Aging</w:t>
      </w:r>
      <w:r w:rsidR="000F13E2">
        <w:rPr>
          <w:i/>
          <w:iCs/>
        </w:rPr>
        <w:t xml:space="preserve"> </w:t>
      </w:r>
      <w:r w:rsidR="000F13E2" w:rsidRPr="000F13E2">
        <w:t>(</w:t>
      </w:r>
      <w:hyperlink r:id="rId169" w:history="1">
        <w:r w:rsidR="000F13E2" w:rsidRPr="000F13E2">
          <w:rPr>
            <w:rStyle w:val="Hyperlink"/>
          </w:rPr>
          <w:t>Wang et al., 2023</w:t>
        </w:r>
      </w:hyperlink>
      <w:r w:rsidR="000F13E2" w:rsidRPr="000F13E2">
        <w:t>)</w:t>
      </w:r>
      <w:r w:rsidRPr="000F13E2">
        <w:t>.</w:t>
      </w:r>
      <w:r w:rsidRPr="00A93DA7">
        <w:t xml:space="preserve"> This study claims that Simufilam can suppress overactive mTOR and restore its sensitivity to insulin in lymphocytes from </w:t>
      </w:r>
      <w:r w:rsidR="002556E5">
        <w:t>AD</w:t>
      </w:r>
      <w:r w:rsidRPr="00A93DA7">
        <w:t xml:space="preserve"> patients—an important finding given mTOR’s role in cellular aging and disease progression. However, </w:t>
      </w:r>
      <w:hyperlink r:id="rId170" w:history="1">
        <w:r w:rsidRPr="00FF6FDD">
          <w:rPr>
            <w:rStyle w:val="Hyperlink"/>
            <w:i/>
            <w:iCs/>
          </w:rPr>
          <w:t>Frontiers</w:t>
        </w:r>
        <w:r w:rsidRPr="00FF6FDD">
          <w:rPr>
            <w:rStyle w:val="Hyperlink"/>
          </w:rPr>
          <w:t xml:space="preserve"> has raised concerns over the integrity of the images used in the paper</w:t>
        </w:r>
      </w:hyperlink>
      <w:r w:rsidRPr="00A93DA7">
        <w:t>, casting further doubt on the validity of the results. The investigation, still ongoing, follows the Committee on Publication Ethics (COPE) guidelines. This additional layer of uncertainty surrounding Simufilam’s supposed mechanisms deepens the skepticism around the drug's potential, as unresolved image irregularities may suggest more data manipulation.</w:t>
      </w:r>
    </w:p>
    <w:p w14:paraId="15D1993A" w14:textId="77777777" w:rsidR="00DE1C5B" w:rsidRPr="001836F4" w:rsidRDefault="00DE1C5B" w:rsidP="00F84A37">
      <w:pPr>
        <w:spacing w:line="360" w:lineRule="auto"/>
        <w:jc w:val="both"/>
      </w:pPr>
    </w:p>
    <w:p w14:paraId="57C4359D" w14:textId="5577A565" w:rsidR="00090A6B" w:rsidRPr="001836F4" w:rsidRDefault="5183A6D9" w:rsidP="5183A6D9">
      <w:pPr>
        <w:pStyle w:val="Heading3"/>
        <w:rPr>
          <w:rFonts w:cs="Times New Roman"/>
          <w:b/>
          <w:bCs/>
          <w:color w:val="auto"/>
        </w:rPr>
      </w:pPr>
      <w:bookmarkStart w:id="63" w:name="_Toc463320838"/>
      <w:r w:rsidRPr="5183A6D9">
        <w:rPr>
          <w:b/>
          <w:bCs/>
          <w:color w:val="auto"/>
        </w:rPr>
        <w:lastRenderedPageBreak/>
        <w:t>Broader Pattern of Fraud in Dr. Wang’s Research</w:t>
      </w:r>
      <w:bookmarkEnd w:id="63"/>
    </w:p>
    <w:p w14:paraId="127EFAA6" w14:textId="76E91EEE" w:rsidR="001474C1" w:rsidRPr="001474C1" w:rsidRDefault="18B787A1" w:rsidP="00F84A37">
      <w:pPr>
        <w:spacing w:line="360" w:lineRule="auto"/>
        <w:jc w:val="both"/>
      </w:pPr>
      <w:r w:rsidRPr="001836F4">
        <w:t xml:space="preserve">Dr. </w:t>
      </w:r>
      <w:r w:rsidR="001474C1" w:rsidRPr="001474C1">
        <w:t>Wang’s research history shows a broader pattern of data-related concerns extending beyond A</w:t>
      </w:r>
      <w:r w:rsidR="00130F2E" w:rsidRPr="001836F4">
        <w:t>D</w:t>
      </w:r>
      <w:r w:rsidR="001474C1" w:rsidRPr="001474C1">
        <w:t>. For example, his studies on prenatal cocaine exposure, published in 2009 and 2014, were retracted due to similar issues</w:t>
      </w:r>
      <w:r w:rsidRPr="001836F4">
        <w:t>,</w:t>
      </w:r>
      <w:r w:rsidR="001474C1" w:rsidRPr="001474C1">
        <w:t xml:space="preserve"> with Western blot images</w:t>
      </w:r>
      <w:r w:rsidR="004668C4">
        <w:t xml:space="preserve"> </w:t>
      </w:r>
      <w:r w:rsidR="004668C4" w:rsidRPr="004668C4">
        <w:t>(</w:t>
      </w:r>
      <w:hyperlink r:id="rId171" w:history="1">
        <w:r w:rsidR="004668C4" w:rsidRPr="004668C4">
          <w:rPr>
            <w:rStyle w:val="Hyperlink"/>
          </w:rPr>
          <w:t>Bakshi et al., 2011</w:t>
        </w:r>
      </w:hyperlink>
      <w:r w:rsidR="004668C4" w:rsidRPr="004668C4">
        <w:t>)</w:t>
      </w:r>
      <w:r w:rsidR="00F8065F">
        <w:t xml:space="preserve"> </w:t>
      </w:r>
      <w:r w:rsidR="00F8065F" w:rsidRPr="00F8065F">
        <w:t>(</w:t>
      </w:r>
      <w:hyperlink r:id="rId172" w:history="1">
        <w:r w:rsidR="00F8065F" w:rsidRPr="00553DCE">
          <w:rPr>
            <w:rStyle w:val="Hyperlink"/>
          </w:rPr>
          <w:t>Bakshi et al., 2014</w:t>
        </w:r>
      </w:hyperlink>
      <w:r w:rsidR="00F8065F" w:rsidRPr="00F8065F">
        <w:t>)</w:t>
      </w:r>
      <w:r w:rsidR="001474C1" w:rsidRPr="001474C1">
        <w:t xml:space="preserve">. These recurring problems suggest </w:t>
      </w:r>
      <w:r w:rsidRPr="001836F4">
        <w:t xml:space="preserve">a </w:t>
      </w:r>
      <w:r w:rsidR="001474C1" w:rsidRPr="001474C1">
        <w:t xml:space="preserve">systemic issues with data integrity across multiple areas of </w:t>
      </w:r>
      <w:r w:rsidRPr="001836F4">
        <w:t xml:space="preserve">Dr. </w:t>
      </w:r>
      <w:r w:rsidR="001474C1" w:rsidRPr="001474C1">
        <w:t xml:space="preserve">Wang’s research </w:t>
      </w:r>
      <w:r w:rsidR="00907C97">
        <w:t>(</w:t>
      </w:r>
      <w:hyperlink r:id="rId173" w:history="1">
        <w:r w:rsidR="000B2CA0">
          <w:rPr>
            <w:rStyle w:val="Hyperlink"/>
          </w:rPr>
          <w:t>Retraction Note</w:t>
        </w:r>
      </w:hyperlink>
      <w:r w:rsidR="00907C97">
        <w:t>)</w:t>
      </w:r>
      <w:r w:rsidR="00553DCE">
        <w:t xml:space="preserve"> (</w:t>
      </w:r>
      <w:hyperlink r:id="rId174" w:history="1">
        <w:r w:rsidR="00553DCE" w:rsidRPr="000B2CA0">
          <w:rPr>
            <w:rStyle w:val="Hyperlink"/>
          </w:rPr>
          <w:t>Retractio</w:t>
        </w:r>
        <w:r w:rsidR="000B2CA0" w:rsidRPr="000B2CA0">
          <w:rPr>
            <w:rStyle w:val="Hyperlink"/>
          </w:rPr>
          <w:t>n Note</w:t>
        </w:r>
      </w:hyperlink>
      <w:r w:rsidR="00553DCE">
        <w:t>)</w:t>
      </w:r>
      <w:r w:rsidR="000B2CA0">
        <w:t>.</w:t>
      </w:r>
    </w:p>
    <w:p w14:paraId="667E2642" w14:textId="77777777" w:rsidR="00090A6B" w:rsidRPr="001836F4" w:rsidRDefault="00090A6B" w:rsidP="00F84A37">
      <w:pPr>
        <w:spacing w:line="360" w:lineRule="auto"/>
        <w:jc w:val="both"/>
      </w:pPr>
    </w:p>
    <w:p w14:paraId="108E9F60" w14:textId="0DD13C47" w:rsidR="00090A6B" w:rsidRPr="001836F4" w:rsidRDefault="5183A6D9" w:rsidP="5183A6D9">
      <w:pPr>
        <w:pStyle w:val="Heading3"/>
        <w:rPr>
          <w:rFonts w:cs="Times New Roman"/>
          <w:b/>
          <w:bCs/>
          <w:color w:val="auto"/>
        </w:rPr>
      </w:pPr>
      <w:bookmarkStart w:id="64" w:name="_Toc96036736"/>
      <w:r w:rsidRPr="5183A6D9">
        <w:rPr>
          <w:b/>
          <w:bCs/>
          <w:color w:val="auto"/>
        </w:rPr>
        <w:t>The Rarity of Retractions and Dr. Wang’s Defiance</w:t>
      </w:r>
      <w:bookmarkEnd w:id="64"/>
    </w:p>
    <w:p w14:paraId="4A84E0D8" w14:textId="10B37F10" w:rsidR="00090A6B" w:rsidRPr="001836F4" w:rsidRDefault="00090A6B" w:rsidP="00F84A37">
      <w:pPr>
        <w:spacing w:line="360" w:lineRule="auto"/>
        <w:jc w:val="both"/>
      </w:pPr>
      <w:r w:rsidRPr="00C35682">
        <w:t xml:space="preserve">Scientific retractions are exceedingly rare. </w:t>
      </w:r>
      <w:r w:rsidR="18B787A1" w:rsidRPr="001836F4">
        <w:t>A 2012 study found that only about 0.0</w:t>
      </w:r>
      <w:r w:rsidR="0019493D">
        <w:t>08</w:t>
      </w:r>
      <w:r w:rsidR="18B787A1" w:rsidRPr="001836F4">
        <w:t>2% of published papers are retracted (</w:t>
      </w:r>
      <w:hyperlink r:id="rId175">
        <w:r w:rsidR="18B787A1" w:rsidRPr="001836F4">
          <w:rPr>
            <w:rStyle w:val="Hyperlink"/>
          </w:rPr>
          <w:t>Fang et al., 2012</w:t>
        </w:r>
      </w:hyperlink>
      <w:r w:rsidR="18B787A1" w:rsidRPr="001836F4">
        <w:t xml:space="preserve">). For most researchers, a single retraction can be a career-damaging event, yet Dr. </w:t>
      </w:r>
      <w:r w:rsidRPr="00C35682">
        <w:t>Wang has faced multiple retractions</w:t>
      </w:r>
      <w:r w:rsidR="18B787A1" w:rsidRPr="001836F4">
        <w:t>.</w:t>
      </w:r>
      <w:r w:rsidRPr="00C35682">
        <w:t xml:space="preserve"> This pattern suggests something far more troubling than isolated mistakes</w:t>
      </w:r>
      <w:r w:rsidR="18B787A1" w:rsidRPr="001836F4">
        <w:t>, as</w:t>
      </w:r>
      <w:r w:rsidRPr="00C35682">
        <w:t xml:space="preserve"> it points to </w:t>
      </w:r>
      <w:r w:rsidR="18B787A1" w:rsidRPr="001836F4">
        <w:t xml:space="preserve">a </w:t>
      </w:r>
      <w:r w:rsidRPr="00C35682">
        <w:t>consistent scientific misconduct</w:t>
      </w:r>
      <w:r w:rsidR="18B787A1" w:rsidRPr="001836F4">
        <w:t xml:space="preserve"> from Dr. Wang</w:t>
      </w:r>
      <w:r w:rsidRPr="00C35682">
        <w:t>.</w:t>
      </w:r>
    </w:p>
    <w:p w14:paraId="66B2966F" w14:textId="77777777" w:rsidR="00090A6B" w:rsidRPr="00C35682" w:rsidRDefault="00090A6B" w:rsidP="00F84A37">
      <w:pPr>
        <w:spacing w:line="360" w:lineRule="auto"/>
        <w:jc w:val="both"/>
      </w:pPr>
    </w:p>
    <w:p w14:paraId="6C42039A" w14:textId="3D066D15" w:rsidR="00090A6B" w:rsidRPr="00C35682" w:rsidRDefault="00090A6B" w:rsidP="00F84A37">
      <w:pPr>
        <w:spacing w:line="360" w:lineRule="auto"/>
        <w:jc w:val="both"/>
        <w:rPr>
          <w:highlight w:val="yellow"/>
        </w:rPr>
      </w:pPr>
      <w:r w:rsidRPr="00C35682">
        <w:t>Despite the mounting evidence against him,</w:t>
      </w:r>
      <w:r w:rsidR="18B787A1" w:rsidRPr="001836F4">
        <w:t xml:space="preserve"> Dr.</w:t>
      </w:r>
      <w:r w:rsidRPr="00C35682">
        <w:t xml:space="preserve"> Wang continues to deny any wrongdoing, asserting that his data and conclusions are valid</w:t>
      </w:r>
      <w:r w:rsidR="00B24F28">
        <w:t xml:space="preserve"> </w:t>
      </w:r>
      <w:r w:rsidR="00B24F28" w:rsidRPr="00B24F28">
        <w:t>(</w:t>
      </w:r>
      <w:hyperlink r:id="rId176" w:history="1">
        <w:r w:rsidR="00B24F28" w:rsidRPr="008034E7">
          <w:rPr>
            <w:rStyle w:val="Hyperlink"/>
          </w:rPr>
          <w:t>Piller, 2023</w:t>
        </w:r>
      </w:hyperlink>
      <w:r w:rsidR="00B24F28" w:rsidRPr="00B24F28">
        <w:t>)</w:t>
      </w:r>
      <w:r w:rsidRPr="00C35682">
        <w:t>. His repeated defense of manipulated data—even in the face of overwhelming evidence—raises serious questions</w:t>
      </w:r>
      <w:r w:rsidR="00EE5C6D">
        <w:t>.</w:t>
      </w:r>
    </w:p>
    <w:p w14:paraId="49511813" w14:textId="77777777" w:rsidR="00090A6B" w:rsidRPr="001836F4" w:rsidRDefault="00090A6B" w:rsidP="00F84A37">
      <w:pPr>
        <w:spacing w:line="360" w:lineRule="auto"/>
        <w:jc w:val="both"/>
      </w:pPr>
    </w:p>
    <w:p w14:paraId="471567F8" w14:textId="28021E78" w:rsidR="00090A6B" w:rsidRPr="00EE5C6D" w:rsidRDefault="5183A6D9" w:rsidP="00F84A37">
      <w:pPr>
        <w:pStyle w:val="Heading4"/>
        <w:jc w:val="both"/>
        <w:rPr>
          <w:rFonts w:cs="Times New Roman"/>
          <w:color w:val="auto"/>
        </w:rPr>
      </w:pPr>
      <w:bookmarkStart w:id="65" w:name="_Toc1394900841"/>
      <w:r w:rsidRPr="5183A6D9">
        <w:rPr>
          <w:rFonts w:cs="Times New Roman"/>
          <w:color w:val="auto"/>
        </w:rPr>
        <w:t>Key Takeaways: A Drug Built on Dubious Grounds</w:t>
      </w:r>
      <w:bookmarkEnd w:id="65"/>
    </w:p>
    <w:p w14:paraId="26F4424F" w14:textId="75F02D83" w:rsidR="00463280" w:rsidRPr="00463280" w:rsidRDefault="00463280" w:rsidP="00F84A37">
      <w:pPr>
        <w:spacing w:line="360" w:lineRule="auto"/>
        <w:jc w:val="both"/>
      </w:pPr>
      <w:r w:rsidRPr="00463280">
        <w:t xml:space="preserve">The scientific foundation of Simufilam is heavily reliant on studies that have been retracted or </w:t>
      </w:r>
      <w:r w:rsidR="18B787A1" w:rsidRPr="001836F4">
        <w:t xml:space="preserve">that </w:t>
      </w:r>
      <w:r w:rsidRPr="00463280">
        <w:t xml:space="preserve">are under investigation. While Cassava Sciences has positioned </w:t>
      </w:r>
      <w:r w:rsidR="18B787A1" w:rsidRPr="001836F4">
        <w:t>Simufilam</w:t>
      </w:r>
      <w:r w:rsidRPr="00463280">
        <w:t xml:space="preserve"> as a potential breakthrough in </w:t>
      </w:r>
      <w:r w:rsidR="00210127">
        <w:t>AD</w:t>
      </w:r>
      <w:r w:rsidRPr="00463280">
        <w:t xml:space="preserve"> treatment, the data integrity concerns surrounding </w:t>
      </w:r>
      <w:r w:rsidR="18B787A1" w:rsidRPr="001836F4">
        <w:t xml:space="preserve">Dr. </w:t>
      </w:r>
      <w:r w:rsidRPr="00463280">
        <w:t xml:space="preserve">Wang’s research raise significant questions </w:t>
      </w:r>
      <w:r w:rsidR="18B787A1" w:rsidRPr="001836F4">
        <w:t>regarding</w:t>
      </w:r>
      <w:r w:rsidRPr="00463280">
        <w:t xml:space="preserve"> the reliability of </w:t>
      </w:r>
      <w:r w:rsidR="18B787A1" w:rsidRPr="001836F4">
        <w:t>the</w:t>
      </w:r>
      <w:r w:rsidRPr="00463280">
        <w:t xml:space="preserve"> development</w:t>
      </w:r>
      <w:r w:rsidR="18B787A1" w:rsidRPr="001836F4">
        <w:t xml:space="preserve"> of Simufilam.</w:t>
      </w:r>
      <w:r w:rsidRPr="00463280">
        <w:t xml:space="preserve"> Further investigations are necessary to clarify the validity of the FLNA hypothesis and Simufilam’s efficacy.</w:t>
      </w:r>
    </w:p>
    <w:p w14:paraId="5F085419" w14:textId="77777777" w:rsidR="00090A6B" w:rsidRPr="004870F7" w:rsidRDefault="00090A6B" w:rsidP="00F84A37">
      <w:pPr>
        <w:spacing w:line="360" w:lineRule="auto"/>
        <w:jc w:val="both"/>
      </w:pPr>
    </w:p>
    <w:p w14:paraId="5B56BAC8" w14:textId="77777777" w:rsidR="000857E9" w:rsidRDefault="000857E9" w:rsidP="00F84A37">
      <w:pPr>
        <w:jc w:val="both"/>
      </w:pPr>
    </w:p>
    <w:p w14:paraId="3B240F82" w14:textId="77777777" w:rsidR="009D078D" w:rsidRDefault="009D078D" w:rsidP="00F84A37">
      <w:pPr>
        <w:jc w:val="both"/>
      </w:pPr>
    </w:p>
    <w:p w14:paraId="38A11331" w14:textId="54AAE23D" w:rsidR="00D47700" w:rsidRPr="001836F4" w:rsidRDefault="5183A6D9" w:rsidP="5183A6D9">
      <w:pPr>
        <w:pStyle w:val="Heading2"/>
        <w:rPr>
          <w:rFonts w:ascii="Times New Roman" w:eastAsia="Times New Roman" w:hAnsi="Times New Roman" w:cs="Times New Roman"/>
          <w:b/>
          <w:bCs/>
          <w:color w:val="auto"/>
        </w:rPr>
      </w:pPr>
      <w:bookmarkStart w:id="66" w:name="_Toc1705160413"/>
      <w:r w:rsidRPr="5183A6D9">
        <w:rPr>
          <w:rFonts w:ascii="Times New Roman" w:eastAsia="Times New Roman" w:hAnsi="Times New Roman" w:cs="Times New Roman"/>
          <w:b/>
          <w:bCs/>
          <w:color w:val="auto"/>
        </w:rPr>
        <w:t>3. DOJ vs Dr Wang</w:t>
      </w:r>
      <w:bookmarkEnd w:id="66"/>
    </w:p>
    <w:p w14:paraId="2C4CB25E" w14:textId="03FA9347" w:rsidR="00F81241" w:rsidRDefault="009258D2" w:rsidP="009258D2">
      <w:pPr>
        <w:spacing w:line="360" w:lineRule="auto"/>
        <w:jc w:val="both"/>
      </w:pPr>
      <w:r w:rsidRPr="009258D2">
        <w:t>In June 2024, Dr. Hoau-Yan Wang, was indicted for defrauding the U.S. National Institutes of Health (NIH) of approximately $16 million</w:t>
      </w:r>
      <w:r w:rsidR="00F422D8">
        <w:t xml:space="preserve"> in federal grant funds</w:t>
      </w:r>
      <w:r w:rsidR="00CE0479">
        <w:t xml:space="preserve"> (</w:t>
      </w:r>
      <w:hyperlink r:id="rId177" w:history="1">
        <w:r w:rsidR="00CE0479" w:rsidRPr="00E81484">
          <w:rPr>
            <w:rStyle w:val="Hyperlink"/>
          </w:rPr>
          <w:t>NIH</w:t>
        </w:r>
      </w:hyperlink>
      <w:r w:rsidR="00CE0479">
        <w:t>)</w:t>
      </w:r>
      <w:r w:rsidRPr="009258D2">
        <w:t xml:space="preserve">. The DOJ alleges that </w:t>
      </w:r>
      <w:r w:rsidRPr="009258D2">
        <w:lastRenderedPageBreak/>
        <w:t>Wang fabricated and falsified data in NIH grant applications to secure funding between 2017 and 2021</w:t>
      </w:r>
      <w:r w:rsidR="001D1E44">
        <w:t xml:space="preserve"> (</w:t>
      </w:r>
      <w:hyperlink r:id="rId178" w:history="1">
        <w:r w:rsidR="001D1E44" w:rsidRPr="001D1E44">
          <w:rPr>
            <w:rStyle w:val="Hyperlink"/>
          </w:rPr>
          <w:t>DOJ, 2024</w:t>
        </w:r>
      </w:hyperlink>
      <w:r w:rsidR="001D1E44">
        <w:t>)</w:t>
      </w:r>
      <w:r w:rsidR="001D1E44" w:rsidRPr="00F20A42">
        <w:t> </w:t>
      </w:r>
      <w:r w:rsidRPr="009258D2">
        <w:t xml:space="preserve">. </w:t>
      </w:r>
    </w:p>
    <w:p w14:paraId="386264D3" w14:textId="77777777" w:rsidR="00464DDB" w:rsidRDefault="00464DDB" w:rsidP="009258D2">
      <w:pPr>
        <w:spacing w:line="360" w:lineRule="auto"/>
        <w:jc w:val="both"/>
      </w:pPr>
    </w:p>
    <w:p w14:paraId="255FDB64" w14:textId="0A6199CB" w:rsidR="00F81241" w:rsidRDefault="00464DDB" w:rsidP="00464DDB">
      <w:pPr>
        <w:spacing w:line="360" w:lineRule="auto"/>
        <w:ind w:left="720"/>
        <w:jc w:val="both"/>
      </w:pPr>
      <w:r>
        <w:t>“</w:t>
      </w:r>
      <w:r w:rsidRPr="00464DDB">
        <w:t>As alleged, the fraudulent grant applications to the NIH sought funding for scientific research of a potential treatment and diagnostic test for Alzheimer’s disease and resulted in the award of approximately $16 million in grants from approximately 2017 to 2021, part of which funded Wang’s laboratory work and salary.</w:t>
      </w:r>
      <w:r>
        <w:t>”</w:t>
      </w:r>
      <w:r w:rsidR="001D1E44">
        <w:t xml:space="preserve"> (</w:t>
      </w:r>
      <w:hyperlink r:id="rId179" w:history="1">
        <w:r w:rsidR="001D1E44" w:rsidRPr="001D1E44">
          <w:rPr>
            <w:rStyle w:val="Hyperlink"/>
          </w:rPr>
          <w:t>DOJ, 2024</w:t>
        </w:r>
      </w:hyperlink>
      <w:r w:rsidR="001D1E44">
        <w:t>).</w:t>
      </w:r>
    </w:p>
    <w:p w14:paraId="2BCD15DB" w14:textId="77777777" w:rsidR="00464DDB" w:rsidRDefault="00464DDB" w:rsidP="00464DDB">
      <w:pPr>
        <w:spacing w:line="360" w:lineRule="auto"/>
        <w:ind w:left="720"/>
        <w:jc w:val="both"/>
      </w:pPr>
    </w:p>
    <w:p w14:paraId="2B4C352D" w14:textId="50982848" w:rsidR="009258D2" w:rsidRDefault="5183A6D9" w:rsidP="009258D2">
      <w:pPr>
        <w:spacing w:line="360" w:lineRule="auto"/>
        <w:jc w:val="both"/>
      </w:pPr>
      <w:r>
        <w:t>Those data were central to the development of Simufilam. Without these NIH funds, which supported the early preclinical and clinical work, Simufilam would probably not have advanced to clinical trials.</w:t>
      </w:r>
    </w:p>
    <w:p w14:paraId="2F12AF7A" w14:textId="77777777" w:rsidR="009258D2" w:rsidRPr="009258D2" w:rsidRDefault="009258D2" w:rsidP="009258D2">
      <w:pPr>
        <w:spacing w:line="360" w:lineRule="auto"/>
        <w:jc w:val="both"/>
      </w:pPr>
    </w:p>
    <w:p w14:paraId="25A0D6B7" w14:textId="70681626" w:rsidR="009258D2" w:rsidRPr="009258D2" w:rsidRDefault="009258D2" w:rsidP="009258D2">
      <w:pPr>
        <w:spacing w:line="360" w:lineRule="auto"/>
        <w:jc w:val="both"/>
      </w:pPr>
      <w:r w:rsidRPr="009258D2">
        <w:t>The charges against Wang call into question the legitimacy of Simufilam itself. The drug, based on the controversial hypothesis that it targets altered forms of</w:t>
      </w:r>
      <w:r w:rsidR="00042AEF">
        <w:t xml:space="preserve"> </w:t>
      </w:r>
      <w:r w:rsidRPr="009258D2">
        <w:t xml:space="preserve">FLNA to disrupt harmful </w:t>
      </w:r>
      <w:r w:rsidR="00042AEF">
        <w:t>AD</w:t>
      </w:r>
      <w:r w:rsidRPr="009258D2">
        <w:t xml:space="preserve"> processes, advanced to Phase III trials partly due to Wang's </w:t>
      </w:r>
      <w:r w:rsidR="009D078D">
        <w:t xml:space="preserve">allegedly </w:t>
      </w:r>
      <w:r w:rsidRPr="009258D2">
        <w:t xml:space="preserve">manipulated research. </w:t>
      </w:r>
    </w:p>
    <w:p w14:paraId="65B5CE5B" w14:textId="77777777" w:rsidR="009258D2" w:rsidRDefault="009258D2" w:rsidP="009258D2">
      <w:pPr>
        <w:spacing w:line="360" w:lineRule="auto"/>
        <w:jc w:val="both"/>
      </w:pPr>
    </w:p>
    <w:p w14:paraId="2659FC61" w14:textId="3E9ECFD9" w:rsidR="009258D2" w:rsidRPr="009258D2" w:rsidRDefault="009258D2" w:rsidP="009258D2">
      <w:pPr>
        <w:spacing w:line="360" w:lineRule="auto"/>
        <w:jc w:val="both"/>
      </w:pPr>
      <w:r w:rsidRPr="009258D2">
        <w:t xml:space="preserve">Wang now faces charges </w:t>
      </w:r>
      <w:r w:rsidR="00F20A42">
        <w:t>with</w:t>
      </w:r>
      <w:r w:rsidRPr="009258D2">
        <w:t xml:space="preserve"> </w:t>
      </w:r>
      <w:r w:rsidR="00B3361E">
        <w:t>“</w:t>
      </w:r>
      <w:r w:rsidR="00F20A42" w:rsidRPr="00F20A42">
        <w:t>one count of major fraud against the United States, two counts of wire fraud, and one count of false statements. If convicted, he faces a maximum penalty of 10 years in prison for the count of major fraud, 20 years in prison for each count of wire fraud, and five years in prison for the count of false statements.</w:t>
      </w:r>
      <w:r w:rsidR="00B3361E">
        <w:t>” (</w:t>
      </w:r>
      <w:hyperlink r:id="rId180" w:history="1">
        <w:r w:rsidR="00B3361E" w:rsidRPr="001D1E44">
          <w:rPr>
            <w:rStyle w:val="Hyperlink"/>
          </w:rPr>
          <w:t>DOJ</w:t>
        </w:r>
        <w:r w:rsidR="00E20F6F" w:rsidRPr="001D1E44">
          <w:rPr>
            <w:rStyle w:val="Hyperlink"/>
          </w:rPr>
          <w:t>, 2024</w:t>
        </w:r>
      </w:hyperlink>
      <w:r w:rsidR="00B3361E">
        <w:t>)</w:t>
      </w:r>
      <w:r w:rsidR="001D1E44">
        <w:t>.</w:t>
      </w:r>
    </w:p>
    <w:p w14:paraId="7961D123" w14:textId="77777777" w:rsidR="00D47700" w:rsidRPr="001836F4" w:rsidRDefault="00D47700" w:rsidP="00F84A37">
      <w:pPr>
        <w:jc w:val="both"/>
      </w:pPr>
    </w:p>
    <w:p w14:paraId="4E9D68C9" w14:textId="77777777" w:rsidR="000857E9" w:rsidRPr="001836F4" w:rsidRDefault="000857E9" w:rsidP="00F84A37">
      <w:pPr>
        <w:jc w:val="both"/>
      </w:pPr>
    </w:p>
    <w:p w14:paraId="07C9CFB3" w14:textId="403AB62B" w:rsidR="000857E9" w:rsidRPr="001836F4" w:rsidRDefault="5183A6D9" w:rsidP="5183A6D9">
      <w:pPr>
        <w:pStyle w:val="Heading2"/>
        <w:rPr>
          <w:rFonts w:ascii="Times New Roman" w:eastAsia="Times New Roman" w:hAnsi="Times New Roman" w:cs="Times New Roman"/>
          <w:b/>
          <w:bCs/>
          <w:color w:val="auto"/>
        </w:rPr>
      </w:pPr>
      <w:bookmarkStart w:id="67" w:name="_Toc1116755853"/>
      <w:r w:rsidRPr="5183A6D9">
        <w:rPr>
          <w:rFonts w:ascii="Times New Roman" w:eastAsia="Times New Roman" w:hAnsi="Times New Roman" w:cs="Times New Roman"/>
          <w:b/>
          <w:bCs/>
          <w:color w:val="auto"/>
        </w:rPr>
        <w:t>4. SEC vs Dr Wang</w:t>
      </w:r>
      <w:bookmarkEnd w:id="67"/>
    </w:p>
    <w:p w14:paraId="50AB4767" w14:textId="6F7ED072" w:rsidR="00045A0B" w:rsidRDefault="000857E9" w:rsidP="00F84A37">
      <w:pPr>
        <w:spacing w:line="360" w:lineRule="auto"/>
        <w:jc w:val="both"/>
      </w:pPr>
      <w:r w:rsidRPr="002110D9">
        <w:t xml:space="preserve">The </w:t>
      </w:r>
      <w:r w:rsidR="00294236">
        <w:t>Security and Exchange Commission (</w:t>
      </w:r>
      <w:r w:rsidRPr="002110D9">
        <w:t>SEC</w:t>
      </w:r>
      <w:r w:rsidR="00294236">
        <w:t xml:space="preserve">) </w:t>
      </w:r>
      <w:hyperlink r:id="rId181" w:history="1">
        <w:r w:rsidR="00294236" w:rsidRPr="00C71584">
          <w:rPr>
            <w:rStyle w:val="Hyperlink"/>
          </w:rPr>
          <w:t xml:space="preserve">has initiated </w:t>
        </w:r>
        <w:r w:rsidR="007D5987" w:rsidRPr="00C71584">
          <w:rPr>
            <w:rStyle w:val="Hyperlink"/>
          </w:rPr>
          <w:t>cease-and-de</w:t>
        </w:r>
        <w:r w:rsidR="00921E16" w:rsidRPr="00C71584">
          <w:rPr>
            <w:rStyle w:val="Hyperlink"/>
          </w:rPr>
          <w:t>sist proceedings against Dr. Hoau</w:t>
        </w:r>
        <w:r w:rsidR="00253D78" w:rsidRPr="00C71584">
          <w:rPr>
            <w:rStyle w:val="Hyperlink"/>
          </w:rPr>
          <w:t>-Yan Wang</w:t>
        </w:r>
      </w:hyperlink>
      <w:r w:rsidR="008E55DB">
        <w:t xml:space="preserve">, </w:t>
      </w:r>
      <w:r w:rsidR="008E55DB" w:rsidRPr="008E55DB">
        <w:t>citing concerns of public interest under Section 8A of the Securities Act of 1933 and Section 21C of the Securities Exchange Act of 1934.</w:t>
      </w:r>
      <w:r w:rsidRPr="002110D9">
        <w:t xml:space="preserve"> </w:t>
      </w:r>
      <w:r w:rsidR="00045A0B" w:rsidRPr="00045A0B">
        <w:t xml:space="preserve">The SEC’s investigation highlights serious allegations related to the manipulation of biomarker results from </w:t>
      </w:r>
      <w:hyperlink r:id="rId182" w:history="1">
        <w:r w:rsidR="00045A0B" w:rsidRPr="00B3793A">
          <w:rPr>
            <w:rStyle w:val="Hyperlink"/>
          </w:rPr>
          <w:t>Cassava Sciences' Phase 2b clinical trial</w:t>
        </w:r>
      </w:hyperlink>
      <w:r w:rsidR="00045A0B" w:rsidRPr="00045A0B">
        <w:t xml:space="preserve"> of PTI-125 (Simufilam). According to the findings, Dr. Wang, who was responsible for analyzing cerebrospinal fluid (CSF) samples from the trial, unblinded himself to a portion of the patients before conducting his analysis. This action allowed him to selectively adjust the data, ultimately presenting significant improvements in </w:t>
      </w:r>
      <w:r w:rsidR="00AC5883">
        <w:t>AD</w:t>
      </w:r>
      <w:r w:rsidR="00045A0B" w:rsidRPr="00045A0B">
        <w:t xml:space="preserve"> biomarkers for patients receiving </w:t>
      </w:r>
      <w:r w:rsidR="00AC5883">
        <w:lastRenderedPageBreak/>
        <w:t>Simufilam (</w:t>
      </w:r>
      <w:r w:rsidR="00045A0B" w:rsidRPr="00045A0B">
        <w:t>PTI-125</w:t>
      </w:r>
      <w:r w:rsidR="00AC5883">
        <w:t>)</w:t>
      </w:r>
      <w:r w:rsidR="00045A0B" w:rsidRPr="00045A0B">
        <w:t xml:space="preserve">, compared to the placebo group. These </w:t>
      </w:r>
      <w:r w:rsidR="00AC5883">
        <w:t xml:space="preserve">potential </w:t>
      </w:r>
      <w:r w:rsidR="00045A0B" w:rsidRPr="00045A0B">
        <w:t>manipulated results formed the basis of Cassava Sciences' claims regarding Simufilam's effectiveness in treating A</w:t>
      </w:r>
      <w:r w:rsidR="00B06197">
        <w:t>D</w:t>
      </w:r>
      <w:r w:rsidR="00045A0B" w:rsidRPr="00045A0B">
        <w:t>. These claims played a pivotal role in influencing investor sentiment and boosting the company’s stock price.</w:t>
      </w:r>
    </w:p>
    <w:p w14:paraId="7289D95E" w14:textId="77777777" w:rsidR="000857E9" w:rsidRPr="002110D9" w:rsidRDefault="000857E9" w:rsidP="00F84A37">
      <w:pPr>
        <w:spacing w:line="360" w:lineRule="auto"/>
        <w:jc w:val="both"/>
      </w:pPr>
    </w:p>
    <w:p w14:paraId="2D64D03A" w14:textId="734221AB" w:rsidR="000857E9" w:rsidRPr="002110D9" w:rsidRDefault="000857E9" w:rsidP="00F84A37">
      <w:pPr>
        <w:spacing w:line="360" w:lineRule="auto"/>
        <w:jc w:val="both"/>
      </w:pPr>
      <w:r w:rsidRPr="002110D9">
        <w:t xml:space="preserve">Dr. Wang’s role in </w:t>
      </w:r>
      <w:r w:rsidR="197B7F33" w:rsidRPr="001836F4">
        <w:t xml:space="preserve">the </w:t>
      </w:r>
      <w:r w:rsidR="70776980" w:rsidRPr="001836F4">
        <w:t>manipulation of</w:t>
      </w:r>
      <w:r w:rsidRPr="002110D9">
        <w:t xml:space="preserve"> the data is central to </w:t>
      </w:r>
      <w:hyperlink r:id="rId183" w:history="1">
        <w:r w:rsidRPr="000E6685">
          <w:rPr>
            <w:rStyle w:val="Hyperlink"/>
          </w:rPr>
          <w:t>the SEC’s case</w:t>
        </w:r>
      </w:hyperlink>
      <w:r w:rsidRPr="002110D9">
        <w:t xml:space="preserve">. The clinical trial was supposed to be conducted under </w:t>
      </w:r>
      <w:r w:rsidR="3FC7674F" w:rsidRPr="001836F4">
        <w:t>blind</w:t>
      </w:r>
      <w:r w:rsidRPr="002110D9">
        <w:t xml:space="preserve"> conditions </w:t>
      </w:r>
      <w:r w:rsidR="14F380E0" w:rsidRPr="001836F4">
        <w:t xml:space="preserve">- </w:t>
      </w:r>
      <w:r w:rsidRPr="002110D9">
        <w:t xml:space="preserve">meaning neither the patients nor the </w:t>
      </w:r>
      <w:r w:rsidR="0E1DC4D6" w:rsidRPr="001836F4">
        <w:t xml:space="preserve">personnel </w:t>
      </w:r>
      <w:r w:rsidRPr="002110D9">
        <w:t xml:space="preserve">should have known </w:t>
      </w:r>
      <w:r w:rsidR="0F52CD98" w:rsidRPr="001836F4">
        <w:t xml:space="preserve">who </w:t>
      </w:r>
      <w:r w:rsidR="29AE09A5" w:rsidRPr="001836F4">
        <w:t>was receiving</w:t>
      </w:r>
      <w:r w:rsidRPr="002110D9">
        <w:t xml:space="preserve"> </w:t>
      </w:r>
      <w:r w:rsidR="571E01FA" w:rsidRPr="001836F4">
        <w:t>what.</w:t>
      </w:r>
      <w:r w:rsidRPr="002110D9">
        <w:t xml:space="preserve"> </w:t>
      </w:r>
      <w:r w:rsidR="654B69F8" w:rsidRPr="001836F4">
        <w:t>Blind clinical trials are</w:t>
      </w:r>
      <w:r w:rsidRPr="002110D9">
        <w:t xml:space="preserve"> a standard practice to eliminate bias in clinical trials. However, Dr. Wang unblinded himself to 23 of the 64 patients in the trial</w:t>
      </w:r>
      <w:r w:rsidR="1EED2177" w:rsidRPr="001836F4">
        <w:t xml:space="preserve">, this </w:t>
      </w:r>
      <w:r w:rsidR="277A3DC1" w:rsidRPr="001836F4">
        <w:t>allowed</w:t>
      </w:r>
      <w:r w:rsidRPr="002110D9">
        <w:t xml:space="preserve"> him to alter the biomarker data </w:t>
      </w:r>
      <w:r w:rsidR="277A3DC1" w:rsidRPr="001836F4">
        <w:t>in</w:t>
      </w:r>
      <w:r w:rsidRPr="002110D9">
        <w:t xml:space="preserve"> favor </w:t>
      </w:r>
      <w:r w:rsidR="277A3DC1" w:rsidRPr="001836F4">
        <w:t xml:space="preserve">of </w:t>
      </w:r>
      <w:r w:rsidR="5C7AF63D" w:rsidRPr="001836F4">
        <w:t xml:space="preserve">his treatment – making the data appear more conclusive that </w:t>
      </w:r>
      <w:r w:rsidR="5BE3F5C7" w:rsidRPr="001836F4">
        <w:t>it really was.</w:t>
      </w:r>
      <w:r w:rsidRPr="002110D9">
        <w:t xml:space="preserve"> This breach of protocol directly </w:t>
      </w:r>
      <w:r w:rsidR="5BE3F5C7" w:rsidRPr="001836F4">
        <w:t>undermines</w:t>
      </w:r>
      <w:r w:rsidRPr="002110D9">
        <w:t xml:space="preserve"> the integrity of the trial </w:t>
      </w:r>
      <w:r w:rsidR="4B514D8B" w:rsidRPr="001836F4">
        <w:t>results</w:t>
      </w:r>
      <w:r w:rsidR="00FA7B25">
        <w:t xml:space="preserve"> (SEC vs Wang)</w:t>
      </w:r>
      <w:r w:rsidR="4B514D8B" w:rsidRPr="001836F4">
        <w:t>.</w:t>
      </w:r>
    </w:p>
    <w:p w14:paraId="295B421A" w14:textId="10493549" w:rsidR="3CA04515" w:rsidRPr="001836F4" w:rsidRDefault="3CA04515" w:rsidP="3CA04515">
      <w:pPr>
        <w:spacing w:line="360" w:lineRule="auto"/>
        <w:jc w:val="both"/>
      </w:pPr>
    </w:p>
    <w:p w14:paraId="0F951C43" w14:textId="55BE8EFE" w:rsidR="000857E9" w:rsidRPr="002110D9" w:rsidRDefault="5183A6D9" w:rsidP="00F84A37">
      <w:pPr>
        <w:spacing w:line="360" w:lineRule="auto"/>
        <w:jc w:val="both"/>
      </w:pPr>
      <w:r>
        <w:t>The manipulation occurred during two different phases of biomarker testing - referred to as Round 1 and Round 2. In the first round, Cassava contracted a European laboratory to analyze most of the biomarkers, while Dr. Wang handled two additional biomarkers. The Round 1 results were completed in early 2020, it showed no meaningful difference between the placebo and treatment groups - which failed to replicate the promising results from an earlier Phase IIa trial. Despite these underwhelming findings, Dr. Wang was instructed to reanalyze the data in Round 2. Before this second round of analysis, he had already unblinded certain patients, giving him the opportunity to skew the data in favor of Simufilam. The manipulation of Round 2 resulted in a favorable evaluation regarding Simufilam’s efficacy, demonstrating that patients in the treatment arms had statistically significant improvements in multiple biomarkers compared to the placebo group – acknowledging a grave data manipulation that completely misleads the data from this Round 2.</w:t>
      </w:r>
    </w:p>
    <w:p w14:paraId="6669EBFD" w14:textId="77777777" w:rsidR="000857E9" w:rsidRPr="001836F4" w:rsidRDefault="000857E9" w:rsidP="00F84A37">
      <w:pPr>
        <w:spacing w:line="360" w:lineRule="auto"/>
        <w:jc w:val="both"/>
      </w:pPr>
    </w:p>
    <w:p w14:paraId="088F24DA" w14:textId="4D20E3D0" w:rsidR="000857E9" w:rsidRPr="00026E11" w:rsidRDefault="5183A6D9" w:rsidP="00F84A37">
      <w:pPr>
        <w:spacing w:line="360" w:lineRule="auto"/>
        <w:jc w:val="both"/>
      </w:pPr>
      <w:r>
        <w:t xml:space="preserve">Cassava Sciences’ public dissemination of these manipulated results had a profound impact on the company’s stock. On </w:t>
      </w:r>
      <w:hyperlink r:id="rId184" w:anchor="sava-20200914x8k_htm">
        <w:r w:rsidRPr="5183A6D9">
          <w:rPr>
            <w:rStyle w:val="Hyperlink"/>
          </w:rPr>
          <w:t>September 14, 2020</w:t>
        </w:r>
      </w:hyperlink>
      <w:r>
        <w:t xml:space="preserve">, the company issued a press release stating that patients treated with Simufilam showed statistically significant improvements in biomarkers of Alzheimer’s pathology, neuroinflammation, and neurodegeneration compared to placebo patients. Cassava Sciences further asserted that the bioanalyses were conducted under blind conditions - which was proven to be false as previously explained. Following this announcement, the </w:t>
      </w:r>
      <w:r>
        <w:lastRenderedPageBreak/>
        <w:t xml:space="preserve">company’s stock more than doubled, rising from </w:t>
      </w:r>
      <w:r w:rsidRPr="5183A6D9">
        <w:rPr>
          <w:i/>
          <w:iCs/>
        </w:rPr>
        <w:t>$3.40</w:t>
      </w:r>
      <w:r>
        <w:t xml:space="preserve"> to </w:t>
      </w:r>
      <w:r w:rsidRPr="5183A6D9">
        <w:rPr>
          <w:i/>
          <w:iCs/>
        </w:rPr>
        <w:t>$8.41</w:t>
      </w:r>
      <w:r>
        <w:t xml:space="preserve"> per share, driven by the seemingly positive trial data. Investors were misled into believing that Simufilam was an effective treatment for AD – not knowing that it was all based on fraudulent data.</w:t>
      </w:r>
    </w:p>
    <w:p w14:paraId="76856DCC" w14:textId="77777777" w:rsidR="000857E9" w:rsidRPr="00026E11" w:rsidRDefault="000857E9" w:rsidP="00F84A37">
      <w:pPr>
        <w:spacing w:line="360" w:lineRule="auto"/>
        <w:jc w:val="both"/>
      </w:pPr>
    </w:p>
    <w:p w14:paraId="77D22A8F" w14:textId="0F8128E2" w:rsidR="000857E9" w:rsidRPr="002110D9" w:rsidRDefault="5183A6D9" w:rsidP="00F84A37">
      <w:pPr>
        <w:spacing w:line="360" w:lineRule="auto"/>
        <w:jc w:val="both"/>
        <w:rPr>
          <w:highlight w:val="yellow"/>
        </w:rPr>
      </w:pPr>
      <w:r>
        <w:t>Cassava Sciences capitalized on their stock price’s surge by raising substantial capital. In Nove</w:t>
      </w:r>
      <w:bookmarkStart w:id="68" w:name="_Hlt180141617"/>
      <w:r>
        <w:t>m</w:t>
      </w:r>
      <w:bookmarkEnd w:id="68"/>
      <w:r>
        <w:t>ber 2020, the company sold over 9 million shares, raising approximately $70 million (</w:t>
      </w:r>
      <w:hyperlink r:id="rId185">
        <w:r w:rsidRPr="5183A6D9">
          <w:rPr>
            <w:rStyle w:val="Hyperlink"/>
          </w:rPr>
          <w:t>SAVA 8K, 2020</w:t>
        </w:r>
      </w:hyperlink>
      <w:r>
        <w:t>). Then, in February 2021, Cassava filed a n</w:t>
      </w:r>
      <w:bookmarkStart w:id="69" w:name="_Hlt180141658"/>
      <w:r>
        <w:t>e</w:t>
      </w:r>
      <w:bookmarkEnd w:id="69"/>
      <w:r>
        <w:t>w registration statement, netting over $190 million (</w:t>
      </w:r>
      <w:hyperlink r:id="rId186">
        <w:r w:rsidRPr="5183A6D9">
          <w:rPr>
            <w:rStyle w:val="Hyperlink"/>
          </w:rPr>
          <w:t>SAVA 8K, 2021</w:t>
        </w:r>
      </w:hyperlink>
      <w:r>
        <w:t>). These capital raises were made possible only because of the manipulated Phase IIb data. Without this fraudulent data, Cassava Sciences would not have been able to secure the funding necessary to advance to Phase III trials, as investors would not have backed the company based on the true trial results. In essence, the company’s ability to move forward with Phase III trials is directly tied to the deception that inflated both their stock price and their access to capital.</w:t>
      </w:r>
    </w:p>
    <w:p w14:paraId="54B7AF1A" w14:textId="77777777" w:rsidR="000857E9" w:rsidRPr="001836F4" w:rsidRDefault="000857E9" w:rsidP="00F84A37">
      <w:pPr>
        <w:spacing w:line="360" w:lineRule="auto"/>
        <w:jc w:val="both"/>
      </w:pPr>
    </w:p>
    <w:p w14:paraId="25C55BBA" w14:textId="473DD786" w:rsidR="000857E9" w:rsidRPr="002110D9" w:rsidRDefault="5183A6D9" w:rsidP="00F84A37">
      <w:pPr>
        <w:spacing w:line="360" w:lineRule="auto"/>
        <w:jc w:val="both"/>
      </w:pPr>
      <w:r>
        <w:t xml:space="preserve">In addition to all that, Dr. Wang’s personal financial interests also came into play. In addition to his role as a scientific advisor and consultant for Cassava Sciences, </w:t>
      </w:r>
      <w:hyperlink r:id="rId187">
        <w:r w:rsidRPr="5183A6D9">
          <w:rPr>
            <w:rStyle w:val="Hyperlink"/>
          </w:rPr>
          <w:t>he owned 18,571 Cassava stock and unexercised options at a weight average price of $4.22</w:t>
        </w:r>
      </w:hyperlink>
      <w:r>
        <w:t xml:space="preserve">. He also stood to benefit from Cassava Sciences </w:t>
      </w:r>
      <w:r w:rsidRPr="5183A6D9">
        <w:rPr>
          <w:i/>
          <w:iCs/>
        </w:rPr>
        <w:t>Cash Incentive Plan</w:t>
      </w:r>
      <w:r>
        <w:t>, which provided cash payments based on meeting certain valuation benchmarks. This financial incentive adds another layer to the conflict of interest in his actions, as he directly profited from the stock price increase - driven by his manipulated data.</w:t>
      </w:r>
    </w:p>
    <w:p w14:paraId="1F5CBBE6" w14:textId="77777777" w:rsidR="000857E9" w:rsidRPr="001836F4" w:rsidRDefault="000857E9" w:rsidP="00F84A37">
      <w:pPr>
        <w:spacing w:line="360" w:lineRule="auto"/>
        <w:jc w:val="both"/>
      </w:pPr>
    </w:p>
    <w:p w14:paraId="190B5894" w14:textId="452A9EAD" w:rsidR="000857E9" w:rsidRPr="001836F4" w:rsidRDefault="000857E9" w:rsidP="00F84A37">
      <w:pPr>
        <w:spacing w:line="360" w:lineRule="auto"/>
        <w:jc w:val="both"/>
        <w:rPr>
          <w:highlight w:val="yellow"/>
        </w:rPr>
      </w:pPr>
      <w:hyperlink r:id="rId188" w:history="1">
        <w:r w:rsidRPr="000E6685">
          <w:rPr>
            <w:rStyle w:val="Hyperlink"/>
          </w:rPr>
          <w:t>The SEC accuses</w:t>
        </w:r>
      </w:hyperlink>
      <w:r w:rsidRPr="002110D9">
        <w:t xml:space="preserve"> Dr. Wang of violating several key securities laws, including </w:t>
      </w:r>
      <w:r w:rsidRPr="002110D9">
        <w:rPr>
          <w:i/>
        </w:rPr>
        <w:t>Section 17(a)</w:t>
      </w:r>
      <w:r w:rsidRPr="002110D9">
        <w:t xml:space="preserve"> of the </w:t>
      </w:r>
      <w:r w:rsidRPr="002110D9">
        <w:rPr>
          <w:i/>
        </w:rPr>
        <w:t>Securities Act and Section 10(b)</w:t>
      </w:r>
      <w:r w:rsidRPr="002110D9">
        <w:t xml:space="preserve"> of the </w:t>
      </w:r>
      <w:r w:rsidRPr="002110D9">
        <w:rPr>
          <w:i/>
        </w:rPr>
        <w:t>Exchange Act</w:t>
      </w:r>
      <w:r w:rsidRPr="002110D9">
        <w:t xml:space="preserve">, as well as </w:t>
      </w:r>
      <w:r w:rsidRPr="002110D9">
        <w:rPr>
          <w:i/>
        </w:rPr>
        <w:t>Rule 10b-5</w:t>
      </w:r>
      <w:r w:rsidRPr="002110D9">
        <w:t xml:space="preserve">. These provisions prohibit fraudulent practices in the offer or sale of securities, and the SEC argues that Dr. Wang’s manipulation of the biomarker data constituted a clear violation of these laws. </w:t>
      </w:r>
    </w:p>
    <w:p w14:paraId="223A84B4" w14:textId="440EF1FB" w:rsidR="4B514D8B" w:rsidRPr="001836F4" w:rsidRDefault="4B514D8B" w:rsidP="4B514D8B">
      <w:pPr>
        <w:spacing w:line="360" w:lineRule="auto"/>
        <w:jc w:val="both"/>
      </w:pPr>
    </w:p>
    <w:p w14:paraId="6351DBC9" w14:textId="605C1773" w:rsidR="000857E9" w:rsidRPr="002110D9" w:rsidRDefault="000857E9" w:rsidP="00F84A37">
      <w:pPr>
        <w:spacing w:line="360" w:lineRule="auto"/>
        <w:jc w:val="both"/>
      </w:pPr>
      <w:r w:rsidRPr="002110D9">
        <w:t xml:space="preserve">As a result of the </w:t>
      </w:r>
      <w:hyperlink r:id="rId189" w:history="1">
        <w:r w:rsidRPr="00DA5C89">
          <w:rPr>
            <w:rStyle w:val="Hyperlink"/>
          </w:rPr>
          <w:t>SEC’s investigation</w:t>
        </w:r>
      </w:hyperlink>
      <w:r w:rsidRPr="002110D9">
        <w:t>, Dr. Wang has been ordered to cease and desist from further violations of securities laws</w:t>
      </w:r>
      <w:r w:rsidR="4B514D8B" w:rsidRPr="001836F4">
        <w:t>,</w:t>
      </w:r>
      <w:r w:rsidRPr="002110D9">
        <w:t xml:space="preserve"> and to pay civil penalties totaling $50,000. These penalties will be paid in installments over the course of a year, and a </w:t>
      </w:r>
      <w:r w:rsidRPr="002110D9">
        <w:rPr>
          <w:i/>
        </w:rPr>
        <w:t>Fair Fund</w:t>
      </w:r>
      <w:r w:rsidRPr="002110D9">
        <w:t xml:space="preserve"> has been established to distribute the penalties to affected investors. The SEC’s findings also pave the way for potential private </w:t>
      </w:r>
      <w:r w:rsidRPr="002110D9">
        <w:lastRenderedPageBreak/>
        <w:t>lawsuits from investors who were harmed by the manipulated data and the subsequent stock price inflation.</w:t>
      </w:r>
    </w:p>
    <w:p w14:paraId="5669ACCC" w14:textId="77777777" w:rsidR="000857E9" w:rsidRPr="001836F4" w:rsidRDefault="000857E9" w:rsidP="00F84A37">
      <w:pPr>
        <w:spacing w:line="360" w:lineRule="auto"/>
        <w:jc w:val="both"/>
      </w:pPr>
    </w:p>
    <w:p w14:paraId="6F647E38" w14:textId="4871EF09" w:rsidR="000857E9" w:rsidRPr="001836F4" w:rsidRDefault="000857E9" w:rsidP="00E813E0">
      <w:pPr>
        <w:spacing w:line="360" w:lineRule="auto"/>
        <w:jc w:val="both"/>
      </w:pPr>
      <w:r w:rsidRPr="002110D9">
        <w:t xml:space="preserve">The implications for Cassava Sciences are severe. The SEC’s findings undermine the credibility of the entire clinical trial process for </w:t>
      </w:r>
      <w:r w:rsidR="4B514D8B" w:rsidRPr="001836F4">
        <w:t>Simufilam</w:t>
      </w:r>
      <w:r w:rsidRPr="002110D9">
        <w:t xml:space="preserve"> and raise serious doubts about the drug’s efficacy. For </w:t>
      </w:r>
      <w:r w:rsidR="00BA1BDF" w:rsidRPr="001836F4">
        <w:t>us</w:t>
      </w:r>
      <w:r w:rsidRPr="002110D9">
        <w:t xml:space="preserve">, these developments provide </w:t>
      </w:r>
      <w:r w:rsidR="4B514D8B" w:rsidRPr="001836F4">
        <w:t>empirical</w:t>
      </w:r>
      <w:r w:rsidRPr="002110D9">
        <w:t xml:space="preserve"> evidence supporting </w:t>
      </w:r>
      <w:r w:rsidR="00D379D4" w:rsidRPr="001836F4">
        <w:t>our</w:t>
      </w:r>
      <w:r w:rsidRPr="002110D9">
        <w:t xml:space="preserve"> thesis that the company’s stock is overvalued and based on fraudulent information. As the case unfolds, Cassava </w:t>
      </w:r>
      <w:r w:rsidR="4B514D8B" w:rsidRPr="001836F4">
        <w:t xml:space="preserve">Sciences </w:t>
      </w:r>
      <w:r w:rsidRPr="002110D9">
        <w:t>faces significant legal, financial, and reputational risks</w:t>
      </w:r>
      <w:r w:rsidR="4B514D8B" w:rsidRPr="001836F4">
        <w:t xml:space="preserve"> -</w:t>
      </w:r>
      <w:r w:rsidRPr="002110D9">
        <w:t xml:space="preserve"> which are likely to impact its stock price and ability to raise </w:t>
      </w:r>
      <w:r w:rsidR="4B514D8B" w:rsidRPr="001836F4">
        <w:t>additional</w:t>
      </w:r>
      <w:r w:rsidRPr="002110D9">
        <w:t xml:space="preserve"> capital.</w:t>
      </w:r>
    </w:p>
    <w:p w14:paraId="70A18280" w14:textId="77777777" w:rsidR="00821FB7" w:rsidRPr="001836F4" w:rsidRDefault="00821FB7" w:rsidP="00F84A37">
      <w:pPr>
        <w:jc w:val="both"/>
      </w:pPr>
    </w:p>
    <w:p w14:paraId="0D467C76" w14:textId="77777777" w:rsidR="00821FB7" w:rsidRPr="001836F4" w:rsidRDefault="00821FB7" w:rsidP="00F84A37">
      <w:pPr>
        <w:jc w:val="both"/>
      </w:pPr>
    </w:p>
    <w:p w14:paraId="14F7CE6B" w14:textId="01FA23E9" w:rsidR="0037582C" w:rsidRPr="001836F4" w:rsidRDefault="5183A6D9" w:rsidP="5183A6D9">
      <w:pPr>
        <w:pStyle w:val="Heading2"/>
        <w:rPr>
          <w:rFonts w:ascii="Times New Roman" w:eastAsia="Times New Roman" w:hAnsi="Times New Roman" w:cs="Times New Roman"/>
          <w:b/>
          <w:bCs/>
          <w:color w:val="auto"/>
        </w:rPr>
      </w:pPr>
      <w:bookmarkStart w:id="70" w:name="_Toc655890270"/>
      <w:r w:rsidRPr="5183A6D9">
        <w:rPr>
          <w:rFonts w:ascii="Times New Roman" w:eastAsia="Times New Roman" w:hAnsi="Times New Roman" w:cs="Times New Roman"/>
          <w:b/>
          <w:bCs/>
          <w:color w:val="auto"/>
        </w:rPr>
        <w:t>5. SEC vs Cassava Sciences</w:t>
      </w:r>
      <w:bookmarkEnd w:id="70"/>
    </w:p>
    <w:p w14:paraId="7A302500" w14:textId="57C55D27" w:rsidR="0098636A" w:rsidRPr="0098636A" w:rsidRDefault="5183A6D9" w:rsidP="0098636A">
      <w:pPr>
        <w:spacing w:line="360" w:lineRule="auto"/>
        <w:jc w:val="both"/>
      </w:pPr>
      <w:r>
        <w:t xml:space="preserve">In September 2024, the SEC launched a lawsuit against Cassava Sciences, Inc., its founder and former CEO Remi Barbier, and Dr. Lindsay Burns, the former Senior Vice President of Neuroscience </w:t>
      </w:r>
      <w:hyperlink r:id="rId190">
        <w:r w:rsidRPr="5183A6D9">
          <w:rPr>
            <w:rStyle w:val="Hyperlink"/>
          </w:rPr>
          <w:t>(Case No. 24-cv-1150</w:t>
        </w:r>
      </w:hyperlink>
      <w:r>
        <w:t xml:space="preserve">). This legal action revolves around misleading claims about the results of Cassava’s Phase IIb clinical trials for their AD treatment candidate, PTI-125 (also known as Simufilam). </w:t>
      </w:r>
      <w:hyperlink r:id="rId191">
        <w:r w:rsidRPr="5183A6D9">
          <w:rPr>
            <w:rStyle w:val="Hyperlink"/>
          </w:rPr>
          <w:t>According to the SEC</w:t>
        </w:r>
      </w:hyperlink>
      <w:r>
        <w:t>, Cassava's Phase IIb results were misleading in five ways, all of which had a substantial impact on investors and the company's financial success.</w:t>
      </w:r>
    </w:p>
    <w:p w14:paraId="7C1686E6" w14:textId="77777777" w:rsidR="0098636A" w:rsidRDefault="0098636A" w:rsidP="002A14F9">
      <w:pPr>
        <w:spacing w:line="360" w:lineRule="auto"/>
        <w:jc w:val="both"/>
      </w:pPr>
    </w:p>
    <w:p w14:paraId="35078F0A" w14:textId="39CB4FC6" w:rsidR="00882C5B" w:rsidRDefault="5183A6D9" w:rsidP="00882C5B">
      <w:pPr>
        <w:spacing w:line="360" w:lineRule="auto"/>
        <w:jc w:val="both"/>
      </w:pPr>
      <w:r>
        <w:t xml:space="preserve">At the center of the case is the manipulation of clinical trial data. Cassava had claimed that the biomarker analysis in their Phase IIb trial was conducted under strict, blinded conditions, which are essential in eliminating bias. However, the </w:t>
      </w:r>
      <w:hyperlink r:id="rId192">
        <w:r w:rsidRPr="5183A6D9">
          <w:rPr>
            <w:rStyle w:val="Hyperlink"/>
          </w:rPr>
          <w:t>SEC's investigation</w:t>
        </w:r>
      </w:hyperlink>
      <w:r>
        <w:t xml:space="preserve"> revealed that Dr. Wang, the co-inventor of Simufilam, was able to partially unblind himself to the data due to information negligently provided by Dr. Burns. This partial unblinding compromised the integrity of the results since Dr. Wang had a financial and professional stake in Simufilam's success.</w:t>
      </w:r>
    </w:p>
    <w:p w14:paraId="768DDB39" w14:textId="77777777" w:rsidR="00F8103F" w:rsidRPr="00882C5B" w:rsidRDefault="00F8103F" w:rsidP="00882C5B">
      <w:pPr>
        <w:spacing w:line="360" w:lineRule="auto"/>
        <w:jc w:val="both"/>
      </w:pPr>
    </w:p>
    <w:p w14:paraId="7E074DE4" w14:textId="5F3C57E9" w:rsidR="00882C5B" w:rsidRPr="00882C5B" w:rsidRDefault="00882C5B" w:rsidP="00882C5B">
      <w:pPr>
        <w:spacing w:line="360" w:lineRule="auto"/>
        <w:jc w:val="both"/>
      </w:pPr>
      <w:r w:rsidRPr="00882C5B">
        <w:t xml:space="preserve">Furthermore, Cassava failed to disclose that Dr. Wang conducted a second round of biomarker testing after being partially unblinded. An internal audit later deemed his laboratory "unacceptable" </w:t>
      </w:r>
      <w:r w:rsidR="00751359">
        <w:t xml:space="preserve">and </w:t>
      </w:r>
      <w:r w:rsidR="0031455A" w:rsidRPr="0031455A">
        <w:t>"temporarily not qualified" to conduct future biomarker analyses due to severe procedural failings</w:t>
      </w:r>
      <w:r w:rsidR="008E06C4">
        <w:t xml:space="preserve"> (</w:t>
      </w:r>
      <w:hyperlink r:id="rId193" w:history="1">
        <w:r w:rsidR="008E06C4" w:rsidRPr="00B170D5">
          <w:rPr>
            <w:rStyle w:val="Hyperlink"/>
          </w:rPr>
          <w:t>SEC</w:t>
        </w:r>
        <w:r w:rsidR="00B170D5" w:rsidRPr="00B170D5">
          <w:rPr>
            <w:rStyle w:val="Hyperlink"/>
          </w:rPr>
          <w:t xml:space="preserve"> vs SAVA, 2024</w:t>
        </w:r>
      </w:hyperlink>
      <w:r w:rsidR="008E06C4">
        <w:t>)</w:t>
      </w:r>
      <w:r w:rsidR="00D53E2F">
        <w:t xml:space="preserve">. Despite these audit findings Cassava Sciences did </w:t>
      </w:r>
      <w:r w:rsidRPr="00882C5B">
        <w:t xml:space="preserve">not </w:t>
      </w:r>
      <w:r w:rsidR="00A93420" w:rsidRPr="00882C5B">
        <w:t>disclose</w:t>
      </w:r>
      <w:r w:rsidRPr="00882C5B">
        <w:t xml:space="preserve"> to investors at the time</w:t>
      </w:r>
      <w:r w:rsidR="008C5F09">
        <w:t xml:space="preserve">, until they had secured significant </w:t>
      </w:r>
      <w:r w:rsidR="001C440F">
        <w:t xml:space="preserve">investment based </w:t>
      </w:r>
      <w:r w:rsidR="00396BDD">
        <w:t>o</w:t>
      </w:r>
      <w:r w:rsidR="001C440F">
        <w:t xml:space="preserve">n the </w:t>
      </w:r>
      <w:r w:rsidR="00396BDD">
        <w:lastRenderedPageBreak/>
        <w:t>fraudulent</w:t>
      </w:r>
      <w:r w:rsidR="001C440F">
        <w:t xml:space="preserve"> re</w:t>
      </w:r>
      <w:r w:rsidR="00691D26">
        <w:t xml:space="preserve">sults of the Phase IIb </w:t>
      </w:r>
      <w:r w:rsidR="00396BDD">
        <w:t>trial</w:t>
      </w:r>
      <w:r w:rsidRPr="00882C5B">
        <w:t>. Instead, the company continued to work with Dr. Wang</w:t>
      </w:r>
      <w:r w:rsidR="00A57C7D">
        <w:t xml:space="preserve"> until mid-2024</w:t>
      </w:r>
      <w:r w:rsidRPr="00882C5B">
        <w:t xml:space="preserve"> and misrepresented the integrity of its data to secure significant investments.</w:t>
      </w:r>
      <w:r w:rsidR="0066558E">
        <w:t xml:space="preserve"> </w:t>
      </w:r>
      <w:r w:rsidR="0066558E" w:rsidRPr="0066558E">
        <w:t xml:space="preserve">By failing to disclose these conflicts of interest and procedural lapses, Cassava Sciences violated multiple securities laws - </w:t>
      </w:r>
      <w:hyperlink r:id="rId194" w:history="1">
        <w:r w:rsidR="0066558E" w:rsidRPr="0019493D">
          <w:rPr>
            <w:rStyle w:val="Hyperlink"/>
          </w:rPr>
          <w:t>as detailed in the SEC complaint</w:t>
        </w:r>
      </w:hyperlink>
      <w:r w:rsidR="0066558E" w:rsidRPr="0066558E">
        <w:t>.</w:t>
      </w:r>
    </w:p>
    <w:p w14:paraId="36A83B82" w14:textId="77777777" w:rsidR="00F8103F" w:rsidRDefault="00F8103F" w:rsidP="00882C5B">
      <w:pPr>
        <w:spacing w:line="360" w:lineRule="auto"/>
        <w:jc w:val="both"/>
        <w:rPr>
          <w:b/>
          <w:bCs/>
        </w:rPr>
      </w:pPr>
    </w:p>
    <w:p w14:paraId="4785C8E0" w14:textId="0A8F3AFC" w:rsidR="00882C5B" w:rsidRPr="00882C5B" w:rsidRDefault="00882C5B" w:rsidP="002E2D7E">
      <w:pPr>
        <w:spacing w:line="360" w:lineRule="auto"/>
      </w:pPr>
      <w:r w:rsidRPr="00882C5B">
        <w:t>One of the most troubling aspects of the trial was the manipulation of cognition data. Cassava selectively removed 40% of the study participants from its analysis, resulting in a more favorable presentation of Simufilam's effects on episodic memory. Dr. Burns, who was unblinded to the data, removed both high- and low-performing patients, skewing the results to suggest a cognitive improvement in patients treated with Simufilam. This form of post-hoc analysis, which was not part of the original clinical trial protocol, gave the appearance of efficacy where none existed.</w:t>
      </w:r>
      <w:r w:rsidR="008C3918">
        <w:t xml:space="preserve"> </w:t>
      </w:r>
      <w:r w:rsidR="002E2D7E" w:rsidRPr="002E2D7E">
        <w:t>Crucially, this manipulation was not disclosed to investors at the time. It wasn't until July 2024—after Cassava had raised hundreds of millions of dollars based on these misrepresented results—that the company finally admitted to excluding a significant portion of the dataset from its analysis</w:t>
      </w:r>
      <w:r w:rsidR="00BB4304">
        <w:t xml:space="preserve"> (</w:t>
      </w:r>
      <w:hyperlink r:id="rId195" w:history="1">
        <w:r w:rsidR="00BB4304" w:rsidRPr="00BB4304">
          <w:rPr>
            <w:rStyle w:val="Hyperlink"/>
          </w:rPr>
          <w:t>SEC vs SAVA, 2024</w:t>
        </w:r>
      </w:hyperlink>
      <w:r w:rsidR="00BB4304">
        <w:t>)</w:t>
      </w:r>
      <w:r w:rsidR="002E2D7E" w:rsidRPr="002E2D7E">
        <w:t>.</w:t>
      </w:r>
    </w:p>
    <w:p w14:paraId="6C35A626" w14:textId="77777777" w:rsidR="00A27C68" w:rsidRDefault="00A27C68" w:rsidP="00882C5B">
      <w:pPr>
        <w:spacing w:line="360" w:lineRule="auto"/>
        <w:jc w:val="both"/>
      </w:pPr>
    </w:p>
    <w:p w14:paraId="727815C2" w14:textId="0ED78C45" w:rsidR="00882C5B" w:rsidRPr="00882C5B" w:rsidRDefault="00882C5B" w:rsidP="00882C5B">
      <w:pPr>
        <w:spacing w:line="360" w:lineRule="auto"/>
        <w:jc w:val="both"/>
      </w:pPr>
      <w:r w:rsidRPr="00882C5B">
        <w:t>For instance, when the full dataset is considered, the changes in episodic memory errors between the placebo and treatment groups were negligible. The placebo group saw a change of -3.4 points, while the group receiving 50mg of Simufilam only improved by -2.8 points, and the 100mg group showed no change. These results clearly contradict Cassava’s public claims of significant cognitive improvements, underscoring the unethical nature of the data manipulation</w:t>
      </w:r>
      <w:r w:rsidR="0008404A">
        <w:t xml:space="preserve"> (</w:t>
      </w:r>
      <w:hyperlink r:id="rId196" w:history="1">
        <w:r w:rsidR="0008404A" w:rsidRPr="0008404A">
          <w:rPr>
            <w:rStyle w:val="Hyperlink"/>
          </w:rPr>
          <w:t>SEC VS SAVA</w:t>
        </w:r>
      </w:hyperlink>
      <w:r w:rsidR="0008404A">
        <w:t>)</w:t>
      </w:r>
      <w:r w:rsidRPr="00882C5B">
        <w:t>.</w:t>
      </w:r>
    </w:p>
    <w:p w14:paraId="269A1AB9" w14:textId="77777777" w:rsidR="00F8103F" w:rsidRDefault="00F8103F" w:rsidP="00882C5B">
      <w:pPr>
        <w:spacing w:line="360" w:lineRule="auto"/>
        <w:jc w:val="both"/>
        <w:rPr>
          <w:b/>
          <w:bCs/>
        </w:rPr>
      </w:pPr>
    </w:p>
    <w:p w14:paraId="1C60F85D" w14:textId="4EAF70D5" w:rsidR="006F1BD9" w:rsidRDefault="006F1BD9" w:rsidP="00882C5B">
      <w:pPr>
        <w:spacing w:line="360" w:lineRule="auto"/>
        <w:jc w:val="both"/>
        <w:rPr>
          <w:b/>
          <w:bCs/>
        </w:rPr>
      </w:pPr>
      <w:r>
        <w:rPr>
          <w:b/>
          <w:bCs/>
          <w:noProof/>
          <w14:ligatures w14:val="standardContextual"/>
        </w:rPr>
        <w:drawing>
          <wp:inline distT="0" distB="0" distL="0" distR="0" wp14:anchorId="3B886E66" wp14:editId="4AFD49BC">
            <wp:extent cx="5943600" cy="2362200"/>
            <wp:effectExtent l="0" t="0" r="0" b="0"/>
            <wp:docPr id="80360193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601938" name="Picture 1" descr="A screenshot of a graph&#10;&#10;Description automatically generated"/>
                    <pic:cNvPicPr/>
                  </pic:nvPicPr>
                  <pic:blipFill>
                    <a:blip r:embed="rId197" cstate="print">
                      <a:extLst>
                        <a:ext uri="{28A0092B-C50C-407E-A947-70E740481C1C}">
                          <a14:useLocalDpi xmlns:a14="http://schemas.microsoft.com/office/drawing/2010/main" val="0"/>
                        </a:ext>
                      </a:extLst>
                    </a:blip>
                    <a:stretch>
                      <a:fillRect/>
                    </a:stretch>
                  </pic:blipFill>
                  <pic:spPr>
                    <a:xfrm>
                      <a:off x="0" y="0"/>
                      <a:ext cx="5943600" cy="2362200"/>
                    </a:xfrm>
                    <a:prstGeom prst="rect">
                      <a:avLst/>
                    </a:prstGeom>
                  </pic:spPr>
                </pic:pic>
              </a:graphicData>
            </a:graphic>
          </wp:inline>
        </w:drawing>
      </w:r>
    </w:p>
    <w:p w14:paraId="247EA988" w14:textId="7F7B9563" w:rsidR="00114750" w:rsidRPr="001836F4" w:rsidRDefault="5183A6D9" w:rsidP="00114750">
      <w:pPr>
        <w:spacing w:line="360" w:lineRule="auto"/>
        <w:jc w:val="both"/>
      </w:pPr>
      <w:r w:rsidRPr="5183A6D9">
        <w:rPr>
          <w:rFonts w:eastAsiaTheme="majorEastAsia"/>
          <w:b/>
          <w:bCs/>
        </w:rPr>
        <w:lastRenderedPageBreak/>
        <w:t xml:space="preserve">Figure 8. </w:t>
      </w:r>
      <w:r w:rsidRPr="5183A6D9">
        <w:rPr>
          <w:rFonts w:eastAsiaTheme="majorEastAsia"/>
        </w:rPr>
        <w:t>Excel Model comparing the results of the SEC for the Phase IIb of Simufilam and the results Cassava Sciences gives for its Phase IIb (</w:t>
      </w:r>
      <w:hyperlink r:id="rId198">
        <w:r w:rsidRPr="5183A6D9">
          <w:rPr>
            <w:rStyle w:val="Hyperlink"/>
            <w:rFonts w:eastAsiaTheme="majorEastAsia"/>
          </w:rPr>
          <w:t>SEC vs Cassava, 2024</w:t>
        </w:r>
      </w:hyperlink>
      <w:r w:rsidRPr="5183A6D9">
        <w:rPr>
          <w:rFonts w:eastAsiaTheme="majorEastAsia"/>
        </w:rPr>
        <w:t>) (</w:t>
      </w:r>
      <w:hyperlink r:id="rId199" w:anchor="outcome-measures">
        <w:r w:rsidRPr="5183A6D9">
          <w:rPr>
            <w:rStyle w:val="Hyperlink"/>
            <w:rFonts w:eastAsiaTheme="majorEastAsia"/>
          </w:rPr>
          <w:t>NCT04079803</w:t>
        </w:r>
      </w:hyperlink>
      <w:r w:rsidRPr="5183A6D9">
        <w:rPr>
          <w:rFonts w:eastAsiaTheme="majorEastAsia"/>
        </w:rPr>
        <w:t>)</w:t>
      </w:r>
    </w:p>
    <w:p w14:paraId="1B94549C" w14:textId="77777777" w:rsidR="00114750" w:rsidRDefault="00114750" w:rsidP="00882C5B">
      <w:pPr>
        <w:spacing w:line="360" w:lineRule="auto"/>
        <w:jc w:val="both"/>
        <w:rPr>
          <w:b/>
          <w:bCs/>
        </w:rPr>
      </w:pPr>
    </w:p>
    <w:p w14:paraId="14D3E66B" w14:textId="77777777" w:rsidR="006F1BD9" w:rsidRDefault="006F1BD9" w:rsidP="00882C5B">
      <w:pPr>
        <w:spacing w:line="360" w:lineRule="auto"/>
        <w:jc w:val="both"/>
        <w:rPr>
          <w:b/>
          <w:bCs/>
        </w:rPr>
      </w:pPr>
    </w:p>
    <w:p w14:paraId="6AAE4E56" w14:textId="5AD19DB1" w:rsidR="00882C5B" w:rsidRDefault="5183A6D9" w:rsidP="00882C5B">
      <w:pPr>
        <w:spacing w:line="360" w:lineRule="auto"/>
        <w:jc w:val="both"/>
      </w:pPr>
      <w:r>
        <w:t>Cassava leveraged these misleading Phase IIb results to raise substantial capital. After publicizing their Phase IIb outcomes in September 2020, the company’s stock price more than doubled, and they raised approximately $70 million in November 2020 and another $190 million in early 2021. These capital raises were based largely on the false perception that Simufilam was showing promise as an AD treatment.</w:t>
      </w:r>
    </w:p>
    <w:p w14:paraId="7182FF79" w14:textId="77777777" w:rsidR="00F8103F" w:rsidRPr="00882C5B" w:rsidRDefault="00F8103F" w:rsidP="00882C5B">
      <w:pPr>
        <w:spacing w:line="360" w:lineRule="auto"/>
        <w:jc w:val="both"/>
      </w:pPr>
    </w:p>
    <w:p w14:paraId="3C003A92" w14:textId="4ADBD557" w:rsidR="00882C5B" w:rsidRPr="00882C5B" w:rsidRDefault="5183A6D9" w:rsidP="00882C5B">
      <w:pPr>
        <w:spacing w:line="360" w:lineRule="auto"/>
        <w:jc w:val="both"/>
      </w:pPr>
      <w:hyperlink r:id="rId200">
        <w:r w:rsidRPr="5183A6D9">
          <w:rPr>
            <w:rStyle w:val="Hyperlink"/>
          </w:rPr>
          <w:t>The SEC alleges</w:t>
        </w:r>
      </w:hyperlink>
      <w:r>
        <w:t xml:space="preserve"> that without these fraudulent claims, it would have been difficult, if not impossible, for Cassava to secure the necessary funds to continue with its Phase III trials. Several financial institutions indicated that the company’s ability to raise capital hinged on the success of the Phase IIb trial. Therefore, the manipulation of data not only misled investors but also became integral to Cassava’s financial survival.</w:t>
      </w:r>
    </w:p>
    <w:p w14:paraId="0048006C" w14:textId="77777777" w:rsidR="00F8103F" w:rsidRDefault="00F8103F" w:rsidP="00882C5B">
      <w:pPr>
        <w:spacing w:line="360" w:lineRule="auto"/>
        <w:jc w:val="both"/>
        <w:rPr>
          <w:b/>
          <w:bCs/>
        </w:rPr>
      </w:pPr>
    </w:p>
    <w:p w14:paraId="289905BE" w14:textId="6B24DD3B" w:rsidR="00882C5B" w:rsidRDefault="00882C5B" w:rsidP="00882C5B">
      <w:pPr>
        <w:spacing w:line="360" w:lineRule="auto"/>
        <w:jc w:val="both"/>
      </w:pPr>
      <w:r w:rsidRPr="00882C5B">
        <w:t>Simufilam represents Cassava’s only significant asset, and the company’s future revenue prospects are entirely dependent on its success. The SEC's revelations have severely discredited the scientific basis for Simufilam, calling into question whether it will ever receive FDA approval. Additionally, the ongoing legal challenges and loss of investor trust have cast doubt on Cassava’s ability to raise future capital.</w:t>
      </w:r>
    </w:p>
    <w:p w14:paraId="1CE886BE" w14:textId="77777777" w:rsidR="00F8103F" w:rsidRDefault="00F8103F" w:rsidP="00882C5B">
      <w:pPr>
        <w:spacing w:line="360" w:lineRule="auto"/>
        <w:jc w:val="both"/>
      </w:pPr>
    </w:p>
    <w:p w14:paraId="50220259" w14:textId="6D4FBA2F" w:rsidR="00394F48" w:rsidRDefault="000F201D" w:rsidP="00882C5B">
      <w:pPr>
        <w:spacing w:line="360" w:lineRule="auto"/>
        <w:jc w:val="both"/>
      </w:pPr>
      <w:r w:rsidRPr="000F201D">
        <w:t>As a result of the SEC’s investigation, Cassava Sciences, Inc., along with Remi Barbier and Lindsay Burns, agreed to settle the civil charges by paying $40 million, $175,000, and $85,000, respectively, to resolve the charges brought by the SEC</w:t>
      </w:r>
      <w:r w:rsidR="00126763">
        <w:t xml:space="preserve"> </w:t>
      </w:r>
      <w:r w:rsidR="00126763" w:rsidRPr="00126763">
        <w:t>(</w:t>
      </w:r>
      <w:hyperlink r:id="rId201" w:history="1">
        <w:r w:rsidR="00126763" w:rsidRPr="00126763">
          <w:rPr>
            <w:rStyle w:val="Hyperlink"/>
          </w:rPr>
          <w:t>Reuters, 2024</w:t>
        </w:r>
      </w:hyperlink>
      <w:r w:rsidR="00126763" w:rsidRPr="00126763">
        <w:t>)</w:t>
      </w:r>
      <w:r w:rsidR="00126763">
        <w:t xml:space="preserve">. </w:t>
      </w:r>
    </w:p>
    <w:p w14:paraId="6C89F76C" w14:textId="77777777" w:rsidR="002E1359" w:rsidRPr="00882C5B" w:rsidRDefault="002E1359" w:rsidP="00882C5B">
      <w:pPr>
        <w:spacing w:line="360" w:lineRule="auto"/>
        <w:jc w:val="both"/>
      </w:pPr>
    </w:p>
    <w:p w14:paraId="3B69977A" w14:textId="77777777" w:rsidR="00882C5B" w:rsidRDefault="00882C5B" w:rsidP="002A14F9">
      <w:pPr>
        <w:spacing w:line="360" w:lineRule="auto"/>
        <w:jc w:val="both"/>
      </w:pPr>
    </w:p>
    <w:p w14:paraId="5A9DEE56" w14:textId="5A13C3E8" w:rsidR="0037582C" w:rsidRPr="001836F4" w:rsidRDefault="0037582C" w:rsidP="00F84A37">
      <w:pPr>
        <w:jc w:val="both"/>
      </w:pPr>
    </w:p>
    <w:p w14:paraId="5D36A8D5" w14:textId="77777777" w:rsidR="0037582C" w:rsidRPr="001836F4" w:rsidRDefault="0037582C" w:rsidP="00F84A37">
      <w:pPr>
        <w:jc w:val="both"/>
      </w:pPr>
    </w:p>
    <w:p w14:paraId="7D4B248C" w14:textId="77777777" w:rsidR="000857E9" w:rsidRPr="001836F4" w:rsidRDefault="000857E9" w:rsidP="00F84A37">
      <w:pPr>
        <w:jc w:val="both"/>
      </w:pPr>
    </w:p>
    <w:p w14:paraId="46C618F4" w14:textId="653BFED8" w:rsidR="000857E9" w:rsidRPr="001836F4" w:rsidRDefault="5183A6D9" w:rsidP="5183A6D9">
      <w:pPr>
        <w:pStyle w:val="Heading2"/>
        <w:rPr>
          <w:rFonts w:ascii="Times New Roman" w:eastAsia="Times New Roman" w:hAnsi="Times New Roman" w:cs="Times New Roman"/>
          <w:b/>
          <w:bCs/>
          <w:color w:val="auto"/>
        </w:rPr>
      </w:pPr>
      <w:bookmarkStart w:id="71" w:name="_Toc75488337"/>
      <w:r w:rsidRPr="5183A6D9">
        <w:rPr>
          <w:rFonts w:ascii="Times New Roman" w:eastAsia="Times New Roman" w:hAnsi="Times New Roman" w:cs="Times New Roman"/>
          <w:b/>
          <w:bCs/>
          <w:color w:val="auto"/>
        </w:rPr>
        <w:lastRenderedPageBreak/>
        <w:t>6. The CUNY Investigation</w:t>
      </w:r>
      <w:bookmarkEnd w:id="71"/>
    </w:p>
    <w:p w14:paraId="2C7C5412" w14:textId="426C5F7E" w:rsidR="004C4460" w:rsidRDefault="004C4460" w:rsidP="004C4460">
      <w:pPr>
        <w:spacing w:line="360" w:lineRule="auto"/>
        <w:jc w:val="both"/>
      </w:pPr>
      <w:r w:rsidRPr="004C4460">
        <w:t xml:space="preserve">The findings from the </w:t>
      </w:r>
      <w:hyperlink r:id="rId202" w:history="1">
        <w:r w:rsidRPr="004C4460">
          <w:rPr>
            <w:rStyle w:val="Hyperlink"/>
          </w:rPr>
          <w:t>CUNY investigation</w:t>
        </w:r>
      </w:hyperlink>
      <w:r w:rsidRPr="004C4460">
        <w:t xml:space="preserve"> into Dr. Hoau-Yan Wang’s laboratory at The City College of New York (CCNY) provide substantial evidence relevant to our short position on Cassava Sciences. The investigation, conducted by CUNY, identified numerous scientific and procedural deficiencies in the bioanalytical studies that underpin Cassava's clinical claims regarding </w:t>
      </w:r>
      <w:r w:rsidR="00200D94" w:rsidRPr="004C4460">
        <w:t>Simufilam’s</w:t>
      </w:r>
      <w:r w:rsidRPr="004C4460">
        <w:t xml:space="preserve"> efficacy. These findings directly question the credibility of the science supporting Simufilam, raising red flags about Cassava's valuation and the prospects of the drug's success.</w:t>
      </w:r>
    </w:p>
    <w:p w14:paraId="1BBD64B7" w14:textId="77777777" w:rsidR="004C4460" w:rsidRPr="004C4460" w:rsidRDefault="004C4460" w:rsidP="004C4460">
      <w:pPr>
        <w:spacing w:line="360" w:lineRule="auto"/>
        <w:jc w:val="both"/>
      </w:pPr>
    </w:p>
    <w:p w14:paraId="38B1F328" w14:textId="46FC4CE7" w:rsidR="004C4460" w:rsidRPr="004C4460" w:rsidRDefault="004C4460" w:rsidP="004C4460">
      <w:pPr>
        <w:spacing w:line="360" w:lineRule="auto"/>
        <w:jc w:val="both"/>
      </w:pPr>
      <w:r w:rsidRPr="004C4460">
        <w:t xml:space="preserve">One of the critical findings in the </w:t>
      </w:r>
      <w:hyperlink r:id="rId203" w:history="1">
        <w:r w:rsidRPr="004C4460">
          <w:rPr>
            <w:rStyle w:val="Hyperlink"/>
          </w:rPr>
          <w:t>CUNY investigation</w:t>
        </w:r>
      </w:hyperlink>
      <w:r w:rsidRPr="004C4460">
        <w:t xml:space="preserve"> was the lack of validation for the ELISA assays used to measure crucial biomarkers in cerebrospinal fluid (CSF) samples. These biomarkers were vital to Cassava’s claims that Simufilam positively affects cognitive function by modulating proteins implicated in A</w:t>
      </w:r>
      <w:r w:rsidR="009D0F7B">
        <w:t>D</w:t>
      </w:r>
      <w:r w:rsidRPr="004C4460">
        <w:t xml:space="preserve">. However, </w:t>
      </w:r>
      <w:hyperlink r:id="rId204" w:history="1">
        <w:r w:rsidRPr="004C4460">
          <w:rPr>
            <w:rStyle w:val="Hyperlink"/>
          </w:rPr>
          <w:t>CUNY</w:t>
        </w:r>
      </w:hyperlink>
      <w:r w:rsidRPr="004C4460">
        <w:t xml:space="preserve"> found that Dr. Wang’s lab failed to conduct in-house validation of the assays for parameters such as accuracy, precision, and sensitivity. Instead, the lab relied on commercially available ELISA kits without verifying their performance for the specific experimental conditions of Cassava’s studies. This omission of assay validation is a fundamental breach of scientific standards, as validated assays are necessary to ensure data reliability. Without this validation, the study data used to support </w:t>
      </w:r>
      <w:r w:rsidR="009D0F7B">
        <w:t>S</w:t>
      </w:r>
      <w:r w:rsidRPr="004C4460">
        <w:t>imufilam’s purported benefits become speculative and unreliable, undermining the credibility of any conclusions about the drug’s efficacy.</w:t>
      </w:r>
    </w:p>
    <w:p w14:paraId="1DCA1D5A" w14:textId="45C1EB98" w:rsidR="004C4460" w:rsidRDefault="004C4460" w:rsidP="004C4460">
      <w:pPr>
        <w:spacing w:line="360" w:lineRule="auto"/>
        <w:jc w:val="both"/>
      </w:pPr>
      <w:r w:rsidRPr="004C4460">
        <w:t xml:space="preserve">Additionally, </w:t>
      </w:r>
      <w:hyperlink r:id="rId205" w:history="1">
        <w:r w:rsidRPr="004C4460">
          <w:rPr>
            <w:rStyle w:val="Hyperlink"/>
          </w:rPr>
          <w:t>CUNY found</w:t>
        </w:r>
      </w:hyperlink>
      <w:r w:rsidRPr="004C4460">
        <w:t xml:space="preserve"> significant issues with the processing stage of the ELISA assays. The investigation revealed that the lab used a linear regression model to interpret calibration data, despite a clear non-linear relationship between the biomarker concentrations and the assay responses. Dr. Wang himself admitted to being unaware of alternative curve-fitting models available within the software used. This oversight is significant, as the incorrect statistical model would yield inaccurate biomarker measurements, further compromising the validity of the conclusions drawn. This use of an inappropriate model to interpret biomarker data questions the accuracy of </w:t>
      </w:r>
      <w:r w:rsidR="009D0F7B">
        <w:t>S</w:t>
      </w:r>
      <w:r w:rsidRPr="004C4460">
        <w:t>imufilam’s reported effects and adds to the concerns about Cassava’s clinical program.</w:t>
      </w:r>
    </w:p>
    <w:p w14:paraId="4620F733" w14:textId="77777777" w:rsidR="004C4460" w:rsidRPr="004C4460" w:rsidRDefault="004C4460" w:rsidP="004C4460">
      <w:pPr>
        <w:spacing w:line="360" w:lineRule="auto"/>
        <w:jc w:val="both"/>
      </w:pPr>
    </w:p>
    <w:p w14:paraId="6DD4B4AC" w14:textId="791BB7DB" w:rsidR="004C4460" w:rsidRDefault="5183A6D9" w:rsidP="004C4460">
      <w:pPr>
        <w:spacing w:line="360" w:lineRule="auto"/>
        <w:jc w:val="both"/>
      </w:pPr>
      <w:r>
        <w:t xml:space="preserve">Record-keeping and documentation deficiencies were another severe issue uncovered in the </w:t>
      </w:r>
      <w:hyperlink r:id="rId206">
        <w:r w:rsidRPr="5183A6D9">
          <w:rPr>
            <w:rStyle w:val="Hyperlink"/>
          </w:rPr>
          <w:t>CUNY investigation</w:t>
        </w:r>
      </w:hyperlink>
      <w:r>
        <w:t xml:space="preserve">. Dr. Wang’s lab failed to maintain essential records, such as documentation </w:t>
      </w:r>
      <w:r>
        <w:lastRenderedPageBreak/>
        <w:t>of sample storage, tracking, calibration standards, and experimental protocols, making it impossible to verify or replicate key aspects of the studies. Furthermore, the lab did not maintain source records for Western blot analyses, nor did it keep audit trails for the equipment used in the ELISA assays. This lack of rigorous documentation is a fundamental flaw, as reliable scientific research relies on meticulous record-keeping to ensure data integrity, reproducibility, and transparency. The absence of these records significantly undermines the trustworthiness of the data supporting Simufilam’s clinical program, raising significant concerns for investors.</w:t>
      </w:r>
    </w:p>
    <w:p w14:paraId="2B49DF26" w14:textId="77777777" w:rsidR="004C4460" w:rsidRPr="004C4460" w:rsidRDefault="004C4460" w:rsidP="004C4460">
      <w:pPr>
        <w:spacing w:line="360" w:lineRule="auto"/>
        <w:jc w:val="both"/>
      </w:pPr>
    </w:p>
    <w:p w14:paraId="1424266B" w14:textId="6DC58177" w:rsidR="004C4460" w:rsidRDefault="004C4460" w:rsidP="004C4460">
      <w:pPr>
        <w:spacing w:line="360" w:lineRule="auto"/>
        <w:jc w:val="both"/>
      </w:pPr>
      <w:hyperlink r:id="rId207" w:history="1">
        <w:r w:rsidRPr="004C4460">
          <w:rPr>
            <w:rStyle w:val="Hyperlink"/>
          </w:rPr>
          <w:t>CUNY’s findings</w:t>
        </w:r>
      </w:hyperlink>
      <w:r w:rsidRPr="004C4460">
        <w:t xml:space="preserve"> also revealed troubling practices in data handling, specifically the arbitrary exclusion of data points from triplicate analyses. In numerous cases, the lab excluded one of three data points when calculating mean biomarker concentrations without consistent criteria for identifying outliers. This practice of data exclusion, without a standardized or transparent rationale, is a serious breach of scientific integrity. When questioned, Dr. Wang acknowledged that these exclusions were due to mistakes in formula application rather than any systematic approach. Such selective data manipulation is highly concerning, as it introduces the possibility that the data was shaped to produce a favorable outcome for Simufilam. This finding further weakens the credibility of the data and raises additional concerns about the reliability of Cassava's clinical claims.</w:t>
      </w:r>
    </w:p>
    <w:p w14:paraId="18B426CA" w14:textId="77777777" w:rsidR="004C4460" w:rsidRPr="004C4460" w:rsidRDefault="004C4460" w:rsidP="004C4460">
      <w:pPr>
        <w:spacing w:line="360" w:lineRule="auto"/>
        <w:jc w:val="both"/>
      </w:pPr>
    </w:p>
    <w:p w14:paraId="49E29B21" w14:textId="2E886C4D" w:rsidR="004C4460" w:rsidRDefault="004C4460" w:rsidP="004C4460">
      <w:pPr>
        <w:spacing w:line="360" w:lineRule="auto"/>
        <w:jc w:val="both"/>
      </w:pPr>
      <w:r w:rsidRPr="004C4460">
        <w:t xml:space="preserve">A further significant deficiency noted in the </w:t>
      </w:r>
      <w:hyperlink r:id="rId208" w:history="1">
        <w:r w:rsidRPr="004C4460">
          <w:rPr>
            <w:rStyle w:val="Hyperlink"/>
          </w:rPr>
          <w:t>CUNY report</w:t>
        </w:r>
      </w:hyperlink>
      <w:r w:rsidRPr="004C4460">
        <w:t xml:space="preserve"> was the absence of quality control (QC) samples in the ELISA assays. QC samples are essential in bioanalytical studies to verify that assays are performing consistently and accurately over time. Dr. Wang admitted that no QC samples were included in the study, meaning that there was no ongoing verification to ensure the assay’s reliability. The lack of QC samples introduces considerable uncertainty in the data, as there is no benchmark to confirm that the assays yielded consistent results. This omission fundamentally undermines the reliability of the biomarker data presented, which is critical to Cassava's claims about </w:t>
      </w:r>
      <w:r w:rsidR="00B13BB9" w:rsidRPr="004C4460">
        <w:t>Simufilam’s</w:t>
      </w:r>
      <w:r w:rsidRPr="004C4460">
        <w:t xml:space="preserve"> efficacy.</w:t>
      </w:r>
    </w:p>
    <w:p w14:paraId="3ED1557B" w14:textId="77777777" w:rsidR="004C4460" w:rsidRPr="004C4460" w:rsidRDefault="004C4460" w:rsidP="004C4460">
      <w:pPr>
        <w:spacing w:line="360" w:lineRule="auto"/>
        <w:jc w:val="both"/>
      </w:pPr>
    </w:p>
    <w:p w14:paraId="15662D0A" w14:textId="3723E10A" w:rsidR="004C4460" w:rsidRDefault="5183A6D9" w:rsidP="004C4460">
      <w:pPr>
        <w:spacing w:line="360" w:lineRule="auto"/>
        <w:jc w:val="both"/>
      </w:pPr>
      <w:r>
        <w:t xml:space="preserve">Another crucial issue was highlighted by the </w:t>
      </w:r>
      <w:hyperlink r:id="rId209">
        <w:r w:rsidRPr="5183A6D9">
          <w:rPr>
            <w:rStyle w:val="Hyperlink"/>
          </w:rPr>
          <w:t>CUNY investigation</w:t>
        </w:r>
        <w:r w:rsidRPr="5183A6D9">
          <w:rPr>
            <w:rStyle w:val="Hyperlink"/>
            <w:color w:val="auto"/>
          </w:rPr>
          <w:t>,</w:t>
        </w:r>
      </w:hyperlink>
      <w:r w:rsidRPr="5183A6D9">
        <w:t xml:space="preserve"> </w:t>
      </w:r>
      <w:bookmarkStart w:id="72" w:name="_Int_eQ6xeb6a"/>
      <w:r>
        <w:t>the</w:t>
      </w:r>
      <w:bookmarkEnd w:id="72"/>
      <w:r>
        <w:t xml:space="preserve"> failure to assess the stability of the CSF and blood samples used in the study. Stability testing is crucial for ensuring that biomarker levels remain consistent over time, particularly when working with biological samples that may degrade under certain conditions. Dr. Wang acknowledged that his lab did not conduct </w:t>
      </w:r>
      <w:r>
        <w:lastRenderedPageBreak/>
        <w:t>any stability assessments to confirm that the samples remained viable throughout the storage and handling processes. This failure introduces significant doubt about the reported biomarker levels, as it is unclear whether the measurements reflect actual biological conditions or are artifacts of sample degradation.</w:t>
      </w:r>
    </w:p>
    <w:p w14:paraId="3B0EAA58" w14:textId="77777777" w:rsidR="004C4460" w:rsidRPr="004C4460" w:rsidRDefault="004C4460" w:rsidP="004C4460">
      <w:pPr>
        <w:spacing w:line="360" w:lineRule="auto"/>
        <w:jc w:val="both"/>
      </w:pPr>
    </w:p>
    <w:p w14:paraId="0BDA8944" w14:textId="30C7EDF4" w:rsidR="004C4460" w:rsidRDefault="5183A6D9" w:rsidP="004C4460">
      <w:pPr>
        <w:spacing w:line="360" w:lineRule="auto"/>
        <w:jc w:val="both"/>
      </w:pPr>
      <w:r>
        <w:t xml:space="preserve">Finally, </w:t>
      </w:r>
      <w:hyperlink r:id="rId210">
        <w:r w:rsidRPr="5183A6D9">
          <w:rPr>
            <w:rStyle w:val="Hyperlink"/>
          </w:rPr>
          <w:t>CUNY’s inspection</w:t>
        </w:r>
      </w:hyperlink>
      <w:r>
        <w:t xml:space="preserve"> revealed serious lapses in equipment maintenance and data security within Dr. Wang’s lab. Key pieces of equipment, including the ELISA plate reader and the freezers used to store biological samples, had not been calibrated for years. Furthermore, the lab’s computers lacked access controls, meaning that any personnel could access and potentially alter data without leaving a trace. These operational deficiencies introduce additional risks of measurement errors and potential data tampering, further undermining the credibility of the data used to support Simufilam’s clinical claims.</w:t>
      </w:r>
    </w:p>
    <w:p w14:paraId="56B51020" w14:textId="77777777" w:rsidR="004C4460" w:rsidRPr="004C4460" w:rsidRDefault="004C4460" w:rsidP="004C4460">
      <w:pPr>
        <w:spacing w:line="360" w:lineRule="auto"/>
        <w:jc w:val="both"/>
      </w:pPr>
    </w:p>
    <w:p w14:paraId="38EEF9C7" w14:textId="628DAE88" w:rsidR="004C4460" w:rsidRDefault="004C4460" w:rsidP="00F84A37">
      <w:pPr>
        <w:spacing w:line="360" w:lineRule="auto"/>
        <w:jc w:val="both"/>
      </w:pPr>
      <w:r w:rsidRPr="004C4460">
        <w:t xml:space="preserve">In conclusion, the </w:t>
      </w:r>
      <w:hyperlink r:id="rId211" w:history="1">
        <w:r w:rsidRPr="004C4460">
          <w:rPr>
            <w:rStyle w:val="Hyperlink"/>
          </w:rPr>
          <w:t>CUNY investigation</w:t>
        </w:r>
      </w:hyperlink>
      <w:r w:rsidRPr="004C4460">
        <w:t xml:space="preserve"> presents a comprehensive account of scientific malpractice and procedural failures that significantly weaken Cassava Sciences’ claims about </w:t>
      </w:r>
      <w:r w:rsidR="009D0F7B">
        <w:t>S</w:t>
      </w:r>
      <w:r w:rsidRPr="004C4460">
        <w:t xml:space="preserve">imufilam. The lack of assay validation, the misapplication of statistical models, the failure to maintain proper documentation, and the absence of quality control all point to data that may be unreliable or manipulated. The findings from </w:t>
      </w:r>
      <w:hyperlink r:id="rId212" w:history="1">
        <w:r w:rsidRPr="004C4460">
          <w:rPr>
            <w:rStyle w:val="Hyperlink"/>
          </w:rPr>
          <w:t>CUNY's report</w:t>
        </w:r>
      </w:hyperlink>
      <w:r w:rsidRPr="004C4460">
        <w:t xml:space="preserve"> provide strong factual support for our position on Cassava Sciences, underscoring concerns about the integrity of the clinical data underpinning </w:t>
      </w:r>
      <w:r w:rsidR="00B13BB9" w:rsidRPr="004C4460">
        <w:t>Simufilam’s</w:t>
      </w:r>
      <w:r w:rsidRPr="004C4460">
        <w:t xml:space="preserve"> development.</w:t>
      </w:r>
    </w:p>
    <w:p w14:paraId="33B41383" w14:textId="77777777" w:rsidR="004C4460" w:rsidRDefault="004C4460" w:rsidP="00F84A37">
      <w:pPr>
        <w:spacing w:line="360" w:lineRule="auto"/>
        <w:jc w:val="both"/>
      </w:pPr>
    </w:p>
    <w:p w14:paraId="7F3FAB82" w14:textId="77777777" w:rsidR="004C4460" w:rsidRDefault="004C4460" w:rsidP="00F84A37">
      <w:pPr>
        <w:spacing w:line="360" w:lineRule="auto"/>
        <w:jc w:val="both"/>
      </w:pPr>
    </w:p>
    <w:p w14:paraId="489EB1BE" w14:textId="77777777" w:rsidR="004C4460" w:rsidRDefault="004C4460" w:rsidP="00F84A37">
      <w:pPr>
        <w:spacing w:line="360" w:lineRule="auto"/>
        <w:jc w:val="both"/>
      </w:pPr>
    </w:p>
    <w:p w14:paraId="51EE546B" w14:textId="77777777" w:rsidR="000857E9" w:rsidRPr="001836F4" w:rsidRDefault="000857E9" w:rsidP="00F84A37">
      <w:pPr>
        <w:spacing w:line="360" w:lineRule="auto"/>
        <w:jc w:val="both"/>
      </w:pPr>
    </w:p>
    <w:p w14:paraId="7B53E696" w14:textId="77777777" w:rsidR="001229EC" w:rsidRPr="001836F4" w:rsidRDefault="001229EC" w:rsidP="00F84A37">
      <w:pPr>
        <w:pStyle w:val="Heading3"/>
        <w:jc w:val="both"/>
        <w:rPr>
          <w:rFonts w:cs="Times New Roman"/>
        </w:rPr>
      </w:pPr>
    </w:p>
    <w:p w14:paraId="1463EA37" w14:textId="7DC63CB5" w:rsidR="007369A4" w:rsidRDefault="5183A6D9" w:rsidP="5183A6D9">
      <w:pPr>
        <w:pStyle w:val="Heading2"/>
        <w:spacing w:line="360" w:lineRule="auto"/>
        <w:rPr>
          <w:rFonts w:ascii="Times New Roman" w:eastAsia="Times New Roman" w:hAnsi="Times New Roman" w:cs="Times New Roman"/>
          <w:b/>
          <w:bCs/>
          <w:color w:val="auto"/>
        </w:rPr>
      </w:pPr>
      <w:bookmarkStart w:id="73" w:name="_Toc1429266956"/>
      <w:r w:rsidRPr="5183A6D9">
        <w:rPr>
          <w:rFonts w:ascii="Times New Roman" w:eastAsia="Times New Roman" w:hAnsi="Times New Roman" w:cs="Times New Roman"/>
          <w:b/>
          <w:bCs/>
          <w:color w:val="auto"/>
        </w:rPr>
        <w:t>7. QCM Report</w:t>
      </w:r>
      <w:bookmarkEnd w:id="73"/>
    </w:p>
    <w:p w14:paraId="24C47AC1" w14:textId="77777777" w:rsidR="00F74915" w:rsidRPr="00F74915" w:rsidRDefault="00F74915" w:rsidP="00F74915">
      <w:pPr>
        <w:spacing w:line="360" w:lineRule="auto"/>
      </w:pPr>
      <w:r w:rsidRPr="00F74915">
        <w:t xml:space="preserve">The Quintessential Capital Management (QCM) report on Cassava Sciences intensifies our belief that Cassava is a short position, reinforcing doubts around the legitimacy of its Alzheimer's drug, Simufilam. QCM’s investigative findings highlight deeply concerning issues within Cassava’s clinical trials and raise serious questions about the integrity and intent of its management. This </w:t>
      </w:r>
      <w:r w:rsidRPr="00F74915">
        <w:lastRenderedPageBreak/>
        <w:t>report provides a meticulous review of Cassava’s corporate behavior, from perverse financial incentives to manipulation in clinical trial conduct, all of which create a compelling case for shorting the stock.</w:t>
      </w:r>
    </w:p>
    <w:p w14:paraId="0AB7746C" w14:textId="77777777" w:rsidR="00142BE1" w:rsidRPr="00142BE1" w:rsidRDefault="00142BE1" w:rsidP="00142BE1"/>
    <w:p w14:paraId="7DC5743C" w14:textId="77777777" w:rsidR="007369A4" w:rsidRPr="001836F4" w:rsidRDefault="5183A6D9" w:rsidP="5183A6D9">
      <w:pPr>
        <w:pStyle w:val="Heading3"/>
        <w:rPr>
          <w:rFonts w:cs="Times New Roman"/>
          <w:b/>
          <w:bCs/>
          <w:color w:val="auto"/>
        </w:rPr>
      </w:pPr>
      <w:bookmarkStart w:id="74" w:name="_Toc1716630626"/>
      <w:r w:rsidRPr="5183A6D9">
        <w:rPr>
          <w:b/>
          <w:bCs/>
          <w:color w:val="auto"/>
        </w:rPr>
        <w:t>Incentive Compensation and Executive Greed</w:t>
      </w:r>
      <w:bookmarkEnd w:id="74"/>
    </w:p>
    <w:p w14:paraId="1B09224D" w14:textId="56E69308" w:rsidR="007369A4" w:rsidRPr="001836F4" w:rsidRDefault="007369A4" w:rsidP="00F84A37">
      <w:pPr>
        <w:spacing w:line="360" w:lineRule="auto"/>
        <w:jc w:val="both"/>
      </w:pPr>
      <w:r w:rsidRPr="007369A4">
        <w:t xml:space="preserve">Cassava Sciences’ executive compensation structure presents serious conflicts of interest. As outlined in </w:t>
      </w:r>
      <w:hyperlink r:id="rId213" w:history="1">
        <w:r w:rsidRPr="007369A4">
          <w:rPr>
            <w:rStyle w:val="Hyperlink"/>
          </w:rPr>
          <w:t>Quintessential Capital Management’s (QCM) report</w:t>
        </w:r>
      </w:hyperlink>
      <w:r w:rsidRPr="007369A4">
        <w:t>, the company’s incentive structure appears to encourage management to focus on short-term stock price increases, with no regard to long-term success or actual drug development milestones. The executive team, led by CEO Remi Barbier, has structured compensation in such a way that bonuses are awarded not based on clinical progress or FDA approval but merely on short-term stock price appreciation.</w:t>
      </w:r>
    </w:p>
    <w:p w14:paraId="40958A8E" w14:textId="77777777" w:rsidR="002C29C4" w:rsidRPr="007369A4" w:rsidRDefault="002C29C4" w:rsidP="00F84A37">
      <w:pPr>
        <w:spacing w:line="360" w:lineRule="auto"/>
        <w:jc w:val="both"/>
      </w:pPr>
    </w:p>
    <w:p w14:paraId="4875AB3B" w14:textId="563D9B3B" w:rsidR="007369A4" w:rsidRDefault="007369A4" w:rsidP="00F84A37">
      <w:pPr>
        <w:spacing w:line="360" w:lineRule="auto"/>
        <w:jc w:val="both"/>
      </w:pPr>
      <w:r w:rsidRPr="007369A4">
        <w:t>This compensation scheme is designed around market capitalization milestones, ranging from $200 million to $5 billion</w:t>
      </w:r>
      <w:r w:rsidR="00C57AB1">
        <w:t xml:space="preserve"> (</w:t>
      </w:r>
      <w:hyperlink r:id="rId214" w:history="1">
        <w:r w:rsidR="00C57AB1" w:rsidRPr="00FF6AF3">
          <w:rPr>
            <w:rStyle w:val="Hyperlink"/>
          </w:rPr>
          <w:t>QCM Report</w:t>
        </w:r>
      </w:hyperlink>
      <w:r w:rsidR="00C57AB1">
        <w:t xml:space="preserve">); </w:t>
      </w:r>
      <w:r w:rsidR="00C57AB1" w:rsidRPr="00C57AB1">
        <w:t>(</w:t>
      </w:r>
      <w:hyperlink r:id="rId215" w:history="1">
        <w:r w:rsidR="00C57AB1" w:rsidRPr="0041731A">
          <w:rPr>
            <w:rStyle w:val="Hyperlink"/>
            <w:i/>
            <w:iCs/>
          </w:rPr>
          <w:t>SAVA 8K 2020 Bonus Plan</w:t>
        </w:r>
        <w:r w:rsidR="00C57AB1" w:rsidRPr="0041731A">
          <w:rPr>
            <w:rStyle w:val="Hyperlink"/>
          </w:rPr>
          <w:t xml:space="preserve">, </w:t>
        </w:r>
        <w:r w:rsidR="0041731A" w:rsidRPr="0041731A">
          <w:rPr>
            <w:rStyle w:val="Hyperlink"/>
          </w:rPr>
          <w:t>2020</w:t>
        </w:r>
      </w:hyperlink>
      <w:r w:rsidR="00C57AB1" w:rsidRPr="00C57AB1">
        <w:t>)</w:t>
      </w:r>
      <w:r w:rsidRPr="007369A4">
        <w:t>, with management pocketing tens of millions of dollars each time the stock hits a specific price target. The scheme rewards management with bonuses of up to $50 million at the highest level, regardless of whether the drug candidate, Simufilam, succeeds or fails.</w:t>
      </w:r>
    </w:p>
    <w:p w14:paraId="41AB57C6" w14:textId="77777777" w:rsidR="00681121" w:rsidRDefault="00681121" w:rsidP="00F84A37">
      <w:pPr>
        <w:spacing w:line="360" w:lineRule="auto"/>
        <w:jc w:val="both"/>
      </w:pPr>
    </w:p>
    <w:p w14:paraId="3F5BF4EC" w14:textId="1EC457E8" w:rsidR="00684159" w:rsidRDefault="00110B90" w:rsidP="00684159">
      <w:pPr>
        <w:spacing w:line="360" w:lineRule="auto"/>
        <w:ind w:left="720"/>
        <w:jc w:val="both"/>
      </w:pPr>
      <w:r>
        <w:t>“</w:t>
      </w:r>
      <w:r w:rsidR="00684159" w:rsidRPr="00684159">
        <w:t>Moreover, Cassava’s management has somehow managed to approve what looks to us like an outrageous. compensation system, literally rewarding short-term stock price fluctuations regardless of more traditional metrics as [sic] such as profitability or drug approval milestones.</w:t>
      </w:r>
    </w:p>
    <w:p w14:paraId="055B62D6" w14:textId="77777777" w:rsidR="00684159" w:rsidRPr="00684159" w:rsidRDefault="00684159" w:rsidP="00684159">
      <w:pPr>
        <w:spacing w:line="360" w:lineRule="auto"/>
        <w:ind w:left="720"/>
        <w:jc w:val="both"/>
      </w:pPr>
    </w:p>
    <w:p w14:paraId="3F794A1F" w14:textId="28277558" w:rsidR="00681121" w:rsidRPr="001836F4" w:rsidRDefault="00684159" w:rsidP="00110B90">
      <w:pPr>
        <w:spacing w:line="360" w:lineRule="auto"/>
        <w:ind w:left="720"/>
        <w:jc w:val="both"/>
      </w:pPr>
      <w:r w:rsidRPr="00684159">
        <w:t>The plan rewards management if Cassava’s stock reaches certain market capitalization thresholds and holds them for a period of only 20 days. Bonuses range from $10m to $50m per threshold and the thresholds range from $200m to $5bn. Intermediate amounts, unsurprisingly have not been disclosed, but we estimate the total bonus pool to be around $450m. Clearly management would get rich temporarily inflating Cassava’s stock price by creating unlikely expectations for the prospect of its only drug, Simufilam. Should the drug then fail to deliver, and we think it will, shareholders will be wiped out, but management will get to keep their large bonuses.</w:t>
      </w:r>
      <w:r w:rsidR="00110B90">
        <w:t>” (</w:t>
      </w:r>
      <w:hyperlink r:id="rId216" w:history="1">
        <w:r w:rsidR="00110B90" w:rsidRPr="00FF6AF3">
          <w:rPr>
            <w:rStyle w:val="Hyperlink"/>
          </w:rPr>
          <w:t>QCM Report</w:t>
        </w:r>
      </w:hyperlink>
      <w:r w:rsidR="00110B90">
        <w:t>).</w:t>
      </w:r>
    </w:p>
    <w:p w14:paraId="72319E36" w14:textId="77777777" w:rsidR="002C29C4" w:rsidRPr="007369A4" w:rsidRDefault="002C29C4" w:rsidP="00F84A37">
      <w:pPr>
        <w:spacing w:line="360" w:lineRule="auto"/>
        <w:jc w:val="both"/>
      </w:pPr>
    </w:p>
    <w:p w14:paraId="6536C64E" w14:textId="33D14AAA" w:rsidR="007369A4" w:rsidRPr="001836F4" w:rsidRDefault="007369A4" w:rsidP="00F84A37">
      <w:pPr>
        <w:spacing w:line="360" w:lineRule="auto"/>
        <w:jc w:val="both"/>
      </w:pPr>
      <w:r w:rsidRPr="007369A4">
        <w:t xml:space="preserve">Such a structure creates an environment ripe for stock price manipulation. If the executive team is incentivized solely by the stock’s performance over short periods, it has every reason to inflate expectations and drive the price upward through marketing and misleading claims. </w:t>
      </w:r>
      <w:hyperlink r:id="rId217" w:history="1">
        <w:r w:rsidRPr="00B90712">
          <w:rPr>
            <w:rStyle w:val="Hyperlink"/>
          </w:rPr>
          <w:t>As QCM suggests</w:t>
        </w:r>
      </w:hyperlink>
      <w:r w:rsidRPr="007369A4">
        <w:t>, this could explain why Cassava’s stock surged by over 1,000% at the height of public hype, despite the lack of any proven efficacy for Simufilam.</w:t>
      </w:r>
    </w:p>
    <w:p w14:paraId="0D5CF7BC" w14:textId="77777777" w:rsidR="002C29C4" w:rsidRPr="007369A4" w:rsidRDefault="002C29C4" w:rsidP="00F84A37">
      <w:pPr>
        <w:spacing w:line="360" w:lineRule="auto"/>
        <w:jc w:val="both"/>
      </w:pPr>
    </w:p>
    <w:p w14:paraId="0162904E" w14:textId="0C9A37FB" w:rsidR="007369A4" w:rsidRPr="001836F4" w:rsidRDefault="5183A6D9" w:rsidP="00F84A37">
      <w:pPr>
        <w:spacing w:line="360" w:lineRule="auto"/>
        <w:jc w:val="both"/>
      </w:pPr>
      <w:r>
        <w:t>The incentive to pump up the stock price creates a classic ‘pump and dump’ scenario (</w:t>
      </w:r>
      <w:hyperlink r:id="rId218">
        <w:r w:rsidRPr="5183A6D9">
          <w:rPr>
            <w:rStyle w:val="Hyperlink"/>
          </w:rPr>
          <w:t>QCM Report</w:t>
        </w:r>
      </w:hyperlink>
      <w:r>
        <w:t>). Management, enriched by stock options and bonuses, could profit from the inflated stock price before the inevitable collapse, leaving shareholders and patients devastated when the drug ultimately fails to meet expectations. This behavior is not just unethical but also indicative of management prioritizing personal financial gain over corporate integrity and patient welfare.</w:t>
      </w:r>
    </w:p>
    <w:p w14:paraId="77A3AFE5" w14:textId="77777777" w:rsidR="007369A4" w:rsidRPr="007369A4" w:rsidRDefault="007369A4" w:rsidP="00F84A37">
      <w:pPr>
        <w:spacing w:line="360" w:lineRule="auto"/>
        <w:jc w:val="both"/>
      </w:pPr>
    </w:p>
    <w:p w14:paraId="3D46BE61" w14:textId="4E7A38CA" w:rsidR="007369A4" w:rsidRPr="001836F4" w:rsidRDefault="5183A6D9" w:rsidP="5183A6D9">
      <w:pPr>
        <w:pStyle w:val="Heading3"/>
        <w:rPr>
          <w:rFonts w:cs="Times New Roman"/>
          <w:b/>
          <w:bCs/>
          <w:color w:val="auto"/>
        </w:rPr>
      </w:pPr>
      <w:bookmarkStart w:id="75" w:name="_Toc1010748637"/>
      <w:r w:rsidRPr="5183A6D9">
        <w:rPr>
          <w:b/>
          <w:bCs/>
          <w:color w:val="auto"/>
        </w:rPr>
        <w:t>Questionable Individuals Involved in the Clinical Trials</w:t>
      </w:r>
      <w:bookmarkEnd w:id="75"/>
    </w:p>
    <w:p w14:paraId="5E025200" w14:textId="61307D4C" w:rsidR="007369A4" w:rsidRPr="001836F4" w:rsidRDefault="007369A4" w:rsidP="00F84A37">
      <w:pPr>
        <w:spacing w:line="360" w:lineRule="auto"/>
        <w:jc w:val="both"/>
      </w:pPr>
      <w:r w:rsidRPr="007369A4">
        <w:t xml:space="preserve">The integrity of Cassava Sciences’ clinical trials is highly questionable due to the involvement of individuals with dubious credentials and criminal records. </w:t>
      </w:r>
      <w:hyperlink r:id="rId219" w:history="1">
        <w:r w:rsidRPr="007369A4">
          <w:rPr>
            <w:rStyle w:val="Hyperlink"/>
          </w:rPr>
          <w:t>QCM’s undercover investigation revealed significant red flags about the key personnel overseeing the trials</w:t>
        </w:r>
      </w:hyperlink>
      <w:r w:rsidRPr="007369A4">
        <w:t>.</w:t>
      </w:r>
    </w:p>
    <w:p w14:paraId="7665A9F9" w14:textId="77777777" w:rsidR="002C29C4" w:rsidRPr="007369A4" w:rsidRDefault="002C29C4" w:rsidP="00F84A37">
      <w:pPr>
        <w:spacing w:line="360" w:lineRule="auto"/>
        <w:jc w:val="both"/>
      </w:pPr>
    </w:p>
    <w:p w14:paraId="1A10A93D" w14:textId="6F90EBE2" w:rsidR="007369A4" w:rsidRPr="001836F4" w:rsidRDefault="007369A4" w:rsidP="00F84A37">
      <w:pPr>
        <w:spacing w:line="360" w:lineRule="auto"/>
        <w:jc w:val="both"/>
      </w:pPr>
      <w:r w:rsidRPr="007369A4">
        <w:t xml:space="preserve">One of the most concerning figures is Hilda, Cassava’s Senior Clinical Research Associate (CRA), who was responsible for monitoring the Simufilam clinical trials. Hilda, according to </w:t>
      </w:r>
      <w:hyperlink r:id="rId220" w:history="1">
        <w:r w:rsidRPr="007369A4">
          <w:rPr>
            <w:rStyle w:val="Hyperlink"/>
          </w:rPr>
          <w:t>QCM’s report</w:t>
        </w:r>
      </w:hyperlink>
      <w:r w:rsidRPr="007369A4">
        <w:t>, has a criminal record that includes felony convictions for fraud and theft. Her appointment to such a crucial role raises severe concerns about the legitimacy of the trial oversight. A CRA is responsible for ensuring compliance with clinical protocols, protecting patient safety, and maintaining the scientific integrity of the data. Placing someone with a history of fraud in this position casts doubt on the reliability of the entire clinical trial process.</w:t>
      </w:r>
    </w:p>
    <w:p w14:paraId="25723911" w14:textId="77777777" w:rsidR="002C29C4" w:rsidRPr="007369A4" w:rsidRDefault="002C29C4" w:rsidP="00F84A37">
      <w:pPr>
        <w:spacing w:line="360" w:lineRule="auto"/>
        <w:jc w:val="both"/>
      </w:pPr>
    </w:p>
    <w:p w14:paraId="0C393778" w14:textId="659DBF2C" w:rsidR="007369A4" w:rsidRPr="001836F4" w:rsidRDefault="007369A4" w:rsidP="00F84A37">
      <w:pPr>
        <w:spacing w:line="360" w:lineRule="auto"/>
        <w:jc w:val="both"/>
      </w:pPr>
      <w:r w:rsidRPr="007369A4">
        <w:t xml:space="preserve">Moreover, </w:t>
      </w:r>
      <w:hyperlink r:id="rId221" w:history="1">
        <w:r w:rsidRPr="009E2BB3">
          <w:rPr>
            <w:rStyle w:val="Hyperlink"/>
          </w:rPr>
          <w:t>QCM's investigation</w:t>
        </w:r>
      </w:hyperlink>
      <w:r w:rsidRPr="007369A4">
        <w:t xml:space="preserve"> pointed out that Hilda may have been replaced by Cassava's Chief Medical Officer (CMO), Nadav Friedman, who himself has been involved in making allegedly fraudulent statements about the company’s previous failed drug, Remoxy. Having a company </w:t>
      </w:r>
      <w:r w:rsidRPr="007369A4">
        <w:lastRenderedPageBreak/>
        <w:t>insider, particularly one with a history of securities fraud, oversee the trials exacerbates the already significant concerns over potential manipulation of trial results.</w:t>
      </w:r>
    </w:p>
    <w:p w14:paraId="14A1C0DD" w14:textId="77777777" w:rsidR="002C29C4" w:rsidRPr="007369A4" w:rsidRDefault="002C29C4" w:rsidP="00F84A37">
      <w:pPr>
        <w:spacing w:line="360" w:lineRule="auto"/>
        <w:jc w:val="both"/>
      </w:pPr>
    </w:p>
    <w:p w14:paraId="0A11B3D0" w14:textId="77777777" w:rsidR="007369A4" w:rsidRPr="001836F4" w:rsidRDefault="007369A4" w:rsidP="00F84A37">
      <w:pPr>
        <w:spacing w:line="360" w:lineRule="auto"/>
        <w:jc w:val="both"/>
      </w:pPr>
      <w:r w:rsidRPr="007369A4">
        <w:t>Additionally, one of the key clinical research centers involved in the Simufilam trials, IMIC Inc., is co-owned by Aimee Cabo, a figure with an even more colorful past. Cabo, who has claimed to be a nurse but is unlicensed, has a record of felony arrests for drug possession and a former career as a stripper and escort. This not only calls into question her credibility but also IMIC’s suitability as a clinical research site. Cabo’s involvement, along with her husband Boris Nikolov, whose own financial history raises suspicions of misconduct, undermines any confidence in the integrity of the data being generated by IMIC.</w:t>
      </w:r>
    </w:p>
    <w:p w14:paraId="261DE728" w14:textId="77777777" w:rsidR="002C29C4" w:rsidRPr="007369A4" w:rsidRDefault="002C29C4" w:rsidP="00F84A37">
      <w:pPr>
        <w:spacing w:line="360" w:lineRule="auto"/>
        <w:jc w:val="both"/>
      </w:pPr>
    </w:p>
    <w:p w14:paraId="642BF566" w14:textId="70915FFD" w:rsidR="007369A4" w:rsidRPr="001836F4" w:rsidRDefault="5183A6D9" w:rsidP="00F84A37">
      <w:pPr>
        <w:spacing w:line="360" w:lineRule="auto"/>
        <w:jc w:val="both"/>
      </w:pPr>
      <w:r>
        <w:t xml:space="preserve">Furthermore, the Principal Investigator at IMIC, Evelyn Lopez-Brignoni, is a child and adolescent psychiatrist with no experience in neurodegenerative diseases </w:t>
      </w:r>
      <w:bookmarkStart w:id="76" w:name="_Int_I6YR7YlR"/>
      <w:r>
        <w:t>similar to</w:t>
      </w:r>
      <w:bookmarkEnd w:id="76"/>
      <w:r>
        <w:t xml:space="preserve"> AD. She was also issued a rare FDA warning for failing to follow investigational protocols in a clinical trial, further highlighting the inadequacies in the clinical trial management.</w:t>
      </w:r>
    </w:p>
    <w:p w14:paraId="5C77A56A" w14:textId="77777777" w:rsidR="007369A4" w:rsidRPr="007369A4" w:rsidRDefault="007369A4" w:rsidP="00F84A37">
      <w:pPr>
        <w:spacing w:line="360" w:lineRule="auto"/>
        <w:jc w:val="both"/>
      </w:pPr>
    </w:p>
    <w:p w14:paraId="057224CC" w14:textId="77777777" w:rsidR="007369A4" w:rsidRPr="001836F4" w:rsidRDefault="5183A6D9" w:rsidP="5183A6D9">
      <w:pPr>
        <w:pStyle w:val="Heading3"/>
        <w:rPr>
          <w:rFonts w:cs="Times New Roman"/>
          <w:b/>
          <w:bCs/>
          <w:color w:val="auto"/>
        </w:rPr>
      </w:pPr>
      <w:bookmarkStart w:id="77" w:name="_Toc1817701895"/>
      <w:r w:rsidRPr="5183A6D9">
        <w:rPr>
          <w:b/>
          <w:bCs/>
          <w:color w:val="auto"/>
        </w:rPr>
        <w:t>Alleged Manipulation of Clinical Trials and Data</w:t>
      </w:r>
      <w:bookmarkEnd w:id="77"/>
    </w:p>
    <w:p w14:paraId="06FA5851" w14:textId="1E115C7E" w:rsidR="007369A4" w:rsidRPr="001836F4" w:rsidRDefault="007369A4" w:rsidP="00F84A37">
      <w:pPr>
        <w:spacing w:line="360" w:lineRule="auto"/>
        <w:jc w:val="both"/>
      </w:pPr>
      <w:r w:rsidRPr="007369A4">
        <w:t xml:space="preserve">The alleged manipulation of Cassava Sciences' clinical trials adds another layer of concern. Beyond the scientific debate over Simufilam’s efficacy, </w:t>
      </w:r>
      <w:hyperlink r:id="rId222" w:history="1">
        <w:r w:rsidRPr="007369A4">
          <w:rPr>
            <w:rStyle w:val="Hyperlink"/>
          </w:rPr>
          <w:t>QCM's report</w:t>
        </w:r>
      </w:hyperlink>
      <w:r w:rsidRPr="007369A4">
        <w:t xml:space="preserve"> raises alarming suspicions about how the trials were conducted, suggesting that the company may have distorted trial outcomes to present favorable results.</w:t>
      </w:r>
    </w:p>
    <w:p w14:paraId="164471C9" w14:textId="77777777" w:rsidR="002C29C4" w:rsidRPr="007369A4" w:rsidRDefault="002C29C4" w:rsidP="00F84A37">
      <w:pPr>
        <w:spacing w:line="360" w:lineRule="auto"/>
        <w:jc w:val="both"/>
      </w:pPr>
    </w:p>
    <w:p w14:paraId="4D1AC35D" w14:textId="34B931CD" w:rsidR="007369A4" w:rsidRPr="001836F4" w:rsidRDefault="007369A4" w:rsidP="00F84A37">
      <w:pPr>
        <w:spacing w:line="360" w:lineRule="auto"/>
        <w:jc w:val="both"/>
      </w:pPr>
      <w:r w:rsidRPr="007369A4">
        <w:t>One of the key allegations is that Cassava allowed patients into the trials who likely did not have A</w:t>
      </w:r>
      <w:r w:rsidR="00597B8D" w:rsidRPr="001836F4">
        <w:t>D</w:t>
      </w:r>
      <w:r w:rsidRPr="007369A4">
        <w:t>, effectively skewing the results. The inclusion criteria for the Simufilam trial were unusually broad, allowing for patients with possible or probable A</w:t>
      </w:r>
      <w:r w:rsidR="00AE17EE">
        <w:t>D</w:t>
      </w:r>
      <w:r w:rsidRPr="007369A4">
        <w:t xml:space="preserve">, rather than more stringent and definitive diagnoses. This opens the door to the inclusion of individuals who might simply have age-related memory loss or other forms of dementia, which could lead to better-than-expected results that do not reflect the drug’s true efficacy for </w:t>
      </w:r>
      <w:r w:rsidR="00AE17EE">
        <w:t>AD</w:t>
      </w:r>
      <w:r w:rsidRPr="007369A4">
        <w:t xml:space="preserve"> patients.</w:t>
      </w:r>
    </w:p>
    <w:p w14:paraId="28B97898" w14:textId="77777777" w:rsidR="007369A4" w:rsidRPr="007369A4" w:rsidRDefault="007369A4" w:rsidP="00F84A37">
      <w:pPr>
        <w:spacing w:line="360" w:lineRule="auto"/>
        <w:jc w:val="both"/>
      </w:pPr>
    </w:p>
    <w:p w14:paraId="16C59982" w14:textId="78A2AD94" w:rsidR="007369A4" w:rsidRPr="001836F4" w:rsidRDefault="007369A4" w:rsidP="00F84A37">
      <w:pPr>
        <w:spacing w:line="360" w:lineRule="auto"/>
        <w:jc w:val="both"/>
      </w:pPr>
      <w:r w:rsidRPr="007369A4">
        <w:lastRenderedPageBreak/>
        <w:t xml:space="preserve">In one trial, </w:t>
      </w:r>
      <w:hyperlink r:id="rId223" w:history="1">
        <w:r w:rsidRPr="007369A4">
          <w:rPr>
            <w:rStyle w:val="Hyperlink"/>
          </w:rPr>
          <w:t>Cassava allegedly excluded a significant number of patients—around 42%—from the final analysis</w:t>
        </w:r>
      </w:hyperlink>
      <w:r w:rsidRPr="007369A4">
        <w:t>, using highly dubious reasons such as patients answering too many or too few questions correctly. This suggests that the company may have been strategically excluding patients to inflate the perceived effectiveness of the drug. By removing patients with poor cognitive outcomes, Cassava could falsely present Simufilam as more effective than it truly is, leading to misleadingly positive results.</w:t>
      </w:r>
    </w:p>
    <w:p w14:paraId="2B9D19FB" w14:textId="77777777" w:rsidR="007369A4" w:rsidRPr="007369A4" w:rsidRDefault="007369A4" w:rsidP="00F84A37">
      <w:pPr>
        <w:spacing w:line="360" w:lineRule="auto"/>
        <w:jc w:val="both"/>
      </w:pPr>
    </w:p>
    <w:p w14:paraId="359ED815" w14:textId="77777777" w:rsidR="007369A4" w:rsidRPr="001836F4" w:rsidRDefault="007369A4" w:rsidP="00F84A37">
      <w:pPr>
        <w:spacing w:line="360" w:lineRule="auto"/>
        <w:jc w:val="both"/>
      </w:pPr>
      <w:r w:rsidRPr="007369A4">
        <w:t>The lack of independent oversight further exacerbates these concerns. Cassava appears to have overseen the trials internally, with its own management monitoring the trials without any third-party verification. This raises serious questions about the credibility of the data, as it gives Cassava the ability to manipulate trial results without external scrutiny.</w:t>
      </w:r>
    </w:p>
    <w:p w14:paraId="319A459C" w14:textId="77777777" w:rsidR="007369A4" w:rsidRPr="007369A4" w:rsidRDefault="007369A4" w:rsidP="00F84A37">
      <w:pPr>
        <w:spacing w:line="360" w:lineRule="auto"/>
        <w:jc w:val="both"/>
      </w:pPr>
    </w:p>
    <w:p w14:paraId="29D47EE3" w14:textId="77777777" w:rsidR="007369A4" w:rsidRPr="001836F4" w:rsidRDefault="5183A6D9" w:rsidP="5183A6D9">
      <w:pPr>
        <w:pStyle w:val="Heading3"/>
        <w:rPr>
          <w:rFonts w:cs="Times New Roman"/>
          <w:b/>
          <w:bCs/>
          <w:color w:val="auto"/>
        </w:rPr>
      </w:pPr>
      <w:bookmarkStart w:id="78" w:name="_Toc1660247546"/>
      <w:r w:rsidRPr="5183A6D9">
        <w:rPr>
          <w:b/>
          <w:bCs/>
          <w:color w:val="auto"/>
        </w:rPr>
        <w:t>The Citizen Petition and Forensic Investigations</w:t>
      </w:r>
      <w:bookmarkEnd w:id="78"/>
    </w:p>
    <w:p w14:paraId="5B3C4F74" w14:textId="3BD0CFDD" w:rsidR="007369A4" w:rsidRPr="007369A4" w:rsidRDefault="5183A6D9" w:rsidP="00F84A37">
      <w:pPr>
        <w:spacing w:line="360" w:lineRule="auto"/>
        <w:jc w:val="both"/>
      </w:pPr>
      <w:r>
        <w:t>On August 18</w:t>
      </w:r>
      <w:r w:rsidRPr="5183A6D9">
        <w:rPr>
          <w:vertAlign w:val="superscript"/>
        </w:rPr>
        <w:t>th</w:t>
      </w:r>
      <w:r>
        <w:t xml:space="preserve">, 2021, a </w:t>
      </w:r>
      <w:hyperlink r:id="rId224">
        <w:r w:rsidRPr="5183A6D9">
          <w:rPr>
            <w:rStyle w:val="Hyperlink"/>
          </w:rPr>
          <w:t>Citizen Petition</w:t>
        </w:r>
      </w:hyperlink>
      <w:r>
        <w:t xml:space="preserve"> was filed with the FDA by Labaton Sucharow, a law firm specializing in SEC whistleblowing, which accused Cassava of forging its scientific data. The petition included forensic evidence of data manipulation, particularly in images and statistical anomalies used to support the efficacy claims for Simufilam (</w:t>
      </w:r>
      <w:hyperlink r:id="rId225">
        <w:r w:rsidRPr="5183A6D9">
          <w:rPr>
            <w:rStyle w:val="Hyperlink"/>
            <w:i/>
            <w:iCs/>
          </w:rPr>
          <w:t>Regulations.gov</w:t>
        </w:r>
        <w:r w:rsidRPr="5183A6D9">
          <w:rPr>
            <w:rStyle w:val="Hyperlink"/>
          </w:rPr>
          <w:t>, 2021</w:t>
        </w:r>
      </w:hyperlink>
      <w:r>
        <w:t>).</w:t>
      </w:r>
    </w:p>
    <w:p w14:paraId="0D8B4E9D" w14:textId="45B62B4A" w:rsidR="007369A4" w:rsidRDefault="007369A4" w:rsidP="00F84A37">
      <w:pPr>
        <w:spacing w:line="360" w:lineRule="auto"/>
        <w:jc w:val="both"/>
      </w:pPr>
      <w:r w:rsidRPr="007369A4">
        <w:t xml:space="preserve">The petition triggered a sharp decline in Cassava’s stock price and brought the company's practices under intense scrutiny. Independent experts, including </w:t>
      </w:r>
      <w:hyperlink r:id="rId226" w:history="1">
        <w:r w:rsidRPr="00F8222F">
          <w:rPr>
            <w:rStyle w:val="Hyperlink"/>
          </w:rPr>
          <w:t>Dr. Elizabeth Bik</w:t>
        </w:r>
      </w:hyperlink>
      <w:r w:rsidRPr="007369A4">
        <w:t xml:space="preserve">, confirmed the allegations, pointing to specific examples where data appeared to be manipulated. Despite this, </w:t>
      </w:r>
      <w:r w:rsidRPr="006A518E">
        <w:t>Cassava has refused to release the original data that could potentially refute these claims, raising suspicions that the data indeed was falsified</w:t>
      </w:r>
      <w:r w:rsidR="006A518E">
        <w:t xml:space="preserve"> (</w:t>
      </w:r>
      <w:hyperlink r:id="rId227" w:history="1">
        <w:r w:rsidR="006A518E" w:rsidRPr="006A518E">
          <w:rPr>
            <w:rStyle w:val="Hyperlink"/>
          </w:rPr>
          <w:t>Press Release, 2021</w:t>
        </w:r>
      </w:hyperlink>
      <w:r w:rsidR="006A518E">
        <w:t>).</w:t>
      </w:r>
    </w:p>
    <w:p w14:paraId="50E422BB" w14:textId="77777777" w:rsidR="006A518E" w:rsidRPr="007369A4" w:rsidRDefault="006A518E" w:rsidP="00F84A37">
      <w:pPr>
        <w:spacing w:line="360" w:lineRule="auto"/>
        <w:jc w:val="both"/>
      </w:pPr>
    </w:p>
    <w:p w14:paraId="03145506" w14:textId="1F943476" w:rsidR="007369A4" w:rsidRPr="001836F4" w:rsidRDefault="007369A4" w:rsidP="00F84A37">
      <w:pPr>
        <w:spacing w:line="360" w:lineRule="auto"/>
        <w:jc w:val="both"/>
      </w:pPr>
      <w:r w:rsidRPr="007369A4">
        <w:t xml:space="preserve">If these allegations </w:t>
      </w:r>
      <w:r w:rsidR="4C66B995">
        <w:t>are held</w:t>
      </w:r>
      <w:r w:rsidRPr="007369A4">
        <w:t>, Cassava could be guilty of FDA fraud, violating both the False Claims Act and securities regulations. The company’s failure to provide convincing rebuttals only strengthens the argument that its scientific research is fraudulent, further weakening its stock’s value and long-term prospects.</w:t>
      </w:r>
    </w:p>
    <w:p w14:paraId="04C3E8C9" w14:textId="77777777" w:rsidR="000A4B00" w:rsidRPr="007369A4" w:rsidRDefault="000A4B00" w:rsidP="00F84A37">
      <w:pPr>
        <w:spacing w:line="360" w:lineRule="auto"/>
        <w:jc w:val="both"/>
      </w:pPr>
    </w:p>
    <w:p w14:paraId="3E0E6933" w14:textId="77777777" w:rsidR="007369A4" w:rsidRPr="001836F4" w:rsidRDefault="5183A6D9" w:rsidP="5183A6D9">
      <w:pPr>
        <w:pStyle w:val="Heading3"/>
        <w:rPr>
          <w:rFonts w:cs="Times New Roman"/>
          <w:b/>
          <w:bCs/>
          <w:color w:val="auto"/>
        </w:rPr>
      </w:pPr>
      <w:bookmarkStart w:id="79" w:name="_Toc1669128944"/>
      <w:r w:rsidRPr="5183A6D9">
        <w:rPr>
          <w:b/>
          <w:bCs/>
          <w:color w:val="auto"/>
        </w:rPr>
        <w:lastRenderedPageBreak/>
        <w:t>Regulatory and Legal Exposure</w:t>
      </w:r>
      <w:bookmarkEnd w:id="79"/>
    </w:p>
    <w:p w14:paraId="49E68ED7" w14:textId="2511A48C" w:rsidR="007369A4" w:rsidRPr="001836F4" w:rsidRDefault="007369A4" w:rsidP="00F84A37">
      <w:pPr>
        <w:spacing w:line="360" w:lineRule="auto"/>
        <w:jc w:val="both"/>
      </w:pPr>
      <w:r w:rsidRPr="007369A4">
        <w:t xml:space="preserve">Beyond the immediate financial risks posed to investors, Cassava faces significant regulatory and legal exposure. The </w:t>
      </w:r>
      <w:hyperlink r:id="rId228" w:history="1">
        <w:r w:rsidRPr="007369A4">
          <w:rPr>
            <w:rStyle w:val="Hyperlink"/>
          </w:rPr>
          <w:t>QCM report</w:t>
        </w:r>
      </w:hyperlink>
      <w:r w:rsidRPr="007369A4">
        <w:t xml:space="preserve"> outlines the potential for Cassava to face securities fraud charges, FDA fraud, and violations of the False Claims Act. These potential legal actions stem from the company’s allegedly misleading statements about Simufilam’s efficacy and the manipulation of clinical trial results.</w:t>
      </w:r>
    </w:p>
    <w:p w14:paraId="37436C9A" w14:textId="77777777" w:rsidR="002C29C4" w:rsidRPr="007369A4" w:rsidRDefault="002C29C4" w:rsidP="00F84A37">
      <w:pPr>
        <w:spacing w:line="360" w:lineRule="auto"/>
        <w:jc w:val="both"/>
      </w:pPr>
    </w:p>
    <w:p w14:paraId="2D029943" w14:textId="329E6A33" w:rsidR="007369A4" w:rsidRPr="001836F4" w:rsidRDefault="007369A4" w:rsidP="00F84A37">
      <w:pPr>
        <w:spacing w:line="360" w:lineRule="auto"/>
        <w:jc w:val="both"/>
      </w:pPr>
      <w:r w:rsidRPr="007369A4">
        <w:t xml:space="preserve">Cassava’s conduct has already prompted multiple investigations, including from the FDA, the SEC, </w:t>
      </w:r>
      <w:r w:rsidR="00472E89" w:rsidRPr="001836F4">
        <w:t>and</w:t>
      </w:r>
      <w:r w:rsidRPr="007369A4">
        <w:t xml:space="preserve"> the Department of Justice. The involvement of these agencies suggests that the company’s problems extend beyond typical biotech volatility and into the realm of criminal conduct. If Cassava is found guilty of securities fraud or any other regulatory violation, the financial penalties and reputational damage could be devastating, leading to the collapse of the company and a complete loss of shareholder value.</w:t>
      </w:r>
    </w:p>
    <w:p w14:paraId="07B37C7E" w14:textId="77777777" w:rsidR="002C29C4" w:rsidRPr="007369A4" w:rsidRDefault="002C29C4" w:rsidP="00F84A37">
      <w:pPr>
        <w:spacing w:line="360" w:lineRule="auto"/>
        <w:jc w:val="both"/>
      </w:pPr>
    </w:p>
    <w:p w14:paraId="0124013B" w14:textId="1390B95D" w:rsidR="007369A4" w:rsidRPr="007369A4" w:rsidRDefault="007369A4" w:rsidP="00F84A37">
      <w:pPr>
        <w:spacing w:line="360" w:lineRule="auto"/>
        <w:jc w:val="both"/>
      </w:pPr>
      <w:r w:rsidRPr="007369A4">
        <w:t>Moreover, Cassava’s aggressive response to whistleblowers and critics further amplifies the risks. The company has engaged in intimidation tactics against those raising concerns, signaling that it may be attempting to silence dissent rather than address the underlying issues</w:t>
      </w:r>
      <w:r w:rsidR="000D7E43">
        <w:t xml:space="preserve"> </w:t>
      </w:r>
      <w:r w:rsidR="008E13BA">
        <w:t>(</w:t>
      </w:r>
      <w:hyperlink r:id="rId229" w:history="1">
        <w:r w:rsidR="008E13BA" w:rsidRPr="008E13BA">
          <w:rPr>
            <w:rStyle w:val="Hyperlink"/>
          </w:rPr>
          <w:t>Armstrong</w:t>
        </w:r>
        <w:r w:rsidR="000D7E43" w:rsidRPr="008E13BA">
          <w:rPr>
            <w:rStyle w:val="Hyperlink"/>
          </w:rPr>
          <w:t xml:space="preserve"> A., 2021</w:t>
        </w:r>
      </w:hyperlink>
      <w:r w:rsidR="000D7E43">
        <w:t>)</w:t>
      </w:r>
      <w:r w:rsidRPr="007369A4">
        <w:t xml:space="preserve">. </w:t>
      </w:r>
    </w:p>
    <w:p w14:paraId="29E9D320" w14:textId="77777777" w:rsidR="009F2400" w:rsidRDefault="009F2400" w:rsidP="00F84A37">
      <w:pPr>
        <w:spacing w:line="360" w:lineRule="auto"/>
        <w:jc w:val="both"/>
      </w:pPr>
    </w:p>
    <w:p w14:paraId="3EF90FC7" w14:textId="77777777" w:rsidR="00C80181" w:rsidRPr="001836F4" w:rsidRDefault="00C80181" w:rsidP="00F84A37">
      <w:pPr>
        <w:spacing w:line="360" w:lineRule="auto"/>
        <w:jc w:val="both"/>
      </w:pPr>
    </w:p>
    <w:p w14:paraId="3BA5E0CD" w14:textId="77777777" w:rsidR="007E18D6" w:rsidRPr="001836F4" w:rsidRDefault="007E18D6" w:rsidP="00F84A37">
      <w:pPr>
        <w:spacing w:line="360" w:lineRule="auto"/>
        <w:jc w:val="both"/>
      </w:pPr>
    </w:p>
    <w:p w14:paraId="2D40F402" w14:textId="77777777" w:rsidR="00223EEB" w:rsidRDefault="00223EEB" w:rsidP="00FD21A0">
      <w:pPr>
        <w:spacing w:line="360" w:lineRule="auto"/>
      </w:pPr>
    </w:p>
    <w:p w14:paraId="156AA0E4" w14:textId="77777777" w:rsidR="00876DE6" w:rsidRDefault="00876DE6" w:rsidP="00876DE6">
      <w:pPr>
        <w:spacing w:line="360" w:lineRule="auto"/>
        <w:rPr>
          <w:color w:val="000000" w:themeColor="text1"/>
        </w:rPr>
      </w:pPr>
    </w:p>
    <w:p w14:paraId="36AB14DC" w14:textId="77777777" w:rsidR="00876DE6" w:rsidRDefault="00876DE6" w:rsidP="00876DE6">
      <w:pPr>
        <w:spacing w:line="360" w:lineRule="auto"/>
        <w:rPr>
          <w:color w:val="000000" w:themeColor="text1"/>
        </w:rPr>
      </w:pPr>
    </w:p>
    <w:p w14:paraId="5C4C0114" w14:textId="77777777" w:rsidR="00876DE6" w:rsidRPr="00ED68CB" w:rsidRDefault="5183A6D9" w:rsidP="5183A6D9">
      <w:pPr>
        <w:pStyle w:val="Heading1"/>
        <w:rPr>
          <w:rFonts w:ascii="Times New Roman" w:eastAsia="Times New Roman" w:hAnsi="Times New Roman" w:cs="Times New Roman"/>
          <w:color w:val="000000" w:themeColor="text1"/>
        </w:rPr>
      </w:pPr>
      <w:bookmarkStart w:id="80" w:name="_Toc1013565048"/>
      <w:r w:rsidRPr="5183A6D9">
        <w:rPr>
          <w:rFonts w:ascii="Times New Roman" w:eastAsia="Times New Roman" w:hAnsi="Times New Roman" w:cs="Times New Roman"/>
          <w:color w:val="000000" w:themeColor="text1"/>
        </w:rPr>
        <w:t>Final Conclusion</w:t>
      </w:r>
      <w:bookmarkEnd w:id="80"/>
    </w:p>
    <w:p w14:paraId="6AD24F34" w14:textId="16C6EEE3" w:rsidR="00876DE6" w:rsidRDefault="00AA4A10" w:rsidP="00876DE6">
      <w:pPr>
        <w:spacing w:line="360" w:lineRule="auto"/>
        <w:jc w:val="both"/>
      </w:pPr>
      <w:r w:rsidRPr="00AA4A10">
        <w:t>After thoroughly evaluating both scientific and non-scientific factors, our POS estimate for Simufilam remains unchanged. In fact, these additional considerations reinforce our conviction that Simufilam will fail its Phase III trials by the end of the year. We estimate the POS for Simufilam in its Phase III trials to be between 0.00032% and 0.0034%, indicating a high statistical likelihood of failure.</w:t>
      </w:r>
      <w:r w:rsidR="00876DE6" w:rsidRPr="00C434AE">
        <w:t xml:space="preserve"> While these numbers may support a strategy of shorting the stock, it’s </w:t>
      </w:r>
      <w:r w:rsidR="00876DE6" w:rsidRPr="00C434AE">
        <w:lastRenderedPageBreak/>
        <w:t>important to acknowledge the inherent unpredictability in drug development, which can sometimes defy statistical odds.</w:t>
      </w:r>
      <w:r w:rsidR="00876DE6" w:rsidRPr="0061392D">
        <w:rPr>
          <w:vanish/>
        </w:rPr>
        <w:t>Top of Form</w:t>
      </w:r>
    </w:p>
    <w:p w14:paraId="21357029" w14:textId="77777777" w:rsidR="00876DE6" w:rsidRPr="0061392D" w:rsidRDefault="00876DE6" w:rsidP="00876DE6">
      <w:pPr>
        <w:spacing w:line="360" w:lineRule="auto"/>
        <w:jc w:val="both"/>
        <w:rPr>
          <w:vanish/>
        </w:rPr>
      </w:pPr>
    </w:p>
    <w:p w14:paraId="1A1C8886" w14:textId="77777777" w:rsidR="00876DE6" w:rsidRPr="0061392D" w:rsidRDefault="00876DE6" w:rsidP="00876DE6">
      <w:pPr>
        <w:spacing w:line="360" w:lineRule="auto"/>
        <w:jc w:val="both"/>
        <w:rPr>
          <w:vanish/>
        </w:rPr>
      </w:pPr>
      <w:r w:rsidRPr="0061392D">
        <w:rPr>
          <w:vanish/>
        </w:rPr>
        <w:t>Bottom of Form</w:t>
      </w:r>
    </w:p>
    <w:p w14:paraId="53AE35ED" w14:textId="77777777" w:rsidR="00876DE6" w:rsidRPr="001836F4" w:rsidRDefault="00876DE6" w:rsidP="00876DE6">
      <w:pPr>
        <w:spacing w:line="360" w:lineRule="auto"/>
        <w:jc w:val="both"/>
      </w:pPr>
    </w:p>
    <w:p w14:paraId="5D57963E" w14:textId="77777777" w:rsidR="00876DE6" w:rsidRPr="001836F4" w:rsidRDefault="00876DE6" w:rsidP="00876DE6">
      <w:pPr>
        <w:spacing w:line="360" w:lineRule="auto"/>
        <w:jc w:val="both"/>
      </w:pPr>
      <w:r w:rsidRPr="00B272B4">
        <w:t>Knowing that the company is currently valued at a market cap of $1.39 billion, it's clear that this valuation hinges entirely on the potential success of Simufilam, its only asset. Once Simufilam inevitably fails its Phase III trials, expected by Q4 2024, the market will be forced to recognize that Cassava Sciences has no remaining value.</w:t>
      </w:r>
    </w:p>
    <w:p w14:paraId="042BBDDD" w14:textId="77777777" w:rsidR="00876DE6" w:rsidRPr="00B272B4" w:rsidRDefault="00876DE6" w:rsidP="00876DE6">
      <w:pPr>
        <w:spacing w:line="360" w:lineRule="auto"/>
        <w:jc w:val="both"/>
      </w:pPr>
    </w:p>
    <w:p w14:paraId="1D1F8BFF" w14:textId="77777777" w:rsidR="00876DE6" w:rsidRDefault="5183A6D9" w:rsidP="5183A6D9">
      <w:pPr>
        <w:spacing w:line="360" w:lineRule="auto"/>
        <w:jc w:val="both"/>
        <w:rPr>
          <w:rFonts w:eastAsiaTheme="majorEastAsia"/>
        </w:rPr>
      </w:pPr>
      <w:r>
        <w:t xml:space="preserve">We anticipate that following Simufilam's failure, Cassava Sciences’ stock will trade at or near its cash reserves. </w:t>
      </w:r>
      <w:r w:rsidRPr="5183A6D9">
        <w:rPr>
          <w:rFonts w:eastAsiaTheme="majorEastAsia"/>
        </w:rPr>
        <w:t xml:space="preserve">According to their </w:t>
      </w:r>
      <w:hyperlink r:id="rId230" w:anchor="bs">
        <w:r w:rsidRPr="5183A6D9">
          <w:rPr>
            <w:rStyle w:val="Hyperlink"/>
            <w:rFonts w:eastAsiaTheme="majorEastAsia"/>
            <w:i/>
            <w:iCs/>
          </w:rPr>
          <w:t>Q2 2024 10-Q filing</w:t>
        </w:r>
      </w:hyperlink>
      <w:r w:rsidRPr="5183A6D9">
        <w:rPr>
          <w:rFonts w:eastAsiaTheme="majorEastAsia"/>
          <w:i/>
          <w:iCs/>
        </w:rPr>
        <w:t>,</w:t>
      </w:r>
      <w:r w:rsidRPr="5183A6D9">
        <w:rPr>
          <w:rFonts w:eastAsiaTheme="majorEastAsia"/>
        </w:rPr>
        <w:t xml:space="preserve"> the company reported </w:t>
      </w:r>
      <w:r w:rsidRPr="5183A6D9">
        <w:rPr>
          <w:rFonts w:eastAsiaTheme="majorEastAsia"/>
          <w:i/>
          <w:iCs/>
        </w:rPr>
        <w:t xml:space="preserve">$207.3 million </w:t>
      </w:r>
      <w:r w:rsidRPr="5183A6D9">
        <w:rPr>
          <w:rFonts w:eastAsiaTheme="majorEastAsia"/>
        </w:rPr>
        <w:t xml:space="preserve">in cash. However, factoring in the </w:t>
      </w:r>
      <w:r w:rsidRPr="5183A6D9">
        <w:rPr>
          <w:rFonts w:eastAsiaTheme="majorEastAsia"/>
          <w:i/>
          <w:iCs/>
        </w:rPr>
        <w:t>$40 million</w:t>
      </w:r>
      <w:r w:rsidRPr="5183A6D9">
        <w:rPr>
          <w:rFonts w:eastAsiaTheme="majorEastAsia"/>
        </w:rPr>
        <w:t xml:space="preserve"> settlement with the SEC, we estimate their current cash position to be approximately </w:t>
      </w:r>
      <w:r w:rsidRPr="5183A6D9">
        <w:rPr>
          <w:rFonts w:eastAsiaTheme="majorEastAsia"/>
          <w:i/>
          <w:iCs/>
        </w:rPr>
        <w:t>$167.3 million</w:t>
      </w:r>
      <w:r w:rsidRPr="5183A6D9">
        <w:rPr>
          <w:rFonts w:eastAsiaTheme="majorEastAsia"/>
        </w:rPr>
        <w:t xml:space="preserve">. Additionally, in </w:t>
      </w:r>
      <w:bookmarkStart w:id="81" w:name="_Int_KyVweisV"/>
      <w:r w:rsidRPr="5183A6D9">
        <w:rPr>
          <w:rFonts w:eastAsiaTheme="majorEastAsia"/>
        </w:rPr>
        <w:t>their</w:t>
      </w:r>
      <w:bookmarkEnd w:id="81"/>
      <w:r w:rsidRPr="5183A6D9">
        <w:rPr>
          <w:rFonts w:eastAsiaTheme="majorEastAsia"/>
        </w:rPr>
        <w:t xml:space="preserve"> </w:t>
      </w:r>
      <w:hyperlink r:id="rId231">
        <w:r w:rsidRPr="5183A6D9">
          <w:rPr>
            <w:rStyle w:val="Hyperlink"/>
            <w:rFonts w:eastAsiaTheme="majorEastAsia"/>
            <w:i/>
            <w:iCs/>
          </w:rPr>
          <w:t>last press release</w:t>
        </w:r>
      </w:hyperlink>
      <w:r w:rsidRPr="5183A6D9">
        <w:rPr>
          <w:rFonts w:eastAsiaTheme="majorEastAsia"/>
        </w:rPr>
        <w:t xml:space="preserve">, Cassava Sciences projected a net cash use of </w:t>
      </w:r>
      <w:r w:rsidRPr="5183A6D9">
        <w:rPr>
          <w:rFonts w:eastAsiaTheme="majorEastAsia"/>
          <w:i/>
          <w:iCs/>
        </w:rPr>
        <w:t>$80 to $90 million</w:t>
      </w:r>
      <w:r w:rsidRPr="5183A6D9">
        <w:rPr>
          <w:rFonts w:eastAsiaTheme="majorEastAsia"/>
        </w:rPr>
        <w:t xml:space="preserve"> for the second half of 2024, including the </w:t>
      </w:r>
      <w:r w:rsidRPr="5183A6D9">
        <w:rPr>
          <w:rFonts w:eastAsiaTheme="majorEastAsia"/>
          <w:i/>
          <w:iCs/>
        </w:rPr>
        <w:t>$40 million</w:t>
      </w:r>
      <w:r w:rsidRPr="5183A6D9">
        <w:rPr>
          <w:rFonts w:eastAsiaTheme="majorEastAsia"/>
        </w:rPr>
        <w:t xml:space="preserve"> settlement. This would leave them with an estimated cash balance between </w:t>
      </w:r>
      <w:r w:rsidRPr="5183A6D9">
        <w:rPr>
          <w:rFonts w:eastAsiaTheme="majorEastAsia"/>
          <w:i/>
          <w:iCs/>
        </w:rPr>
        <w:t>$117 and $127 million</w:t>
      </w:r>
      <w:r w:rsidRPr="5183A6D9">
        <w:rPr>
          <w:rFonts w:eastAsiaTheme="majorEastAsia"/>
        </w:rPr>
        <w:t xml:space="preserve"> by year-end. </w:t>
      </w:r>
    </w:p>
    <w:p w14:paraId="5E4A7EC4" w14:textId="77777777" w:rsidR="00876DE6" w:rsidRDefault="00876DE6" w:rsidP="00876DE6">
      <w:pPr>
        <w:spacing w:line="360" w:lineRule="auto"/>
        <w:jc w:val="both"/>
        <w:rPr>
          <w:rFonts w:eastAsiaTheme="majorEastAsia"/>
        </w:rPr>
      </w:pPr>
    </w:p>
    <w:p w14:paraId="6AEE09D4" w14:textId="77777777" w:rsidR="00876DE6" w:rsidRPr="00135765" w:rsidRDefault="00876DE6" w:rsidP="00876DE6">
      <w:pPr>
        <w:spacing w:line="360" w:lineRule="auto"/>
        <w:jc w:val="both"/>
        <w:rPr>
          <w:rFonts w:eastAsiaTheme="majorEastAsia"/>
        </w:rPr>
      </w:pPr>
      <w:r w:rsidRPr="00135765">
        <w:rPr>
          <w:rFonts w:eastAsiaTheme="majorEastAsia"/>
        </w:rPr>
        <w:t>Consequently,</w:t>
      </w:r>
      <w:r>
        <w:rPr>
          <w:rFonts w:eastAsiaTheme="majorEastAsia"/>
        </w:rPr>
        <w:t xml:space="preserve"> </w:t>
      </w:r>
      <w:r w:rsidRPr="230405ED">
        <w:rPr>
          <w:rFonts w:eastAsiaTheme="majorEastAsia"/>
        </w:rPr>
        <w:t>when computing the</w:t>
      </w:r>
      <w:r w:rsidRPr="00135765">
        <w:rPr>
          <w:rFonts w:eastAsiaTheme="majorEastAsia"/>
        </w:rPr>
        <w:t xml:space="preserve"> anticipated collapse, the company’s valuation is likely to be restricted to its cash holdings, if not less, due to the inevitable mass sell-off.</w:t>
      </w:r>
      <w:r>
        <w:rPr>
          <w:rFonts w:eastAsiaTheme="majorEastAsia"/>
        </w:rPr>
        <w:t xml:space="preserve"> </w:t>
      </w:r>
      <w:r w:rsidRPr="00135765">
        <w:rPr>
          <w:rFonts w:eastAsiaTheme="majorEastAsia"/>
        </w:rPr>
        <w:t xml:space="preserve">Based on these considerations, we predict that the share price will </w:t>
      </w:r>
      <w:r>
        <w:rPr>
          <w:rFonts w:eastAsiaTheme="majorEastAsia"/>
        </w:rPr>
        <w:t>drop</w:t>
      </w:r>
      <w:r w:rsidRPr="00135765">
        <w:rPr>
          <w:rFonts w:eastAsiaTheme="majorEastAsia"/>
        </w:rPr>
        <w:t xml:space="preserve"> from </w:t>
      </w:r>
      <w:r w:rsidRPr="00135765">
        <w:rPr>
          <w:rFonts w:eastAsiaTheme="majorEastAsia"/>
          <w:i/>
          <w:iCs/>
        </w:rPr>
        <w:t>$28.98</w:t>
      </w:r>
      <w:r w:rsidRPr="00135765">
        <w:rPr>
          <w:rFonts w:eastAsiaTheme="majorEastAsia"/>
        </w:rPr>
        <w:t xml:space="preserve"> to </w:t>
      </w:r>
      <w:r>
        <w:rPr>
          <w:rFonts w:eastAsiaTheme="majorEastAsia"/>
        </w:rPr>
        <w:t xml:space="preserve">a range </w:t>
      </w:r>
      <w:r w:rsidRPr="00135765">
        <w:rPr>
          <w:rFonts w:eastAsiaTheme="majorEastAsia"/>
        </w:rPr>
        <w:t xml:space="preserve">approximately </w:t>
      </w:r>
      <w:r w:rsidRPr="00135765">
        <w:rPr>
          <w:rFonts w:eastAsiaTheme="majorEastAsia"/>
          <w:i/>
          <w:iCs/>
        </w:rPr>
        <w:t>$3.49</w:t>
      </w:r>
      <w:r>
        <w:rPr>
          <w:rFonts w:eastAsiaTheme="majorEastAsia"/>
          <w:i/>
          <w:iCs/>
        </w:rPr>
        <w:t xml:space="preserve"> to $1.94</w:t>
      </w:r>
      <w:r>
        <w:rPr>
          <w:rFonts w:eastAsiaTheme="majorEastAsia"/>
        </w:rPr>
        <w:t xml:space="preserve"> -</w:t>
      </w:r>
      <w:r w:rsidRPr="00135765">
        <w:rPr>
          <w:rFonts w:eastAsiaTheme="majorEastAsia"/>
        </w:rPr>
        <w:t xml:space="preserve"> reflecting the market's recalibration to the company's cash value in the aftermath of Simufilam's failure.</w:t>
      </w:r>
    </w:p>
    <w:p w14:paraId="4F377DBF" w14:textId="77777777" w:rsidR="00337862" w:rsidRPr="001836F4" w:rsidRDefault="00337862" w:rsidP="00FD21A0">
      <w:pPr>
        <w:spacing w:line="360" w:lineRule="auto"/>
      </w:pPr>
    </w:p>
    <w:p w14:paraId="67A5F165" w14:textId="77777777" w:rsidR="00223EEB" w:rsidRPr="001836F4" w:rsidRDefault="00223EEB" w:rsidP="00FD21A0">
      <w:pPr>
        <w:spacing w:line="360" w:lineRule="auto"/>
      </w:pPr>
    </w:p>
    <w:p w14:paraId="5C91256A" w14:textId="77777777" w:rsidR="00880C1E" w:rsidRPr="001836F4" w:rsidRDefault="00880C1E"/>
    <w:p w14:paraId="2B0CB1BF" w14:textId="77777777" w:rsidR="00880C1E" w:rsidRPr="001836F4" w:rsidRDefault="00880C1E"/>
    <w:p w14:paraId="34B683A6" w14:textId="3A94B5A0" w:rsidR="00AC7F42" w:rsidRPr="001836F4" w:rsidRDefault="5183A6D9" w:rsidP="5183A6D9">
      <w:pPr>
        <w:pStyle w:val="Heading1"/>
        <w:spacing w:line="360" w:lineRule="auto"/>
        <w:rPr>
          <w:rFonts w:ascii="Times New Roman" w:hAnsi="Times New Roman" w:cs="Times New Roman"/>
          <w:color w:val="auto"/>
        </w:rPr>
      </w:pPr>
      <w:bookmarkStart w:id="82" w:name="_Toc766152715"/>
      <w:r w:rsidRPr="5183A6D9">
        <w:rPr>
          <w:rFonts w:ascii="Times New Roman" w:hAnsi="Times New Roman" w:cs="Times New Roman"/>
          <w:color w:val="auto"/>
        </w:rPr>
        <w:t>References</w:t>
      </w:r>
      <w:bookmarkEnd w:id="82"/>
    </w:p>
    <w:p w14:paraId="58E54D79" w14:textId="77777777" w:rsidR="00AC7F42" w:rsidRPr="003C7C4D" w:rsidRDefault="00AC7F42" w:rsidP="00F84A37">
      <w:pPr>
        <w:spacing w:line="360" w:lineRule="auto"/>
        <w:jc w:val="both"/>
      </w:pPr>
      <w:r w:rsidRPr="003C7C4D">
        <w:t xml:space="preserve">PubChem. (n.d.). </w:t>
      </w:r>
      <w:r w:rsidRPr="003C7C4D">
        <w:rPr>
          <w:i/>
          <w:iCs/>
        </w:rPr>
        <w:t>Simufilam</w:t>
      </w:r>
      <w:r w:rsidRPr="003C7C4D">
        <w:t xml:space="preserve">. PubChem. </w:t>
      </w:r>
      <w:r w:rsidRPr="003C7C4D">
        <w:rPr>
          <w:rFonts w:eastAsiaTheme="majorEastAsia"/>
        </w:rPr>
        <w:t>https://pubchem.ncbi.nlm.nih.gov/compound/Simufilam</w:t>
      </w:r>
    </w:p>
    <w:p w14:paraId="6FD9F073" w14:textId="77777777" w:rsidR="00AC7F42" w:rsidRPr="001836F4" w:rsidRDefault="00AC7F42" w:rsidP="00F84A37">
      <w:pPr>
        <w:spacing w:line="360" w:lineRule="auto"/>
        <w:jc w:val="both"/>
      </w:pPr>
    </w:p>
    <w:p w14:paraId="16EA4F49" w14:textId="77777777" w:rsidR="00AC7F42" w:rsidRPr="00AC735A" w:rsidRDefault="00AC7F42" w:rsidP="00F84A37">
      <w:pPr>
        <w:spacing w:line="360" w:lineRule="auto"/>
        <w:jc w:val="both"/>
      </w:pPr>
      <w:r w:rsidRPr="00AC735A">
        <w:t xml:space="preserve">Alzheimer’s Drug Discovery Foundation. (2022). </w:t>
      </w:r>
      <w:r w:rsidRPr="00AC735A">
        <w:rPr>
          <w:i/>
          <w:iCs/>
        </w:rPr>
        <w:t>Cognitive Vitality Reports®</w:t>
      </w:r>
      <w:r w:rsidRPr="00AC735A">
        <w:t xml:space="preserve">. </w:t>
      </w:r>
      <w:r w:rsidRPr="00AC735A">
        <w:rPr>
          <w:rFonts w:eastAsiaTheme="majorEastAsia"/>
        </w:rPr>
        <w:t>https://www.alzdiscovery.org/uploads/cognitive_vitality_media/Simufilam_(PTI-125).pdf</w:t>
      </w:r>
    </w:p>
    <w:p w14:paraId="35F05F63" w14:textId="77777777" w:rsidR="00AC7F42" w:rsidRPr="001836F4" w:rsidRDefault="00AC7F42" w:rsidP="00F84A37">
      <w:pPr>
        <w:spacing w:line="360" w:lineRule="auto"/>
        <w:jc w:val="both"/>
      </w:pPr>
    </w:p>
    <w:p w14:paraId="618837D3" w14:textId="77777777" w:rsidR="00AC7F42" w:rsidRPr="008E6EBC" w:rsidRDefault="00AC7F42" w:rsidP="00F84A37">
      <w:pPr>
        <w:spacing w:line="360" w:lineRule="auto"/>
        <w:jc w:val="both"/>
      </w:pPr>
      <w:r w:rsidRPr="008E6EBC">
        <w:t xml:space="preserve">Ditzinger, F., Price, D. J., Ilie, A., Köhl, N. J., Jankovic, S., Tsakiridou, G., Aleandri, S., Kalantzi, L., Holm, R., Nair, A., Saal, C., Griffin, B., &amp; Kuentz, M. (2018). Lipophilicity and hydrophobicity considerations in bio-enabling oral formulations approaches – a PEARRL review. </w:t>
      </w:r>
      <w:r w:rsidRPr="008E6EBC">
        <w:rPr>
          <w:i/>
          <w:iCs/>
        </w:rPr>
        <w:t>Journal of Pharmacy and Pharmacology</w:t>
      </w:r>
      <w:r w:rsidRPr="008E6EBC">
        <w:t xml:space="preserve">, </w:t>
      </w:r>
      <w:r w:rsidRPr="008E6EBC">
        <w:rPr>
          <w:i/>
          <w:iCs/>
        </w:rPr>
        <w:t>71</w:t>
      </w:r>
      <w:r w:rsidRPr="008E6EBC">
        <w:t xml:space="preserve">(4), 464–482. </w:t>
      </w:r>
    </w:p>
    <w:p w14:paraId="41D271D8" w14:textId="77777777" w:rsidR="00AC7F42" w:rsidRPr="001836F4" w:rsidRDefault="00AC7F42" w:rsidP="00F84A37">
      <w:pPr>
        <w:spacing w:line="360" w:lineRule="auto"/>
        <w:jc w:val="both"/>
      </w:pPr>
    </w:p>
    <w:p w14:paraId="41663D4A" w14:textId="77777777" w:rsidR="00AC7F42" w:rsidRPr="001836F4" w:rsidRDefault="00AC7F42" w:rsidP="00F84A37">
      <w:pPr>
        <w:spacing w:line="360" w:lineRule="auto"/>
        <w:jc w:val="both"/>
      </w:pPr>
      <w:r w:rsidRPr="009C39ED">
        <w:t xml:space="preserve">Green, M. (n.d.). </w:t>
      </w:r>
      <w:r w:rsidRPr="009C39ED">
        <w:rPr>
          <w:i/>
          <w:iCs/>
        </w:rPr>
        <w:t>LogP, LogD, pKa and LogS: A Physicists guide to basic chemical properties – Michael Green</w:t>
      </w:r>
      <w:r w:rsidRPr="009C39ED">
        <w:t xml:space="preserve">. Michael Green. </w:t>
      </w:r>
      <w:r w:rsidRPr="009C39ED">
        <w:rPr>
          <w:rFonts w:eastAsiaTheme="majorEastAsia"/>
        </w:rPr>
        <w:t>https://doktormike.gitlab.io/posts/navigating-logp-logd-pka-and-logs-a-physicists-guide/</w:t>
      </w:r>
    </w:p>
    <w:p w14:paraId="0A4A2736" w14:textId="77777777" w:rsidR="00AC7F42" w:rsidRPr="001836F4" w:rsidRDefault="00AC7F42" w:rsidP="00F84A37">
      <w:pPr>
        <w:spacing w:line="360" w:lineRule="auto"/>
        <w:jc w:val="both"/>
      </w:pPr>
    </w:p>
    <w:p w14:paraId="59CF0899" w14:textId="77777777" w:rsidR="00AC7F42" w:rsidRPr="009C39ED" w:rsidRDefault="00AC7F42" w:rsidP="00F84A37">
      <w:pPr>
        <w:spacing w:line="360" w:lineRule="auto"/>
        <w:jc w:val="both"/>
      </w:pPr>
      <w:r w:rsidRPr="001836F4">
        <w:t>Durant Lab</w:t>
      </w:r>
    </w:p>
    <w:p w14:paraId="7689C872" w14:textId="77777777" w:rsidR="00AC7F42" w:rsidRPr="001836F4" w:rsidRDefault="00AC7F42" w:rsidP="00F84A37">
      <w:pPr>
        <w:spacing w:line="360" w:lineRule="auto"/>
        <w:jc w:val="both"/>
      </w:pPr>
    </w:p>
    <w:p w14:paraId="1EDBA8B7" w14:textId="77777777" w:rsidR="00AC7F42" w:rsidRPr="001836F4" w:rsidRDefault="00AC7F42" w:rsidP="00F84A37">
      <w:pPr>
        <w:spacing w:line="360" w:lineRule="auto"/>
        <w:jc w:val="both"/>
      </w:pPr>
      <w:r w:rsidRPr="003A48B3">
        <w:t xml:space="preserve">Hayton, W. L. (1980). Rate-limiting barriers to intestinal drug absorption: A review. </w:t>
      </w:r>
      <w:r w:rsidRPr="003A48B3">
        <w:rPr>
          <w:i/>
          <w:iCs/>
        </w:rPr>
        <w:t>Journal of Pharmacokinetics and Biopharmaceutics</w:t>
      </w:r>
      <w:r w:rsidRPr="003A48B3">
        <w:t xml:space="preserve">, </w:t>
      </w:r>
      <w:r w:rsidRPr="003A48B3">
        <w:rPr>
          <w:i/>
          <w:iCs/>
        </w:rPr>
        <w:t>8</w:t>
      </w:r>
      <w:r w:rsidRPr="003A48B3">
        <w:t xml:space="preserve">(4), 321–334. </w:t>
      </w:r>
    </w:p>
    <w:p w14:paraId="6BE42C26" w14:textId="77777777" w:rsidR="00AC7F42" w:rsidRPr="001836F4" w:rsidRDefault="00AC7F42" w:rsidP="00F84A37">
      <w:pPr>
        <w:spacing w:line="360" w:lineRule="auto"/>
        <w:jc w:val="both"/>
      </w:pPr>
    </w:p>
    <w:p w14:paraId="2B7EAC6F" w14:textId="77777777" w:rsidR="00AC7F42" w:rsidRPr="001836F4" w:rsidRDefault="00AC7F42" w:rsidP="00F84A37">
      <w:pPr>
        <w:spacing w:line="360" w:lineRule="auto"/>
        <w:jc w:val="both"/>
      </w:pPr>
      <w:r w:rsidRPr="009F7C2B">
        <w:t xml:space="preserve">Price, G., &amp; Patel, D. A. (2023, July 30). </w:t>
      </w:r>
      <w:r w:rsidRPr="009F7C2B">
        <w:rPr>
          <w:i/>
          <w:iCs/>
        </w:rPr>
        <w:t>Drug bioavailability</w:t>
      </w:r>
      <w:r w:rsidRPr="009F7C2B">
        <w:t xml:space="preserve">. StatPearls - NCBI Bookshelf. </w:t>
      </w:r>
      <w:r w:rsidRPr="009F7C2B">
        <w:rPr>
          <w:rFonts w:eastAsiaTheme="majorEastAsia"/>
        </w:rPr>
        <w:t>https://www.ncbi.nlm.nih.gov/books/NBK557852/</w:t>
      </w:r>
    </w:p>
    <w:p w14:paraId="35A9F744" w14:textId="77777777" w:rsidR="00AC7F42" w:rsidRPr="001836F4" w:rsidRDefault="00AC7F42" w:rsidP="00F84A37">
      <w:pPr>
        <w:spacing w:line="360" w:lineRule="auto"/>
        <w:jc w:val="both"/>
      </w:pPr>
    </w:p>
    <w:p w14:paraId="547FB67B" w14:textId="77777777" w:rsidR="00AC7F42" w:rsidRPr="001836F4" w:rsidRDefault="00AC7F42" w:rsidP="00F84A37">
      <w:pPr>
        <w:spacing w:line="360" w:lineRule="auto"/>
        <w:jc w:val="both"/>
      </w:pPr>
      <w:r w:rsidRPr="00AC2A93">
        <w:t>Dwibhashyam, V.</w:t>
      </w:r>
      <w:r w:rsidRPr="001836F4">
        <w:t xml:space="preserve">, &amp; </w:t>
      </w:r>
      <w:r w:rsidRPr="00AC2A93">
        <w:t>Nagappa, A</w:t>
      </w:r>
      <w:r w:rsidRPr="001836F4">
        <w:t>.</w:t>
      </w:r>
      <w:r w:rsidRPr="00AC2A93">
        <w:t xml:space="preserve"> (2008). Strategies for enhanced drug delivery to the central nervous system. </w:t>
      </w:r>
      <w:r w:rsidRPr="00AC2A93">
        <w:rPr>
          <w:i/>
          <w:iCs/>
        </w:rPr>
        <w:t>Indian Journal of Pharmaceutical Sciences</w:t>
      </w:r>
      <w:r w:rsidRPr="00AC2A93">
        <w:t xml:space="preserve">, </w:t>
      </w:r>
      <w:r w:rsidRPr="00AC2A93">
        <w:rPr>
          <w:i/>
          <w:iCs/>
        </w:rPr>
        <w:t>70</w:t>
      </w:r>
      <w:r w:rsidRPr="00AC2A93">
        <w:t xml:space="preserve">(2), 145. </w:t>
      </w:r>
    </w:p>
    <w:p w14:paraId="4288712A" w14:textId="77777777" w:rsidR="00AC7F42" w:rsidRPr="001836F4" w:rsidRDefault="00AC7F42" w:rsidP="00F84A37">
      <w:pPr>
        <w:spacing w:line="360" w:lineRule="auto"/>
        <w:jc w:val="both"/>
      </w:pPr>
    </w:p>
    <w:p w14:paraId="076A21FE" w14:textId="77777777" w:rsidR="00AC7F42" w:rsidRPr="001836F4" w:rsidRDefault="00AC7F42" w:rsidP="00F84A37">
      <w:pPr>
        <w:spacing w:line="360" w:lineRule="auto"/>
        <w:jc w:val="both"/>
      </w:pPr>
      <w:r w:rsidRPr="00811A71">
        <w:t xml:space="preserve">Coleman, J. J., &amp; Pontefract, S. K. (2016). Adverse drug reactions. </w:t>
      </w:r>
      <w:r w:rsidRPr="00811A71">
        <w:rPr>
          <w:i/>
          <w:iCs/>
        </w:rPr>
        <w:t>Clinical Medicine</w:t>
      </w:r>
      <w:r w:rsidRPr="00811A71">
        <w:t xml:space="preserve">, </w:t>
      </w:r>
      <w:r w:rsidRPr="00811A71">
        <w:rPr>
          <w:i/>
          <w:iCs/>
        </w:rPr>
        <w:t>16</w:t>
      </w:r>
      <w:r w:rsidRPr="00811A71">
        <w:t xml:space="preserve">(5), 481–485. </w:t>
      </w:r>
      <w:r w:rsidRPr="00811A71">
        <w:rPr>
          <w:rFonts w:eastAsiaTheme="majorEastAsia"/>
        </w:rPr>
        <w:t>https://doi.org/10.7861/clinmedicine.16-5-481</w:t>
      </w:r>
    </w:p>
    <w:p w14:paraId="0DA6B690" w14:textId="77777777" w:rsidR="00AC7F42" w:rsidRPr="001836F4" w:rsidRDefault="00AC7F42" w:rsidP="00F84A37">
      <w:pPr>
        <w:spacing w:line="360" w:lineRule="auto"/>
        <w:jc w:val="both"/>
      </w:pPr>
    </w:p>
    <w:p w14:paraId="4FB66902" w14:textId="77777777" w:rsidR="00AC7F42" w:rsidRPr="001836F4" w:rsidRDefault="00AC7F42" w:rsidP="00F84A37">
      <w:pPr>
        <w:spacing w:line="360" w:lineRule="auto"/>
        <w:jc w:val="both"/>
      </w:pPr>
      <w:r w:rsidRPr="002F0991">
        <w:t xml:space="preserve">Garza, A. Z., Park, S. B., &amp; Kocz, R. (2023, July 4). </w:t>
      </w:r>
      <w:r w:rsidRPr="002F0991">
        <w:rPr>
          <w:i/>
          <w:iCs/>
        </w:rPr>
        <w:t>Drug elimination</w:t>
      </w:r>
      <w:r w:rsidRPr="002F0991">
        <w:t xml:space="preserve">. StatPearls - NCBI Bookshelf. </w:t>
      </w:r>
      <w:r w:rsidRPr="002F0991">
        <w:rPr>
          <w:rFonts w:eastAsiaTheme="majorEastAsia"/>
        </w:rPr>
        <w:t>https://www.ncbi.nlm.nih.gov/books/NBK547662/</w:t>
      </w:r>
    </w:p>
    <w:p w14:paraId="23E7627F" w14:textId="77777777" w:rsidR="00AC7F42" w:rsidRDefault="00AC7F42" w:rsidP="00F84A37">
      <w:pPr>
        <w:spacing w:line="360" w:lineRule="auto"/>
        <w:jc w:val="both"/>
      </w:pPr>
    </w:p>
    <w:p w14:paraId="7EBA63C5" w14:textId="1B9130FB" w:rsidR="00AC7F42" w:rsidRPr="001836F4" w:rsidRDefault="00A342F9" w:rsidP="00F84A37">
      <w:pPr>
        <w:spacing w:line="360" w:lineRule="auto"/>
        <w:jc w:val="both"/>
      </w:pPr>
      <w:r w:rsidRPr="00A342F9">
        <w:t>Clifford W Fong. Permeability of the blood brain barrier: molecular mechanism of transport of drugs and physiologically important compounds. Journal of Membrane Biology, 2015, 248 (4), pp.651-669. ff10.1007/s00232-015-9778-9ff. ffhal-01326584f</w:t>
      </w:r>
    </w:p>
    <w:p w14:paraId="4F928144" w14:textId="77777777" w:rsidR="00AC7F42" w:rsidRPr="001836F4" w:rsidRDefault="00AC7F42" w:rsidP="00F84A37">
      <w:pPr>
        <w:spacing w:line="360" w:lineRule="auto"/>
        <w:jc w:val="both"/>
      </w:pPr>
    </w:p>
    <w:p w14:paraId="4275DB8E" w14:textId="77777777" w:rsidR="00AC7F42" w:rsidRPr="003D363C" w:rsidRDefault="00AC7F42" w:rsidP="00F84A37">
      <w:pPr>
        <w:spacing w:line="360" w:lineRule="auto"/>
        <w:jc w:val="both"/>
      </w:pPr>
      <w:r w:rsidRPr="003D363C">
        <w:lastRenderedPageBreak/>
        <w:t xml:space="preserve">Ashenhurst, J. (2023, February 10). </w:t>
      </w:r>
      <w:r w:rsidRPr="003D363C">
        <w:rPr>
          <w:i/>
          <w:iCs/>
        </w:rPr>
        <w:t>Basicity of amines and PKAH</w:t>
      </w:r>
      <w:r w:rsidRPr="003D363C">
        <w:t xml:space="preserve">. Master Organic Chemistry. </w:t>
      </w:r>
      <w:r w:rsidRPr="003D363C">
        <w:rPr>
          <w:rFonts w:eastAsiaTheme="majorEastAsia"/>
        </w:rPr>
        <w:t>https://www.masterorganicchemistry.com/2017/04/18/basicity-of-amines-and-pkah/</w:t>
      </w:r>
    </w:p>
    <w:p w14:paraId="3E74A5DC" w14:textId="77777777" w:rsidR="00AC7F42" w:rsidRPr="001836F4" w:rsidRDefault="00AC7F42" w:rsidP="00F84A37">
      <w:pPr>
        <w:spacing w:line="360" w:lineRule="auto"/>
        <w:jc w:val="both"/>
      </w:pPr>
    </w:p>
    <w:p w14:paraId="09A1813B" w14:textId="77777777" w:rsidR="007610A0" w:rsidRPr="007610A0" w:rsidRDefault="007610A0" w:rsidP="007610A0">
      <w:pPr>
        <w:spacing w:line="360" w:lineRule="auto"/>
        <w:jc w:val="both"/>
      </w:pPr>
      <w:r w:rsidRPr="007610A0">
        <w:t xml:space="preserve">Lõkov, M.; Tshepelevitsh, S.; Heering, A.; Plieger, P. G.; Vianello, R.; Leito, I. "On the Basicity of Conjugated Nitrogen Heterocycles in Different Media." </w:t>
      </w:r>
      <w:r w:rsidRPr="007610A0">
        <w:rPr>
          <w:i/>
          <w:iCs/>
        </w:rPr>
        <w:t>Journal of Physical Organic Chemistry</w:t>
      </w:r>
      <w:r w:rsidRPr="007610A0">
        <w:t xml:space="preserve"> </w:t>
      </w:r>
      <w:r w:rsidRPr="007610A0">
        <w:rPr>
          <w:b/>
          <w:bCs/>
        </w:rPr>
        <w:t>2020</w:t>
      </w:r>
      <w:r w:rsidRPr="007610A0">
        <w:t xml:space="preserve">, </w:t>
      </w:r>
      <w:r w:rsidRPr="007610A0">
        <w:rPr>
          <w:i/>
          <w:iCs/>
        </w:rPr>
        <w:t>33</w:t>
      </w:r>
      <w:r w:rsidRPr="007610A0">
        <w:t>(7), e4052. DOI: 10.1002/poc.4052</w:t>
      </w:r>
    </w:p>
    <w:p w14:paraId="661D93A8" w14:textId="77777777" w:rsidR="00AC7F42" w:rsidRPr="001836F4" w:rsidRDefault="00AC7F42" w:rsidP="00F84A37">
      <w:pPr>
        <w:spacing w:line="360" w:lineRule="auto"/>
        <w:jc w:val="both"/>
      </w:pPr>
    </w:p>
    <w:p w14:paraId="17B67C42" w14:textId="77777777" w:rsidR="00AC7F42" w:rsidRPr="001836F4" w:rsidRDefault="00AC7F42" w:rsidP="00F84A37">
      <w:pPr>
        <w:spacing w:line="360" w:lineRule="auto"/>
        <w:jc w:val="both"/>
      </w:pPr>
      <w:r w:rsidRPr="007573DC">
        <w:t xml:space="preserve">Paulson, G. W. (1977). Environmental effects on the central nervous system. </w:t>
      </w:r>
      <w:r w:rsidRPr="007573DC">
        <w:rPr>
          <w:i/>
          <w:iCs/>
        </w:rPr>
        <w:t>Environmental Health Perspectives</w:t>
      </w:r>
      <w:r w:rsidRPr="007573DC">
        <w:t xml:space="preserve">, </w:t>
      </w:r>
      <w:r w:rsidRPr="007573DC">
        <w:rPr>
          <w:i/>
          <w:iCs/>
        </w:rPr>
        <w:t>20</w:t>
      </w:r>
      <w:r w:rsidRPr="007573DC">
        <w:t xml:space="preserve">, 75–96. </w:t>
      </w:r>
      <w:r w:rsidRPr="007573DC">
        <w:rPr>
          <w:rFonts w:eastAsiaTheme="majorEastAsia"/>
        </w:rPr>
        <w:t>https://doi.org/10.1289/ehp.772075</w:t>
      </w:r>
    </w:p>
    <w:p w14:paraId="4EC9BCDA" w14:textId="77777777" w:rsidR="00AC7F42" w:rsidRPr="001836F4" w:rsidRDefault="00AC7F42" w:rsidP="00F84A37">
      <w:pPr>
        <w:spacing w:line="360" w:lineRule="auto"/>
        <w:jc w:val="both"/>
      </w:pPr>
    </w:p>
    <w:p w14:paraId="2C5EDEF9" w14:textId="77777777" w:rsidR="00AC7F42" w:rsidRPr="001836F4" w:rsidRDefault="00AC7F42" w:rsidP="00F84A37">
      <w:pPr>
        <w:spacing w:line="360" w:lineRule="auto"/>
        <w:jc w:val="both"/>
      </w:pPr>
      <w:r w:rsidRPr="00641745">
        <w:t xml:space="preserve">Le, J. (2022, June 13). </w:t>
      </w:r>
      <w:r w:rsidRPr="00641745">
        <w:rPr>
          <w:i/>
          <w:iCs/>
        </w:rPr>
        <w:t>Drug absorption</w:t>
      </w:r>
      <w:r w:rsidRPr="00641745">
        <w:t xml:space="preserve">. MSD Manual Professional Edition. </w:t>
      </w:r>
      <w:r w:rsidRPr="00641745">
        <w:rPr>
          <w:rFonts w:eastAsiaTheme="majorEastAsia"/>
        </w:rPr>
        <w:t>https://www.msdmanuals.com/professional/clinical-pharmacology/pharmacokinetics/drug-absorption</w:t>
      </w:r>
    </w:p>
    <w:p w14:paraId="4E9CBFE3" w14:textId="77777777" w:rsidR="00AC7F42" w:rsidRPr="001836F4" w:rsidRDefault="00AC7F42" w:rsidP="00F84A37">
      <w:pPr>
        <w:spacing w:line="360" w:lineRule="auto"/>
        <w:jc w:val="both"/>
      </w:pPr>
    </w:p>
    <w:p w14:paraId="6E7A419A" w14:textId="77777777" w:rsidR="00AC7F42" w:rsidRPr="00CD300D" w:rsidRDefault="00AC7F42" w:rsidP="00F84A37">
      <w:pPr>
        <w:spacing w:line="360" w:lineRule="auto"/>
        <w:jc w:val="both"/>
      </w:pPr>
      <w:r w:rsidRPr="00CD300D">
        <w:t xml:space="preserve">Pajouhesh, H., &amp; Lenz, G. R. (2005). Medicinal chemical properties of successful central nervous system drugs. </w:t>
      </w:r>
      <w:r w:rsidRPr="00CD300D">
        <w:rPr>
          <w:i/>
          <w:iCs/>
        </w:rPr>
        <w:t>NeuroRx</w:t>
      </w:r>
      <w:r w:rsidRPr="00CD300D">
        <w:t xml:space="preserve">, </w:t>
      </w:r>
      <w:r w:rsidRPr="00CD300D">
        <w:rPr>
          <w:i/>
          <w:iCs/>
        </w:rPr>
        <w:t>2</w:t>
      </w:r>
      <w:r w:rsidRPr="00CD300D">
        <w:t xml:space="preserve">(4), 541–553. </w:t>
      </w:r>
    </w:p>
    <w:p w14:paraId="63339E7D" w14:textId="77777777" w:rsidR="00AC7F42" w:rsidRPr="001836F4" w:rsidRDefault="00AC7F42" w:rsidP="00F84A37">
      <w:pPr>
        <w:spacing w:line="360" w:lineRule="auto"/>
        <w:jc w:val="both"/>
      </w:pPr>
    </w:p>
    <w:p w14:paraId="4E5410D4" w14:textId="77777777" w:rsidR="00AC7F42" w:rsidRPr="0007636B" w:rsidRDefault="00AC7F42" w:rsidP="00F84A37">
      <w:pPr>
        <w:spacing w:line="360" w:lineRule="auto"/>
        <w:jc w:val="both"/>
      </w:pPr>
      <w:r w:rsidRPr="0007636B">
        <w:t xml:space="preserve">Alzyoud, L., Bryce, R. A., Sorkhy, M. A., Atatreh, N., &amp; Ghattas, M. A. (2022). Structure-based assessment and druggability classification of protein–protein interaction sites. </w:t>
      </w:r>
      <w:r w:rsidRPr="0007636B">
        <w:rPr>
          <w:i/>
          <w:iCs/>
        </w:rPr>
        <w:t>Scientific Reports</w:t>
      </w:r>
      <w:r w:rsidRPr="0007636B">
        <w:t xml:space="preserve">, </w:t>
      </w:r>
      <w:r w:rsidRPr="0007636B">
        <w:rPr>
          <w:i/>
          <w:iCs/>
        </w:rPr>
        <w:t>12</w:t>
      </w:r>
      <w:r w:rsidRPr="0007636B">
        <w:t xml:space="preserve">(1). </w:t>
      </w:r>
    </w:p>
    <w:p w14:paraId="0A1672AE" w14:textId="77777777" w:rsidR="00AC7F42" w:rsidRPr="001836F4" w:rsidRDefault="00AC7F42" w:rsidP="00F84A37">
      <w:pPr>
        <w:spacing w:line="360" w:lineRule="auto"/>
        <w:jc w:val="both"/>
      </w:pPr>
    </w:p>
    <w:p w14:paraId="1A3A32A3" w14:textId="77777777" w:rsidR="00AC7F42" w:rsidRPr="001B7708" w:rsidRDefault="00AC7F42" w:rsidP="00F84A37">
      <w:pPr>
        <w:spacing w:line="360" w:lineRule="auto"/>
        <w:jc w:val="both"/>
      </w:pPr>
      <w:r w:rsidRPr="001B7708">
        <w:t xml:space="preserve">Goncearenco, A., Li, M., Simonetti, F. L., Shoemaker, B. A., &amp; Panchenko, A. R. (2017). Exploring Protein-Protein Interactions as Drug Targets for Anti-cancer Therapy with In Silico Workflows. </w:t>
      </w:r>
      <w:r w:rsidRPr="001B7708">
        <w:rPr>
          <w:i/>
          <w:iCs/>
        </w:rPr>
        <w:t>Methods in Molecular Biology</w:t>
      </w:r>
      <w:r w:rsidRPr="001B7708">
        <w:t xml:space="preserve">, 221–236. </w:t>
      </w:r>
      <w:r w:rsidRPr="001B7708">
        <w:rPr>
          <w:rFonts w:eastAsiaTheme="majorEastAsia"/>
        </w:rPr>
        <w:t>https://doi.org/10.1007/978-1-4939-7201-2_15</w:t>
      </w:r>
    </w:p>
    <w:p w14:paraId="45B55E3F" w14:textId="77777777" w:rsidR="00AC7F42" w:rsidRPr="001836F4" w:rsidRDefault="00AC7F42" w:rsidP="00F84A37">
      <w:pPr>
        <w:spacing w:line="360" w:lineRule="auto"/>
        <w:jc w:val="both"/>
      </w:pPr>
    </w:p>
    <w:p w14:paraId="59ED7838" w14:textId="77777777" w:rsidR="00AC7F42" w:rsidRPr="002B5EED" w:rsidRDefault="00AC7F42" w:rsidP="00F84A37">
      <w:pPr>
        <w:spacing w:line="360" w:lineRule="auto"/>
        <w:jc w:val="both"/>
      </w:pPr>
      <w:r w:rsidRPr="002B5EED">
        <w:t xml:space="preserve">Lu, H., Zhou, Q., He, J., Jiang, Z., Peng, C., Tong, R., &amp; Shi, J. (2020). Recent advances in the development of protein–protein interactions modulators: mechanisms and clinical trials. </w:t>
      </w:r>
      <w:r w:rsidRPr="002B5EED">
        <w:rPr>
          <w:i/>
          <w:iCs/>
        </w:rPr>
        <w:t>Signal Transduction and Targeted Therapy</w:t>
      </w:r>
      <w:r w:rsidRPr="002B5EED">
        <w:t xml:space="preserve">, </w:t>
      </w:r>
      <w:r w:rsidRPr="002B5EED">
        <w:rPr>
          <w:i/>
          <w:iCs/>
        </w:rPr>
        <w:t>5</w:t>
      </w:r>
      <w:r w:rsidRPr="002B5EED">
        <w:t xml:space="preserve">(1). </w:t>
      </w:r>
      <w:r w:rsidRPr="002B5EED">
        <w:rPr>
          <w:rFonts w:eastAsiaTheme="majorEastAsia"/>
        </w:rPr>
        <w:t>https://doi.org/10.1038/s41392-020-00315-3</w:t>
      </w:r>
    </w:p>
    <w:p w14:paraId="0629D450" w14:textId="77777777" w:rsidR="00AC7F42" w:rsidRPr="001836F4" w:rsidRDefault="00AC7F42" w:rsidP="00F84A37">
      <w:pPr>
        <w:spacing w:line="360" w:lineRule="auto"/>
        <w:jc w:val="both"/>
      </w:pPr>
    </w:p>
    <w:p w14:paraId="0DC2BDFC" w14:textId="77777777" w:rsidR="00AC7F42" w:rsidRPr="0099049B" w:rsidRDefault="00AC7F42" w:rsidP="00F84A37">
      <w:pPr>
        <w:spacing w:line="360" w:lineRule="auto"/>
        <w:jc w:val="both"/>
      </w:pPr>
      <w:r w:rsidRPr="0099049B">
        <w:lastRenderedPageBreak/>
        <w:t xml:space="preserve">King, J. R., Gillevet, T. C., &amp; Kabbani, N. (2017). A G protein‐coupled α7 nicotinic receptor regulates signaling and TNF‐α release in microglia. </w:t>
      </w:r>
      <w:r w:rsidRPr="0099049B">
        <w:rPr>
          <w:i/>
          <w:iCs/>
        </w:rPr>
        <w:t>FEBS Open Bio</w:t>
      </w:r>
      <w:r w:rsidRPr="0099049B">
        <w:t xml:space="preserve">, </w:t>
      </w:r>
      <w:r w:rsidRPr="0099049B">
        <w:rPr>
          <w:i/>
          <w:iCs/>
        </w:rPr>
        <w:t>7</w:t>
      </w:r>
      <w:r w:rsidRPr="0099049B">
        <w:t xml:space="preserve">(9), 1350–1361. </w:t>
      </w:r>
      <w:r w:rsidRPr="0099049B">
        <w:rPr>
          <w:rFonts w:eastAsiaTheme="majorEastAsia"/>
        </w:rPr>
        <w:t>https://doi.org/10.1002/2211-5463.12270</w:t>
      </w:r>
    </w:p>
    <w:p w14:paraId="02FF1383" w14:textId="77777777" w:rsidR="00AC7F42" w:rsidRPr="001A7EB3" w:rsidRDefault="00AC7F42" w:rsidP="00F84A37">
      <w:pPr>
        <w:spacing w:line="360" w:lineRule="auto"/>
        <w:jc w:val="both"/>
      </w:pPr>
      <w:r w:rsidRPr="001A7EB3">
        <w:rPr>
          <w:i/>
          <w:iCs/>
        </w:rPr>
        <w:t>Nicotinic acetylcholine receptors  (nACh) | Introduction | BPS/IUPHAR Guide to PHARMACOLOGY</w:t>
      </w:r>
      <w:r w:rsidRPr="001A7EB3">
        <w:t xml:space="preserve">. (n.d.). </w:t>
      </w:r>
      <w:r w:rsidRPr="001A7EB3">
        <w:rPr>
          <w:rFonts w:eastAsiaTheme="majorEastAsia"/>
        </w:rPr>
        <w:t>https://www.guidetopharmacology.org/GRAC/FamilyIntroductionForward?familyId=76</w:t>
      </w:r>
    </w:p>
    <w:p w14:paraId="0E9C4D74" w14:textId="77777777" w:rsidR="00AC7F42" w:rsidRPr="001836F4" w:rsidRDefault="00AC7F42" w:rsidP="00F84A37">
      <w:pPr>
        <w:spacing w:line="360" w:lineRule="auto"/>
        <w:jc w:val="both"/>
      </w:pPr>
    </w:p>
    <w:p w14:paraId="1D540BD9" w14:textId="77777777" w:rsidR="00AC7F42" w:rsidRPr="001836F4" w:rsidRDefault="00AC7F42" w:rsidP="00F84A37">
      <w:pPr>
        <w:spacing w:line="360" w:lineRule="auto"/>
        <w:jc w:val="both"/>
      </w:pPr>
      <w:r w:rsidRPr="001836F4">
        <w:t>Xie, X., Yu, T., Li, X. </w:t>
      </w:r>
      <w:r w:rsidRPr="001836F4">
        <w:rPr>
          <w:i/>
          <w:iCs/>
        </w:rPr>
        <w:t>et al.</w:t>
      </w:r>
      <w:r w:rsidRPr="001836F4">
        <w:t> Recent advances in targeting the “undruggable” proteins: from drug discovery to clinical trials. </w:t>
      </w:r>
      <w:r w:rsidRPr="001836F4">
        <w:rPr>
          <w:i/>
          <w:iCs/>
        </w:rPr>
        <w:t>Sig Transduct Target Ther</w:t>
      </w:r>
      <w:r w:rsidRPr="001836F4">
        <w:t> </w:t>
      </w:r>
      <w:r w:rsidRPr="001836F4">
        <w:rPr>
          <w:b/>
          <w:bCs/>
        </w:rPr>
        <w:t>8</w:t>
      </w:r>
      <w:r w:rsidRPr="001836F4">
        <w:t xml:space="preserve">, 335 (2023). </w:t>
      </w:r>
      <w:hyperlink r:id="rId232" w:history="1">
        <w:r w:rsidRPr="001836F4">
          <w:rPr>
            <w:rStyle w:val="Hyperlink"/>
          </w:rPr>
          <w:t>https://doi.org/10.1038/s41392-023-01589-z</w:t>
        </w:r>
      </w:hyperlink>
    </w:p>
    <w:p w14:paraId="3C5750DC" w14:textId="77777777" w:rsidR="00AC7F42" w:rsidRPr="001836F4" w:rsidRDefault="00AC7F42" w:rsidP="00F84A37">
      <w:pPr>
        <w:spacing w:line="360" w:lineRule="auto"/>
        <w:jc w:val="both"/>
      </w:pPr>
    </w:p>
    <w:p w14:paraId="7CC5D744" w14:textId="77777777" w:rsidR="00AC7F42" w:rsidRPr="003A782C" w:rsidRDefault="00AC7F42" w:rsidP="00F84A37">
      <w:pPr>
        <w:spacing w:line="360" w:lineRule="auto"/>
        <w:jc w:val="both"/>
      </w:pPr>
      <w:r w:rsidRPr="003A782C">
        <w:t xml:space="preserve">Faridoon, N., Ng, R., Zhang, G., &amp; Li, J. J. (2023). An update on the discovery and development of reversible covalent inhibitors. </w:t>
      </w:r>
      <w:r w:rsidRPr="003A782C">
        <w:rPr>
          <w:i/>
          <w:iCs/>
        </w:rPr>
        <w:t>Medicinal Chemistry Research</w:t>
      </w:r>
      <w:r w:rsidRPr="003A782C">
        <w:t xml:space="preserve">, </w:t>
      </w:r>
      <w:r w:rsidRPr="003A782C">
        <w:rPr>
          <w:i/>
          <w:iCs/>
        </w:rPr>
        <w:t>32</w:t>
      </w:r>
      <w:r w:rsidRPr="003A782C">
        <w:t xml:space="preserve">(6), 1039–1062. </w:t>
      </w:r>
      <w:r w:rsidRPr="003A782C">
        <w:rPr>
          <w:rFonts w:eastAsiaTheme="majorEastAsia"/>
        </w:rPr>
        <w:t>https://doi.org/10.1007/s00044-023-03065-3</w:t>
      </w:r>
    </w:p>
    <w:p w14:paraId="4CE0599E" w14:textId="77777777" w:rsidR="00AC7F42" w:rsidRPr="001836F4" w:rsidRDefault="00AC7F42" w:rsidP="00F84A37">
      <w:pPr>
        <w:spacing w:line="360" w:lineRule="auto"/>
        <w:jc w:val="both"/>
      </w:pPr>
    </w:p>
    <w:p w14:paraId="55DADD6F" w14:textId="77777777" w:rsidR="00AC7F42" w:rsidRPr="00D17348" w:rsidRDefault="00AC7F42" w:rsidP="00F84A37">
      <w:pPr>
        <w:spacing w:line="360" w:lineRule="auto"/>
        <w:jc w:val="both"/>
      </w:pPr>
      <w:r w:rsidRPr="00D17348">
        <w:t xml:space="preserve">Wang, H., Frankfurt, M., &amp; Burns, L. H. (2008). High-Affinity naloxone binding to filamin A prevents MU Opioid Receptor–GS coupling underlying opioid tolerance and dependence. </w:t>
      </w:r>
      <w:r w:rsidRPr="00D17348">
        <w:rPr>
          <w:i/>
          <w:iCs/>
        </w:rPr>
        <w:t>PLoS ONE</w:t>
      </w:r>
      <w:r w:rsidRPr="00D17348">
        <w:t xml:space="preserve">, </w:t>
      </w:r>
      <w:r w:rsidRPr="00D17348">
        <w:rPr>
          <w:i/>
          <w:iCs/>
        </w:rPr>
        <w:t>3</w:t>
      </w:r>
      <w:r w:rsidRPr="00D17348">
        <w:t xml:space="preserve">(2), e1554. </w:t>
      </w:r>
      <w:r w:rsidRPr="00D17348">
        <w:rPr>
          <w:rFonts w:eastAsiaTheme="majorEastAsia"/>
        </w:rPr>
        <w:t>https://doi.org/10.1371/journal.pone.0001554</w:t>
      </w:r>
    </w:p>
    <w:p w14:paraId="486DDFC3" w14:textId="77777777" w:rsidR="00AC7F42" w:rsidRPr="001836F4" w:rsidRDefault="00AC7F42" w:rsidP="00F84A37">
      <w:pPr>
        <w:spacing w:line="360" w:lineRule="auto"/>
        <w:jc w:val="both"/>
      </w:pPr>
    </w:p>
    <w:p w14:paraId="3A2E2005" w14:textId="77777777" w:rsidR="00AC7F42" w:rsidRPr="005139D7" w:rsidRDefault="00AC7F42" w:rsidP="00F84A37">
      <w:pPr>
        <w:spacing w:line="360" w:lineRule="auto"/>
        <w:jc w:val="both"/>
      </w:pPr>
      <w:r w:rsidRPr="005139D7">
        <w:t xml:space="preserve">Wang, H., Cecon, E., Dam, J., Pei, Z., Jockers, R., &amp; Burns, L. H. (2023). Simufilam reverses aberrant receptor interactions of filamin A in Alzheimer’s disease. </w:t>
      </w:r>
      <w:r w:rsidRPr="005139D7">
        <w:rPr>
          <w:i/>
          <w:iCs/>
        </w:rPr>
        <w:t>International Journal of Molecular Sciences</w:t>
      </w:r>
      <w:r w:rsidRPr="005139D7">
        <w:t xml:space="preserve">, </w:t>
      </w:r>
      <w:r w:rsidRPr="005139D7">
        <w:rPr>
          <w:i/>
          <w:iCs/>
        </w:rPr>
        <w:t>24</w:t>
      </w:r>
      <w:r w:rsidRPr="005139D7">
        <w:t xml:space="preserve">(18), 13927. </w:t>
      </w:r>
      <w:r w:rsidRPr="005139D7">
        <w:rPr>
          <w:rFonts w:eastAsiaTheme="majorEastAsia"/>
        </w:rPr>
        <w:t>https://doi.org/10.3390/ijms241813927</w:t>
      </w:r>
    </w:p>
    <w:p w14:paraId="168F340A" w14:textId="77777777" w:rsidR="00AC7F42" w:rsidRPr="001836F4" w:rsidRDefault="00AC7F42" w:rsidP="00F84A37">
      <w:pPr>
        <w:spacing w:line="360" w:lineRule="auto"/>
        <w:jc w:val="both"/>
      </w:pPr>
    </w:p>
    <w:p w14:paraId="0ECC1D68" w14:textId="77777777" w:rsidR="00AC7F42" w:rsidRPr="005034CB" w:rsidRDefault="00AC7F42" w:rsidP="00F84A37">
      <w:pPr>
        <w:spacing w:line="360" w:lineRule="auto"/>
        <w:jc w:val="both"/>
      </w:pPr>
      <w:r w:rsidRPr="005034CB">
        <w:t xml:space="preserve">Wang, H., &amp; Burns, L. H. (2009). Naloxone’s pentapeptide binding site on filamin A blocks mu opioid Receptor–GS coupling and CREB activation of acute morphine. </w:t>
      </w:r>
      <w:r w:rsidRPr="005034CB">
        <w:rPr>
          <w:i/>
          <w:iCs/>
        </w:rPr>
        <w:t>PLoS ONE</w:t>
      </w:r>
      <w:r w:rsidRPr="005034CB">
        <w:t xml:space="preserve">, </w:t>
      </w:r>
      <w:r w:rsidRPr="005034CB">
        <w:rPr>
          <w:i/>
          <w:iCs/>
        </w:rPr>
        <w:t>4</w:t>
      </w:r>
      <w:r w:rsidRPr="005034CB">
        <w:t xml:space="preserve">(1), e4282. </w:t>
      </w:r>
      <w:r w:rsidRPr="005034CB">
        <w:rPr>
          <w:rFonts w:eastAsiaTheme="majorEastAsia"/>
        </w:rPr>
        <w:t>https://doi.org/10.1371/journal.pone.0004282</w:t>
      </w:r>
    </w:p>
    <w:p w14:paraId="4790D3FB" w14:textId="77777777" w:rsidR="00AC7F42" w:rsidRPr="001836F4" w:rsidRDefault="00AC7F42" w:rsidP="00F84A37">
      <w:pPr>
        <w:spacing w:line="360" w:lineRule="auto"/>
        <w:jc w:val="both"/>
      </w:pPr>
    </w:p>
    <w:p w14:paraId="1A211CAD" w14:textId="77777777" w:rsidR="00AC7F42" w:rsidRPr="004B0EBD" w:rsidRDefault="00AC7F42" w:rsidP="00F84A37">
      <w:pPr>
        <w:spacing w:line="360" w:lineRule="auto"/>
        <w:jc w:val="both"/>
      </w:pPr>
      <w:r w:rsidRPr="004B0EBD">
        <w:t xml:space="preserve">Bank, R. P. D. (n.d.). </w:t>
      </w:r>
      <w:r w:rsidRPr="004B0EBD">
        <w:rPr>
          <w:i/>
          <w:iCs/>
        </w:rPr>
        <w:t>RCSB PDB - 3CNK: Crystal Structure of the dimerization domain of human filamin A</w:t>
      </w:r>
      <w:r w:rsidRPr="004B0EBD">
        <w:t xml:space="preserve">. </w:t>
      </w:r>
      <w:r w:rsidRPr="004B0EBD">
        <w:rPr>
          <w:rFonts w:eastAsiaTheme="majorEastAsia"/>
        </w:rPr>
        <w:t>https://www.rcsb.org/structure/3CNK</w:t>
      </w:r>
    </w:p>
    <w:p w14:paraId="0355E02F" w14:textId="77777777" w:rsidR="00AC7F42" w:rsidRDefault="00AC7F42" w:rsidP="00F84A37">
      <w:pPr>
        <w:spacing w:line="360" w:lineRule="auto"/>
        <w:jc w:val="both"/>
      </w:pPr>
    </w:p>
    <w:p w14:paraId="223FF7D4" w14:textId="4EE510FE" w:rsidR="006F3B42" w:rsidRPr="001836F4" w:rsidRDefault="006F3B42" w:rsidP="00F84A37">
      <w:pPr>
        <w:spacing w:line="360" w:lineRule="auto"/>
        <w:jc w:val="both"/>
      </w:pPr>
      <w:r w:rsidRPr="006F3B42">
        <w:lastRenderedPageBreak/>
        <w:t xml:space="preserve">Heilbut, A., Brodkin, J., Milioris, E., &amp; Markey, P. (2022). </w:t>
      </w:r>
      <w:r w:rsidRPr="006F3B42">
        <w:rPr>
          <w:i/>
          <w:iCs/>
        </w:rPr>
        <w:t>Rigor and Replication in Alzheimer’s Therapeutic Development: A Case Study</w:t>
      </w:r>
      <w:r w:rsidRPr="006F3B42">
        <w:t xml:space="preserve"> [Poster LP105A]</w:t>
      </w:r>
    </w:p>
    <w:p w14:paraId="03DBDE12" w14:textId="77777777" w:rsidR="00AC7F42" w:rsidRPr="001836F4" w:rsidRDefault="00AC7F42" w:rsidP="00F84A37">
      <w:pPr>
        <w:spacing w:line="360" w:lineRule="auto"/>
        <w:jc w:val="both"/>
      </w:pPr>
    </w:p>
    <w:p w14:paraId="24E316F5" w14:textId="77777777" w:rsidR="00AC7F42" w:rsidRPr="00317306" w:rsidRDefault="00AC7F42" w:rsidP="00F84A37">
      <w:pPr>
        <w:spacing w:line="360" w:lineRule="auto"/>
        <w:jc w:val="both"/>
      </w:pPr>
      <w:r w:rsidRPr="00317306">
        <w:t xml:space="preserve">Measurlabs. (n.d.). </w:t>
      </w:r>
      <w:r w:rsidRPr="00317306">
        <w:rPr>
          <w:i/>
          <w:iCs/>
        </w:rPr>
        <w:t>Isothermal Titration Calorimetry | ITC Analysis</w:t>
      </w:r>
      <w:r w:rsidRPr="00317306">
        <w:t xml:space="preserve">. </w:t>
      </w:r>
      <w:r w:rsidRPr="00317306">
        <w:rPr>
          <w:rFonts w:eastAsiaTheme="majorEastAsia"/>
        </w:rPr>
        <w:t>https://measurlabs.com/methods/isothermal-titration-calorimetry/</w:t>
      </w:r>
    </w:p>
    <w:p w14:paraId="36F4743F" w14:textId="77777777" w:rsidR="00AC7F42" w:rsidRPr="001836F4" w:rsidRDefault="00AC7F42" w:rsidP="00F84A37">
      <w:pPr>
        <w:spacing w:line="360" w:lineRule="auto"/>
        <w:jc w:val="both"/>
      </w:pPr>
    </w:p>
    <w:p w14:paraId="5B1C540D" w14:textId="77777777" w:rsidR="00AC7F42" w:rsidRPr="00E004B1" w:rsidRDefault="00AC7F42" w:rsidP="00F84A37">
      <w:pPr>
        <w:spacing w:line="360" w:lineRule="auto"/>
        <w:jc w:val="both"/>
      </w:pPr>
      <w:r w:rsidRPr="00E004B1">
        <w:t xml:space="preserve">Mukherjee, S., &amp; Schäfer, L. V. (2023). Thermodynamic forces from protein and water govern condensate formation of an intrinsically disordered protein domain. </w:t>
      </w:r>
      <w:r w:rsidRPr="00E004B1">
        <w:rPr>
          <w:i/>
          <w:iCs/>
        </w:rPr>
        <w:t>Nature Communications</w:t>
      </w:r>
      <w:r w:rsidRPr="00E004B1">
        <w:t xml:space="preserve">, </w:t>
      </w:r>
      <w:r w:rsidRPr="00E004B1">
        <w:rPr>
          <w:i/>
          <w:iCs/>
        </w:rPr>
        <w:t>14</w:t>
      </w:r>
      <w:r w:rsidRPr="00E004B1">
        <w:t xml:space="preserve">(1). </w:t>
      </w:r>
      <w:r w:rsidRPr="00E004B1">
        <w:rPr>
          <w:rFonts w:eastAsiaTheme="majorEastAsia"/>
        </w:rPr>
        <w:t>https://doi.org/10.1038/s41467-023-41586-y</w:t>
      </w:r>
    </w:p>
    <w:p w14:paraId="68D15548" w14:textId="77777777" w:rsidR="00AC7F42" w:rsidRPr="001836F4" w:rsidRDefault="00AC7F42" w:rsidP="00F84A37">
      <w:pPr>
        <w:spacing w:line="360" w:lineRule="auto"/>
        <w:jc w:val="both"/>
      </w:pPr>
    </w:p>
    <w:p w14:paraId="41C18DD6" w14:textId="77777777" w:rsidR="00AC7F42" w:rsidRPr="0055457F" w:rsidRDefault="00AC7F42" w:rsidP="00F84A37">
      <w:pPr>
        <w:spacing w:line="360" w:lineRule="auto"/>
        <w:jc w:val="both"/>
      </w:pPr>
      <w:r w:rsidRPr="0055457F">
        <w:t xml:space="preserve">Wikipedia contributors. (2024, August 19). </w:t>
      </w:r>
      <w:r w:rsidRPr="0055457F">
        <w:rPr>
          <w:i/>
          <w:iCs/>
        </w:rPr>
        <w:t>Isothermal titration calorimetry</w:t>
      </w:r>
      <w:r w:rsidRPr="0055457F">
        <w:t xml:space="preserve">. Wikipedia. </w:t>
      </w:r>
      <w:r w:rsidRPr="0055457F">
        <w:rPr>
          <w:rFonts w:eastAsiaTheme="majorEastAsia"/>
        </w:rPr>
        <w:t>https://en.wikipedia.org/wiki/Isothermal_titration_calorimetry</w:t>
      </w:r>
    </w:p>
    <w:p w14:paraId="396B2D0D" w14:textId="77777777" w:rsidR="00AC7F42" w:rsidRPr="001836F4" w:rsidRDefault="00AC7F42" w:rsidP="00F84A37">
      <w:pPr>
        <w:spacing w:line="360" w:lineRule="auto"/>
        <w:jc w:val="both"/>
      </w:pPr>
    </w:p>
    <w:p w14:paraId="5FAC0B2F" w14:textId="77777777" w:rsidR="00AC7F42" w:rsidRPr="004C3B7C" w:rsidRDefault="00AC7F42" w:rsidP="00F84A37">
      <w:pPr>
        <w:spacing w:line="360" w:lineRule="auto"/>
        <w:jc w:val="both"/>
      </w:pPr>
      <w:r w:rsidRPr="004C3B7C">
        <w:t xml:space="preserve">Cooper, A. (1999). Direct measurement of the thermodynamics of biomolecular interactions. </w:t>
      </w:r>
      <w:r w:rsidRPr="004C3B7C">
        <w:rPr>
          <w:i/>
          <w:iCs/>
        </w:rPr>
        <w:t>Current Opinion in Chemical Biology</w:t>
      </w:r>
      <w:r w:rsidRPr="004C3B7C">
        <w:t xml:space="preserve">, 557–563. </w:t>
      </w:r>
      <w:r w:rsidRPr="004C3B7C">
        <w:rPr>
          <w:rFonts w:eastAsiaTheme="majorEastAsia"/>
        </w:rPr>
        <w:t>https://www.chem.gla.ac.uk/staff/alanc/CurrOp1999.pdf</w:t>
      </w:r>
    </w:p>
    <w:p w14:paraId="66360481" w14:textId="77777777" w:rsidR="00AC7F42" w:rsidRPr="001836F4" w:rsidRDefault="00AC7F42" w:rsidP="00F84A37">
      <w:pPr>
        <w:spacing w:line="360" w:lineRule="auto"/>
        <w:jc w:val="both"/>
      </w:pPr>
    </w:p>
    <w:p w14:paraId="4157C16C" w14:textId="77777777" w:rsidR="00AC7F42" w:rsidRPr="00777531" w:rsidRDefault="00AC7F42" w:rsidP="00F84A37">
      <w:pPr>
        <w:spacing w:line="360" w:lineRule="auto"/>
        <w:jc w:val="both"/>
      </w:pPr>
      <w:r w:rsidRPr="00777531">
        <w:rPr>
          <w:i/>
          <w:iCs/>
        </w:rPr>
        <w:t>Isothermal Titration calorimetry (ITC)</w:t>
      </w:r>
      <w:r w:rsidRPr="00777531">
        <w:t xml:space="preserve">. (n.d.). Center for Macromolecular Interactions. </w:t>
      </w:r>
      <w:r w:rsidRPr="00777531">
        <w:rPr>
          <w:rFonts w:eastAsiaTheme="majorEastAsia"/>
        </w:rPr>
        <w:t>https://cmi.hms.harvard.edu/isothermal-titration-calorimetry</w:t>
      </w:r>
    </w:p>
    <w:p w14:paraId="5EA4300A" w14:textId="77777777" w:rsidR="00AC7F42" w:rsidRPr="001836F4" w:rsidRDefault="00AC7F42" w:rsidP="00F84A37">
      <w:pPr>
        <w:spacing w:line="360" w:lineRule="auto"/>
        <w:jc w:val="both"/>
      </w:pPr>
    </w:p>
    <w:p w14:paraId="5BD3C75F" w14:textId="77777777" w:rsidR="00AC7F42" w:rsidRPr="00445688" w:rsidRDefault="00AC7F42" w:rsidP="00F84A37">
      <w:pPr>
        <w:spacing w:line="360" w:lineRule="auto"/>
        <w:jc w:val="both"/>
      </w:pPr>
      <w:r w:rsidRPr="00445688">
        <w:t xml:space="preserve">Razinia, Z., Mäkelä, T., Ylänne, J., &amp; Calderwood, D. A. (2012). Filamins in mechanosensing and signaling. </w:t>
      </w:r>
      <w:r w:rsidRPr="00445688">
        <w:rPr>
          <w:i/>
          <w:iCs/>
        </w:rPr>
        <w:t>Annual Review of Biophysics</w:t>
      </w:r>
      <w:r w:rsidRPr="00445688">
        <w:t xml:space="preserve">, </w:t>
      </w:r>
      <w:r w:rsidRPr="00445688">
        <w:rPr>
          <w:i/>
          <w:iCs/>
        </w:rPr>
        <w:t>41</w:t>
      </w:r>
      <w:r w:rsidRPr="00445688">
        <w:t xml:space="preserve">(1), 227–246. </w:t>
      </w:r>
      <w:r w:rsidRPr="00445688">
        <w:rPr>
          <w:rFonts w:eastAsiaTheme="majorEastAsia"/>
        </w:rPr>
        <w:t>https://doi.org/10.1146/annurev-biophys-050511-102252</w:t>
      </w:r>
    </w:p>
    <w:p w14:paraId="66947C3F" w14:textId="77777777" w:rsidR="00AC7F42" w:rsidRPr="001836F4" w:rsidRDefault="00AC7F42" w:rsidP="00F84A37">
      <w:pPr>
        <w:spacing w:line="360" w:lineRule="auto"/>
        <w:jc w:val="both"/>
      </w:pPr>
    </w:p>
    <w:p w14:paraId="696F7CF0" w14:textId="77777777" w:rsidR="00AC7F42" w:rsidRPr="00002994" w:rsidRDefault="00AC7F42" w:rsidP="00F84A37">
      <w:pPr>
        <w:spacing w:line="360" w:lineRule="auto"/>
        <w:jc w:val="both"/>
      </w:pPr>
      <w:r w:rsidRPr="00002994">
        <w:t xml:space="preserve">Pollard, T. D. (2016). Actin and Actin-Binding proteins. </w:t>
      </w:r>
      <w:r w:rsidRPr="00002994">
        <w:rPr>
          <w:i/>
          <w:iCs/>
        </w:rPr>
        <w:t>Cold Spring Harbor Perspectives in Biology</w:t>
      </w:r>
      <w:r w:rsidRPr="00002994">
        <w:t xml:space="preserve">, </w:t>
      </w:r>
      <w:r w:rsidRPr="00002994">
        <w:rPr>
          <w:i/>
          <w:iCs/>
        </w:rPr>
        <w:t>8</w:t>
      </w:r>
      <w:r w:rsidRPr="00002994">
        <w:t xml:space="preserve">(8), a018226. </w:t>
      </w:r>
      <w:r w:rsidRPr="00002994">
        <w:rPr>
          <w:rFonts w:eastAsiaTheme="majorEastAsia"/>
        </w:rPr>
        <w:t>https://doi.org/10.1101/cshperspect.a018226</w:t>
      </w:r>
    </w:p>
    <w:p w14:paraId="7518ED48" w14:textId="77777777" w:rsidR="00AC7F42" w:rsidRPr="001836F4" w:rsidRDefault="00AC7F42" w:rsidP="00F84A37">
      <w:pPr>
        <w:spacing w:line="360" w:lineRule="auto"/>
        <w:jc w:val="both"/>
      </w:pPr>
    </w:p>
    <w:p w14:paraId="5853EB26" w14:textId="77777777" w:rsidR="00AC7F42" w:rsidRPr="001836F4" w:rsidRDefault="00AC7F42" w:rsidP="00F84A37">
      <w:pPr>
        <w:spacing w:line="360" w:lineRule="auto"/>
        <w:jc w:val="both"/>
      </w:pPr>
      <w:r w:rsidRPr="001836F4">
        <w:t>Shailaja Seetharaman, Sandrine Etienne-Manneville. Cytoskeletal Crosstalk in Cell Migration. Trends in Cell Biology, 2020, 30 (9), pp.720-735. ff10.1016/j.tcb.2020.06.004ff. ffpasteur-02918360f</w:t>
      </w:r>
    </w:p>
    <w:p w14:paraId="267104B8" w14:textId="77777777" w:rsidR="00AC7F42" w:rsidRPr="00224CB4" w:rsidRDefault="00AC7F42" w:rsidP="00F84A37">
      <w:pPr>
        <w:spacing w:line="360" w:lineRule="auto"/>
        <w:jc w:val="both"/>
      </w:pPr>
      <w:r w:rsidRPr="00224CB4">
        <w:lastRenderedPageBreak/>
        <w:t xml:space="preserve">Fletcher, D. A., &amp; Mullins, R. D. (2010). Cell mechanics and the cytoskeleton. </w:t>
      </w:r>
      <w:r w:rsidRPr="00224CB4">
        <w:rPr>
          <w:i/>
          <w:iCs/>
        </w:rPr>
        <w:t>Nature</w:t>
      </w:r>
      <w:r w:rsidRPr="00224CB4">
        <w:t xml:space="preserve">, </w:t>
      </w:r>
      <w:r w:rsidRPr="00224CB4">
        <w:rPr>
          <w:i/>
          <w:iCs/>
        </w:rPr>
        <w:t>463</w:t>
      </w:r>
      <w:r w:rsidRPr="00224CB4">
        <w:t xml:space="preserve">(7280), 485–492. </w:t>
      </w:r>
      <w:r w:rsidRPr="00224CB4">
        <w:rPr>
          <w:rFonts w:eastAsiaTheme="majorEastAsia"/>
        </w:rPr>
        <w:t>https://doi.org/10.1038/nature08908</w:t>
      </w:r>
    </w:p>
    <w:p w14:paraId="58CEE09B" w14:textId="77777777" w:rsidR="00AC7F42" w:rsidRPr="001836F4" w:rsidRDefault="00AC7F42" w:rsidP="00F84A37">
      <w:pPr>
        <w:spacing w:line="360" w:lineRule="auto"/>
        <w:jc w:val="both"/>
      </w:pPr>
    </w:p>
    <w:p w14:paraId="138B8B61" w14:textId="77777777" w:rsidR="00AC7F42" w:rsidRPr="00993D9E" w:rsidRDefault="00AC7F42" w:rsidP="00F84A37">
      <w:pPr>
        <w:spacing w:line="360" w:lineRule="auto"/>
        <w:jc w:val="both"/>
      </w:pPr>
      <w:r w:rsidRPr="00993D9E">
        <w:rPr>
          <w:i/>
          <w:iCs/>
        </w:rPr>
        <w:t>FLNA protein expression summary - The Human Protein Atlas</w:t>
      </w:r>
      <w:r w:rsidRPr="00993D9E">
        <w:t xml:space="preserve">. (n.d.). </w:t>
      </w:r>
      <w:r w:rsidRPr="00993D9E">
        <w:rPr>
          <w:rFonts w:eastAsiaTheme="majorEastAsia"/>
        </w:rPr>
        <w:t>https://www.proteinatlas.org/ENSG00000196924-FLNA</w:t>
      </w:r>
    </w:p>
    <w:p w14:paraId="6B6EBF62" w14:textId="77777777" w:rsidR="00AC7F42" w:rsidRPr="001836F4" w:rsidRDefault="00AC7F42" w:rsidP="00F84A37">
      <w:pPr>
        <w:spacing w:line="360" w:lineRule="auto"/>
        <w:jc w:val="both"/>
      </w:pPr>
    </w:p>
    <w:p w14:paraId="12B106D2" w14:textId="77777777" w:rsidR="00AC7F42" w:rsidRPr="00884E32" w:rsidRDefault="00AC7F42" w:rsidP="00F84A37">
      <w:pPr>
        <w:spacing w:line="360" w:lineRule="auto"/>
        <w:jc w:val="both"/>
      </w:pPr>
      <w:r w:rsidRPr="00884E32">
        <w:rPr>
          <w:i/>
          <w:iCs/>
        </w:rPr>
        <w:t>FLNA gene: MedlinePlus Genetics</w:t>
      </w:r>
      <w:r w:rsidRPr="00884E32">
        <w:t xml:space="preserve">. (n.d.). </w:t>
      </w:r>
      <w:r w:rsidRPr="00884E32">
        <w:rPr>
          <w:rFonts w:eastAsiaTheme="majorEastAsia"/>
        </w:rPr>
        <w:t>https://medlineplus.gov/genetics/gene/flna/</w:t>
      </w:r>
    </w:p>
    <w:p w14:paraId="2C5F4F47" w14:textId="77777777" w:rsidR="00AC7F42" w:rsidRPr="001836F4" w:rsidRDefault="00AC7F42" w:rsidP="00F84A37">
      <w:pPr>
        <w:spacing w:line="360" w:lineRule="auto"/>
        <w:jc w:val="both"/>
      </w:pPr>
    </w:p>
    <w:p w14:paraId="5F7117FB" w14:textId="77777777" w:rsidR="00AC7F42" w:rsidRPr="0039232C" w:rsidRDefault="00AC7F42" w:rsidP="00F84A37">
      <w:pPr>
        <w:spacing w:line="360" w:lineRule="auto"/>
        <w:jc w:val="both"/>
      </w:pPr>
      <w:r w:rsidRPr="0039232C">
        <w:t xml:space="preserve">FLNA gene. (n.d.). In MedlinePlus Genetics, </w:t>
      </w:r>
      <w:r w:rsidRPr="0039232C">
        <w:rPr>
          <w:i/>
          <w:iCs/>
        </w:rPr>
        <w:t>MedlinePlus Genetics</w:t>
      </w:r>
      <w:r w:rsidRPr="0039232C">
        <w:t xml:space="preserve">. </w:t>
      </w:r>
      <w:r w:rsidRPr="0039232C">
        <w:rPr>
          <w:rFonts w:eastAsiaTheme="majorEastAsia"/>
        </w:rPr>
        <w:t>https://medlineplus.gov/download/genetics/gene/flna.pdf</w:t>
      </w:r>
    </w:p>
    <w:p w14:paraId="10B1D313" w14:textId="77777777" w:rsidR="00AC7F42" w:rsidRPr="001836F4" w:rsidRDefault="00AC7F42" w:rsidP="00F84A37">
      <w:pPr>
        <w:spacing w:line="360" w:lineRule="auto"/>
        <w:jc w:val="both"/>
      </w:pPr>
    </w:p>
    <w:p w14:paraId="10FB400B" w14:textId="77777777" w:rsidR="00AC7F42" w:rsidRPr="00C05303" w:rsidRDefault="00AC7F42" w:rsidP="00F84A37">
      <w:pPr>
        <w:spacing w:line="360" w:lineRule="auto"/>
        <w:jc w:val="both"/>
      </w:pPr>
      <w:r w:rsidRPr="00C05303">
        <w:t xml:space="preserve">Lamsoul, I., Dupré, L., &amp; Lutz, P. G. (2020). Molecular Tuning of filamin A activities in the context of adhesion and migration. </w:t>
      </w:r>
      <w:r w:rsidRPr="00C05303">
        <w:rPr>
          <w:i/>
          <w:iCs/>
        </w:rPr>
        <w:t>Frontiers in Cell and Developmental Biology</w:t>
      </w:r>
      <w:r w:rsidRPr="00C05303">
        <w:t xml:space="preserve">, </w:t>
      </w:r>
      <w:r w:rsidRPr="00C05303">
        <w:rPr>
          <w:i/>
          <w:iCs/>
        </w:rPr>
        <w:t>8</w:t>
      </w:r>
      <w:r w:rsidRPr="00C05303">
        <w:t xml:space="preserve">. </w:t>
      </w:r>
      <w:r w:rsidRPr="00C05303">
        <w:rPr>
          <w:rFonts w:eastAsiaTheme="majorEastAsia"/>
        </w:rPr>
        <w:t>https://doi.org/10.3389/fcell.2020.591323</w:t>
      </w:r>
    </w:p>
    <w:p w14:paraId="11D4AC0F" w14:textId="77777777" w:rsidR="00AC7F42" w:rsidRPr="001836F4" w:rsidRDefault="00AC7F42" w:rsidP="00F84A37">
      <w:pPr>
        <w:spacing w:line="360" w:lineRule="auto"/>
        <w:jc w:val="both"/>
      </w:pPr>
    </w:p>
    <w:p w14:paraId="26D9688F" w14:textId="77777777" w:rsidR="00AC7F42" w:rsidRPr="00B30F07" w:rsidRDefault="00AC7F42" w:rsidP="00F84A37">
      <w:pPr>
        <w:spacing w:line="360" w:lineRule="auto"/>
        <w:jc w:val="both"/>
      </w:pPr>
      <w:r w:rsidRPr="00B30F07">
        <w:t xml:space="preserve">Welter, H., Herrmann, C., Fröhlich, T., Flenkenthaler, F., Eubler, K., Schorle, H., Nettersheim, D., Mayerhofer, A., &amp; Müller-Taubenberger, A. (2020). Filamin A orchestrates cytoskeletal structure, cell migration and stem cell characteristics in human seminoma TCAM-2 cells. </w:t>
      </w:r>
      <w:r w:rsidRPr="00B30F07">
        <w:rPr>
          <w:i/>
          <w:iCs/>
        </w:rPr>
        <w:t>Cells</w:t>
      </w:r>
      <w:r w:rsidRPr="00B30F07">
        <w:t xml:space="preserve">, </w:t>
      </w:r>
      <w:r w:rsidRPr="00B30F07">
        <w:rPr>
          <w:i/>
          <w:iCs/>
        </w:rPr>
        <w:t>9</w:t>
      </w:r>
      <w:r w:rsidRPr="00B30F07">
        <w:t xml:space="preserve">(12), 2563. </w:t>
      </w:r>
      <w:r w:rsidRPr="00B30F07">
        <w:rPr>
          <w:rFonts w:eastAsiaTheme="majorEastAsia"/>
        </w:rPr>
        <w:t>https://doi.org/10.3390/cells9122563</w:t>
      </w:r>
    </w:p>
    <w:p w14:paraId="7D8CF6C2" w14:textId="77777777" w:rsidR="00AC7F42" w:rsidRPr="001836F4" w:rsidRDefault="00AC7F42" w:rsidP="00F84A37">
      <w:pPr>
        <w:spacing w:line="360" w:lineRule="auto"/>
        <w:jc w:val="both"/>
      </w:pPr>
    </w:p>
    <w:p w14:paraId="23E37540" w14:textId="77777777" w:rsidR="00AC7F42" w:rsidRPr="00271DDD" w:rsidRDefault="00AC7F42" w:rsidP="00F84A37">
      <w:pPr>
        <w:spacing w:line="360" w:lineRule="auto"/>
        <w:jc w:val="both"/>
      </w:pPr>
      <w:r w:rsidRPr="00271DDD">
        <w:t xml:space="preserve">Ketebo, A. A., Park, C., Kim, J., Jun, M., &amp; Park, S. (2021). Probing mechanobiological role of filamin A in migration and invasion of human U87 glioblastoma cells using submicron soft pillars. </w:t>
      </w:r>
      <w:r w:rsidRPr="00271DDD">
        <w:rPr>
          <w:i/>
          <w:iCs/>
        </w:rPr>
        <w:t>Nano Convergence</w:t>
      </w:r>
      <w:r w:rsidRPr="00271DDD">
        <w:t xml:space="preserve">, </w:t>
      </w:r>
      <w:r w:rsidRPr="00271DDD">
        <w:rPr>
          <w:i/>
          <w:iCs/>
        </w:rPr>
        <w:t>8</w:t>
      </w:r>
      <w:r w:rsidRPr="00271DDD">
        <w:t xml:space="preserve">(1). </w:t>
      </w:r>
      <w:r w:rsidRPr="00271DDD">
        <w:rPr>
          <w:rFonts w:eastAsiaTheme="majorEastAsia"/>
        </w:rPr>
        <w:t>https://doi.org/10.1186/s40580-021-00267-6</w:t>
      </w:r>
    </w:p>
    <w:p w14:paraId="6815ECFE" w14:textId="77777777" w:rsidR="00AC7F42" w:rsidRPr="001836F4" w:rsidRDefault="00AC7F42" w:rsidP="00F84A37">
      <w:pPr>
        <w:spacing w:line="360" w:lineRule="auto"/>
        <w:jc w:val="both"/>
      </w:pPr>
    </w:p>
    <w:p w14:paraId="2C31B6D3" w14:textId="77777777" w:rsidR="00AC7F42" w:rsidRPr="00106345" w:rsidRDefault="00AC7F42" w:rsidP="00F84A37">
      <w:pPr>
        <w:spacing w:line="360" w:lineRule="auto"/>
        <w:jc w:val="both"/>
      </w:pPr>
      <w:r w:rsidRPr="00106345">
        <w:t xml:space="preserve">Alberts, B., Johnson, A., Lewis, J., Raff, M., Roberts, K., &amp; Walter, P. (2002). </w:t>
      </w:r>
      <w:r w:rsidRPr="00106345">
        <w:rPr>
          <w:i/>
          <w:iCs/>
        </w:rPr>
        <w:t>Integrins</w:t>
      </w:r>
      <w:r w:rsidRPr="00106345">
        <w:t xml:space="preserve">. Molecular Biology of the Cell - NCBI Bookshelf. </w:t>
      </w:r>
      <w:r w:rsidRPr="00106345">
        <w:rPr>
          <w:rFonts w:eastAsiaTheme="majorEastAsia"/>
        </w:rPr>
        <w:t>https://www.ncbi.nlm.nih.gov/books/NBK26867/</w:t>
      </w:r>
    </w:p>
    <w:p w14:paraId="0A3F7B5F" w14:textId="77777777" w:rsidR="00AC7F42" w:rsidRPr="001836F4" w:rsidRDefault="00AC7F42" w:rsidP="00F84A37">
      <w:pPr>
        <w:spacing w:line="360" w:lineRule="auto"/>
        <w:jc w:val="both"/>
      </w:pPr>
    </w:p>
    <w:p w14:paraId="406CA043" w14:textId="77777777" w:rsidR="00AC7F42" w:rsidRPr="000D1FC0" w:rsidRDefault="00AC7F42" w:rsidP="00F84A37">
      <w:pPr>
        <w:spacing w:line="360" w:lineRule="auto"/>
        <w:jc w:val="both"/>
      </w:pPr>
      <w:r w:rsidRPr="000D1FC0">
        <w:t xml:space="preserve">Hynes, R. O. (2002). Integrins. </w:t>
      </w:r>
      <w:r w:rsidRPr="000D1FC0">
        <w:rPr>
          <w:i/>
          <w:iCs/>
        </w:rPr>
        <w:t>Cell</w:t>
      </w:r>
      <w:r w:rsidRPr="000D1FC0">
        <w:t xml:space="preserve">, </w:t>
      </w:r>
      <w:r w:rsidRPr="000D1FC0">
        <w:rPr>
          <w:i/>
          <w:iCs/>
        </w:rPr>
        <w:t>110</w:t>
      </w:r>
      <w:r w:rsidRPr="000D1FC0">
        <w:t xml:space="preserve">(6), 673–687. </w:t>
      </w:r>
      <w:r w:rsidRPr="000D1FC0">
        <w:rPr>
          <w:rFonts w:eastAsiaTheme="majorEastAsia"/>
        </w:rPr>
        <w:t>https://doi.org/10.1016/s0092-8674(02)00971-6</w:t>
      </w:r>
    </w:p>
    <w:p w14:paraId="224CFF63" w14:textId="77777777" w:rsidR="00AC7F42" w:rsidRPr="001836F4" w:rsidRDefault="00AC7F42" w:rsidP="00F84A37">
      <w:pPr>
        <w:spacing w:line="360" w:lineRule="auto"/>
        <w:jc w:val="both"/>
      </w:pPr>
    </w:p>
    <w:p w14:paraId="7EEE32A8" w14:textId="77777777" w:rsidR="00AC7F42" w:rsidRPr="003C2C53" w:rsidRDefault="00AC7F42" w:rsidP="00F84A37">
      <w:pPr>
        <w:spacing w:line="360" w:lineRule="auto"/>
        <w:jc w:val="both"/>
      </w:pPr>
      <w:r w:rsidRPr="003C2C53">
        <w:lastRenderedPageBreak/>
        <w:t xml:space="preserve">Burns, L. H., &amp; Wang, H. (2017). Altered filamin A enables amyloid beta-induced tau hyperphosphorylation and neuroinflammation in Alzheimer’s disease. </w:t>
      </w:r>
      <w:r w:rsidRPr="003C2C53">
        <w:rPr>
          <w:i/>
          <w:iCs/>
        </w:rPr>
        <w:t>Neuroimmunology and Neuroinflammation</w:t>
      </w:r>
      <w:r w:rsidRPr="003C2C53">
        <w:t xml:space="preserve">, </w:t>
      </w:r>
      <w:r w:rsidRPr="003C2C53">
        <w:rPr>
          <w:i/>
          <w:iCs/>
        </w:rPr>
        <w:t>4</w:t>
      </w:r>
      <w:r w:rsidRPr="003C2C53">
        <w:t xml:space="preserve">(12), 263. </w:t>
      </w:r>
      <w:r w:rsidRPr="003C2C53">
        <w:rPr>
          <w:rFonts w:eastAsiaTheme="majorEastAsia"/>
        </w:rPr>
        <w:t>https://doi.org/10.20517/2347-8659.2017.50</w:t>
      </w:r>
    </w:p>
    <w:p w14:paraId="131A51FE" w14:textId="77777777" w:rsidR="00AC7F42" w:rsidRPr="001836F4" w:rsidRDefault="00AC7F42" w:rsidP="00F84A37">
      <w:pPr>
        <w:spacing w:line="360" w:lineRule="auto"/>
        <w:jc w:val="both"/>
      </w:pPr>
    </w:p>
    <w:p w14:paraId="73C83398" w14:textId="77777777" w:rsidR="00AC7F42" w:rsidRPr="00C32E65" w:rsidRDefault="00AC7F42" w:rsidP="00F84A37">
      <w:pPr>
        <w:spacing w:line="360" w:lineRule="auto"/>
        <w:jc w:val="both"/>
      </w:pPr>
      <w:r w:rsidRPr="00C32E65">
        <w:t xml:space="preserve">Aumont, E., Tremblay, C., Levert, S., Bennett, D. A., Calon, F., &amp; Leclerc, N. (2022). Evidence of Filamin A loss of solubility at the prodromal stage of neuropathologically-defined Alzheimer’s disease. </w:t>
      </w:r>
      <w:r w:rsidRPr="00C32E65">
        <w:rPr>
          <w:i/>
          <w:iCs/>
        </w:rPr>
        <w:t>Frontiers in Aging Neuroscience</w:t>
      </w:r>
      <w:r w:rsidRPr="00C32E65">
        <w:t xml:space="preserve">, </w:t>
      </w:r>
      <w:r w:rsidRPr="00C32E65">
        <w:rPr>
          <w:i/>
          <w:iCs/>
        </w:rPr>
        <w:t>14</w:t>
      </w:r>
      <w:r w:rsidRPr="00C32E65">
        <w:t xml:space="preserve">. </w:t>
      </w:r>
      <w:r w:rsidRPr="00C32E65">
        <w:rPr>
          <w:rFonts w:eastAsiaTheme="majorEastAsia"/>
        </w:rPr>
        <w:t>https://doi.org/10.3389/fnagi.2022.1038343</w:t>
      </w:r>
    </w:p>
    <w:p w14:paraId="62704281" w14:textId="77777777" w:rsidR="00AC7F42" w:rsidRPr="001836F4" w:rsidRDefault="00AC7F42" w:rsidP="00F84A37">
      <w:pPr>
        <w:spacing w:line="360" w:lineRule="auto"/>
        <w:jc w:val="both"/>
      </w:pPr>
    </w:p>
    <w:p w14:paraId="07B44B79" w14:textId="77777777" w:rsidR="00AC7F42" w:rsidRPr="008113F9" w:rsidRDefault="00AC7F42" w:rsidP="00F84A37">
      <w:pPr>
        <w:spacing w:line="360" w:lineRule="auto"/>
        <w:jc w:val="both"/>
      </w:pPr>
      <w:r w:rsidRPr="008113F9">
        <w:t xml:space="preserve">Nakamura, F., Stossel, T. P., &amp; Hartwig, J. H. (2011). The filamins. </w:t>
      </w:r>
      <w:r w:rsidRPr="008113F9">
        <w:rPr>
          <w:i/>
          <w:iCs/>
        </w:rPr>
        <w:t>Cell Adhesion &amp; Migration</w:t>
      </w:r>
      <w:r w:rsidRPr="008113F9">
        <w:t xml:space="preserve">, </w:t>
      </w:r>
      <w:r w:rsidRPr="008113F9">
        <w:rPr>
          <w:i/>
          <w:iCs/>
        </w:rPr>
        <w:t>5</w:t>
      </w:r>
      <w:r w:rsidRPr="008113F9">
        <w:t xml:space="preserve">(2), 160–169. </w:t>
      </w:r>
      <w:r w:rsidRPr="008113F9">
        <w:rPr>
          <w:rFonts w:eastAsiaTheme="majorEastAsia"/>
        </w:rPr>
        <w:t>https://doi.org/10.4161/cam.5.2.14401</w:t>
      </w:r>
    </w:p>
    <w:p w14:paraId="2AC0170F" w14:textId="77777777" w:rsidR="00AC7F42" w:rsidRPr="001836F4" w:rsidRDefault="00AC7F42" w:rsidP="00F84A37">
      <w:pPr>
        <w:spacing w:line="360" w:lineRule="auto"/>
        <w:jc w:val="both"/>
      </w:pPr>
    </w:p>
    <w:p w14:paraId="26415379" w14:textId="77777777" w:rsidR="00AC7F42" w:rsidRPr="00741C8B" w:rsidRDefault="00AC7F42" w:rsidP="00F84A37">
      <w:pPr>
        <w:spacing w:line="360" w:lineRule="auto"/>
        <w:jc w:val="both"/>
      </w:pPr>
      <w:r w:rsidRPr="00741C8B">
        <w:rPr>
          <w:i/>
          <w:iCs/>
        </w:rPr>
        <w:t>Consortium to Establish a Registry for Alzheimer’s Disease (CERAD) | Duke Center for the Study of Aging and Human Development</w:t>
      </w:r>
      <w:r w:rsidRPr="00741C8B">
        <w:t xml:space="preserve">. (n.d.). </w:t>
      </w:r>
      <w:r w:rsidRPr="00741C8B">
        <w:rPr>
          <w:rFonts w:eastAsiaTheme="majorEastAsia"/>
        </w:rPr>
        <w:t>https://agingcenter.duke.edu/cerad</w:t>
      </w:r>
    </w:p>
    <w:p w14:paraId="332C0533" w14:textId="77777777" w:rsidR="00AC7F42" w:rsidRPr="001836F4" w:rsidRDefault="00AC7F42" w:rsidP="00F84A37">
      <w:pPr>
        <w:spacing w:line="360" w:lineRule="auto"/>
        <w:jc w:val="both"/>
      </w:pPr>
    </w:p>
    <w:p w14:paraId="3AD050DE" w14:textId="77777777" w:rsidR="00AC7F42" w:rsidRPr="00140E15" w:rsidRDefault="00AC7F42" w:rsidP="00F84A37">
      <w:pPr>
        <w:spacing w:line="360" w:lineRule="auto"/>
        <w:jc w:val="both"/>
      </w:pPr>
      <w:r w:rsidRPr="00140E15">
        <w:t xml:space="preserve">Shen, J., &amp; Yakel, J. L. (2009). Nicotinic acetylcholine receptor-mediated calcium signaling in the nervous system. </w:t>
      </w:r>
      <w:r w:rsidRPr="00140E15">
        <w:rPr>
          <w:i/>
          <w:iCs/>
        </w:rPr>
        <w:t>Acta Pharmacologica Sinica</w:t>
      </w:r>
      <w:r w:rsidRPr="00140E15">
        <w:t xml:space="preserve">, </w:t>
      </w:r>
      <w:r w:rsidRPr="00140E15">
        <w:rPr>
          <w:i/>
          <w:iCs/>
        </w:rPr>
        <w:t>30</w:t>
      </w:r>
      <w:r w:rsidRPr="00140E15">
        <w:t xml:space="preserve">(6), 673–680. </w:t>
      </w:r>
      <w:r w:rsidRPr="00140E15">
        <w:rPr>
          <w:rFonts w:eastAsiaTheme="majorEastAsia"/>
        </w:rPr>
        <w:t>https://doi.org/10.1038/aps.2009.64</w:t>
      </w:r>
    </w:p>
    <w:p w14:paraId="64BB183B" w14:textId="77777777" w:rsidR="00AC7F42" w:rsidRPr="001836F4" w:rsidRDefault="00AC7F42" w:rsidP="00F84A37">
      <w:pPr>
        <w:spacing w:line="360" w:lineRule="auto"/>
        <w:jc w:val="both"/>
      </w:pPr>
    </w:p>
    <w:p w14:paraId="789D897D" w14:textId="77777777" w:rsidR="00AC7F42" w:rsidRPr="00C639EF" w:rsidRDefault="00AC7F42" w:rsidP="00F84A37">
      <w:pPr>
        <w:spacing w:line="360" w:lineRule="auto"/>
        <w:jc w:val="both"/>
      </w:pPr>
      <w:r w:rsidRPr="00C639EF">
        <w:t xml:space="preserve">Natarajan, K., Mukhtasimova, N., Corradi, J., Lasala, M., Bouzat, C., &amp; Sine, S. M. (2020). Mechanism of calcium potentiation of the α7 nicotinic acetylcholine receptor. </w:t>
      </w:r>
      <w:r w:rsidRPr="00C639EF">
        <w:rPr>
          <w:i/>
          <w:iCs/>
        </w:rPr>
        <w:t>The Journal of General Physiology</w:t>
      </w:r>
      <w:r w:rsidRPr="00C639EF">
        <w:t xml:space="preserve">, </w:t>
      </w:r>
      <w:r w:rsidRPr="00C639EF">
        <w:rPr>
          <w:i/>
          <w:iCs/>
        </w:rPr>
        <w:t>152</w:t>
      </w:r>
      <w:r w:rsidRPr="00C639EF">
        <w:t xml:space="preserve">(9). </w:t>
      </w:r>
      <w:r w:rsidRPr="00C639EF">
        <w:rPr>
          <w:rFonts w:eastAsiaTheme="majorEastAsia"/>
        </w:rPr>
        <w:t>https://doi.org/10.1085/jgp.202012606</w:t>
      </w:r>
    </w:p>
    <w:p w14:paraId="4EB07C7E" w14:textId="77777777" w:rsidR="00AC7F42" w:rsidRPr="001836F4" w:rsidRDefault="00AC7F42" w:rsidP="00F84A37">
      <w:pPr>
        <w:spacing w:line="360" w:lineRule="auto"/>
        <w:jc w:val="both"/>
      </w:pPr>
    </w:p>
    <w:p w14:paraId="63A4BFD1" w14:textId="77777777" w:rsidR="00AC7F42" w:rsidRPr="00142358" w:rsidRDefault="00AC7F42" w:rsidP="00F84A37">
      <w:pPr>
        <w:spacing w:line="360" w:lineRule="auto"/>
        <w:jc w:val="both"/>
      </w:pPr>
      <w:r w:rsidRPr="00142358">
        <w:t xml:space="preserve">Wang, H., Cecon, E., Dam, J., Pei, Z., Jockers, R., &amp; Burns, L. H. (2023). Simufilam reverses aberrant receptor interactions of filamin A in Alzheimer’s disease. </w:t>
      </w:r>
      <w:r w:rsidRPr="00142358">
        <w:rPr>
          <w:i/>
          <w:iCs/>
        </w:rPr>
        <w:t>International Journal of Molecular Sciences</w:t>
      </w:r>
      <w:r w:rsidRPr="00142358">
        <w:t xml:space="preserve">, </w:t>
      </w:r>
      <w:r w:rsidRPr="00142358">
        <w:rPr>
          <w:i/>
          <w:iCs/>
        </w:rPr>
        <w:t>24</w:t>
      </w:r>
      <w:r w:rsidRPr="00142358">
        <w:t xml:space="preserve">(18), 13927. </w:t>
      </w:r>
      <w:r w:rsidRPr="00142358">
        <w:rPr>
          <w:rFonts w:eastAsiaTheme="majorEastAsia"/>
        </w:rPr>
        <w:t>https://doi.org/10.3390/ijms241813927</w:t>
      </w:r>
    </w:p>
    <w:p w14:paraId="425FB128" w14:textId="77777777" w:rsidR="00AC7F42" w:rsidRPr="001836F4" w:rsidRDefault="00AC7F42" w:rsidP="00F84A37">
      <w:pPr>
        <w:spacing w:line="360" w:lineRule="auto"/>
        <w:jc w:val="both"/>
      </w:pPr>
    </w:p>
    <w:p w14:paraId="6C1C2B83" w14:textId="77777777" w:rsidR="00AC7F42" w:rsidRPr="00F17C3A" w:rsidRDefault="00AC7F42" w:rsidP="00F84A37">
      <w:pPr>
        <w:spacing w:line="360" w:lineRule="auto"/>
        <w:jc w:val="both"/>
      </w:pPr>
      <w:r w:rsidRPr="00F17C3A">
        <w:t xml:space="preserve">Deng, W., Lopez-Camacho, C., Tang, J., Mendoza-Villanueva, D., Maya-Mendoza, A., Jackson, D. A., &amp; Shore, P. (2012). Cytoskeletal protein filamin A is a nucleolar protein that suppresses ribosomal RNA gene transcription. </w:t>
      </w:r>
      <w:r w:rsidRPr="00F17C3A">
        <w:rPr>
          <w:i/>
          <w:iCs/>
        </w:rPr>
        <w:t>Proceedings of the National Academy of Sciences</w:t>
      </w:r>
      <w:r w:rsidRPr="00F17C3A">
        <w:t xml:space="preserve">, </w:t>
      </w:r>
      <w:r w:rsidRPr="00F17C3A">
        <w:rPr>
          <w:i/>
          <w:iCs/>
        </w:rPr>
        <w:t>109</w:t>
      </w:r>
      <w:r w:rsidRPr="00F17C3A">
        <w:t xml:space="preserve">(5), 1524–1529. </w:t>
      </w:r>
      <w:r w:rsidRPr="00F17C3A">
        <w:rPr>
          <w:rFonts w:eastAsiaTheme="majorEastAsia"/>
        </w:rPr>
        <w:t>https://doi.org/10.1073/pnas.1107879109</w:t>
      </w:r>
    </w:p>
    <w:p w14:paraId="0FBE3495" w14:textId="77777777" w:rsidR="00AC7F42" w:rsidRPr="001836F4" w:rsidRDefault="00AC7F42" w:rsidP="00F84A37">
      <w:pPr>
        <w:spacing w:line="360" w:lineRule="auto"/>
        <w:jc w:val="both"/>
      </w:pPr>
    </w:p>
    <w:p w14:paraId="0EF3F280" w14:textId="77777777" w:rsidR="00AC7F42" w:rsidRPr="00ED68CE" w:rsidRDefault="00AC7F42" w:rsidP="00F84A37">
      <w:pPr>
        <w:spacing w:line="360" w:lineRule="auto"/>
        <w:jc w:val="both"/>
      </w:pPr>
      <w:r w:rsidRPr="00ED68CE">
        <w:lastRenderedPageBreak/>
        <w:t xml:space="preserve">Burns, L. H., Pei, Z., &amp; Wang, H. (2023). Targeting α7 nicotinic acetylcholine receptors and their protein interactions in Alzheimer’s disease drug development. </w:t>
      </w:r>
      <w:r w:rsidRPr="00ED68CE">
        <w:rPr>
          <w:i/>
          <w:iCs/>
        </w:rPr>
        <w:t>Drug Development Research</w:t>
      </w:r>
      <w:r w:rsidRPr="00ED68CE">
        <w:t xml:space="preserve">, </w:t>
      </w:r>
      <w:r w:rsidRPr="00ED68CE">
        <w:rPr>
          <w:i/>
          <w:iCs/>
        </w:rPr>
        <w:t>84</w:t>
      </w:r>
      <w:r w:rsidRPr="00ED68CE">
        <w:t xml:space="preserve">(6), 1085–1095. </w:t>
      </w:r>
      <w:r w:rsidRPr="00ED68CE">
        <w:rPr>
          <w:rFonts w:eastAsiaTheme="majorEastAsia"/>
        </w:rPr>
        <w:t>https://doi.org/10.1002/ddr.22085</w:t>
      </w:r>
    </w:p>
    <w:p w14:paraId="3FAADF15" w14:textId="77777777" w:rsidR="00AC7F42" w:rsidRPr="001836F4" w:rsidRDefault="00AC7F42" w:rsidP="00F84A37">
      <w:pPr>
        <w:spacing w:line="360" w:lineRule="auto"/>
        <w:jc w:val="both"/>
      </w:pPr>
    </w:p>
    <w:p w14:paraId="193D0684" w14:textId="77777777" w:rsidR="00AC7F42" w:rsidRPr="00EB1E10" w:rsidRDefault="00AC7F42" w:rsidP="00F84A37">
      <w:pPr>
        <w:spacing w:line="360" w:lineRule="auto"/>
        <w:jc w:val="both"/>
      </w:pPr>
      <w:r w:rsidRPr="00EB1E10">
        <w:t xml:space="preserve">Monzon, A. M., Rohr, C. O., Fornasari, M. S., &amp; Parisi, G. (2016). CoDNaS 2.0: a comprehensive database of protein conformational diversity in the native state. </w:t>
      </w:r>
      <w:r w:rsidRPr="00EB1E10">
        <w:rPr>
          <w:i/>
          <w:iCs/>
        </w:rPr>
        <w:t>Database</w:t>
      </w:r>
      <w:r w:rsidRPr="00EB1E10">
        <w:t xml:space="preserve">, </w:t>
      </w:r>
      <w:r w:rsidRPr="00EB1E10">
        <w:rPr>
          <w:i/>
          <w:iCs/>
        </w:rPr>
        <w:t>2016</w:t>
      </w:r>
      <w:r w:rsidRPr="00EB1E10">
        <w:t xml:space="preserve">, baw038. </w:t>
      </w:r>
      <w:r w:rsidRPr="00EB1E10">
        <w:rPr>
          <w:rFonts w:eastAsiaTheme="majorEastAsia"/>
        </w:rPr>
        <w:t>https://doi.org/10.1093/database/baw038</w:t>
      </w:r>
    </w:p>
    <w:p w14:paraId="552FC048" w14:textId="77777777" w:rsidR="00AC7F42" w:rsidRPr="001836F4" w:rsidRDefault="00AC7F42" w:rsidP="00F84A37">
      <w:pPr>
        <w:spacing w:line="360" w:lineRule="auto"/>
        <w:jc w:val="both"/>
      </w:pPr>
    </w:p>
    <w:p w14:paraId="23F06B31" w14:textId="77777777" w:rsidR="00AC7F42" w:rsidRPr="006D23EF" w:rsidRDefault="00AC7F42" w:rsidP="00F84A37">
      <w:pPr>
        <w:spacing w:line="360" w:lineRule="auto"/>
        <w:jc w:val="both"/>
      </w:pPr>
      <w:r w:rsidRPr="006D23EF">
        <w:t xml:space="preserve">Saio, T., Ogura, K., Kumeta, H., Kobashigawa, Y., Shimizu, K., Yokochi, M., Kodama, K., Yamaguchi, H., Tsujishita, H., &amp; Inagaki, F. (2015). Ligand-driven conformational changes of MurD visualized by paramagnetic NMR. </w:t>
      </w:r>
      <w:r w:rsidRPr="006D23EF">
        <w:rPr>
          <w:i/>
          <w:iCs/>
        </w:rPr>
        <w:t>Scientific Reports</w:t>
      </w:r>
      <w:r w:rsidRPr="006D23EF">
        <w:t xml:space="preserve">, </w:t>
      </w:r>
      <w:r w:rsidRPr="006D23EF">
        <w:rPr>
          <w:i/>
          <w:iCs/>
        </w:rPr>
        <w:t>5</w:t>
      </w:r>
      <w:r w:rsidRPr="006D23EF">
        <w:t xml:space="preserve">(1). </w:t>
      </w:r>
      <w:r w:rsidRPr="006D23EF">
        <w:rPr>
          <w:rFonts w:eastAsiaTheme="majorEastAsia"/>
        </w:rPr>
        <w:t>https://doi.org/10.1038/srep16685</w:t>
      </w:r>
    </w:p>
    <w:p w14:paraId="594CF2E4" w14:textId="77777777" w:rsidR="00AC7F42" w:rsidRPr="001836F4" w:rsidRDefault="00AC7F42" w:rsidP="00F84A37">
      <w:pPr>
        <w:spacing w:line="360" w:lineRule="auto"/>
        <w:jc w:val="both"/>
      </w:pPr>
    </w:p>
    <w:p w14:paraId="780F0897" w14:textId="77777777" w:rsidR="00AC7F42" w:rsidRPr="00C96402" w:rsidRDefault="00AC7F42" w:rsidP="00F84A37">
      <w:pPr>
        <w:spacing w:line="360" w:lineRule="auto"/>
        <w:jc w:val="both"/>
      </w:pPr>
      <w:r w:rsidRPr="00C96402">
        <w:t xml:space="preserve">Liang, F., Kroon, G., McAvoy, C. Z., Chi, C., Wright, P. E., &amp; Shan, S. (2016). Conformational dynamics of a membrane protein chaperone enables spatially regulated substrate capture and release. </w:t>
      </w:r>
      <w:r w:rsidRPr="00C96402">
        <w:rPr>
          <w:i/>
          <w:iCs/>
        </w:rPr>
        <w:t>Proceedings of the National Academy of Sciences</w:t>
      </w:r>
      <w:r w:rsidRPr="00C96402">
        <w:t xml:space="preserve">, </w:t>
      </w:r>
      <w:r w:rsidRPr="00C96402">
        <w:rPr>
          <w:i/>
          <w:iCs/>
        </w:rPr>
        <w:t>113</w:t>
      </w:r>
      <w:r w:rsidRPr="00C96402">
        <w:t xml:space="preserve">(12). </w:t>
      </w:r>
      <w:r w:rsidRPr="00C96402">
        <w:rPr>
          <w:rFonts w:eastAsiaTheme="majorEastAsia"/>
        </w:rPr>
        <w:t>https://doi.org/10.1073/pnas.1524777113</w:t>
      </w:r>
    </w:p>
    <w:p w14:paraId="73C97B0B" w14:textId="77777777" w:rsidR="00AC7F42" w:rsidRPr="001836F4" w:rsidRDefault="00AC7F42" w:rsidP="00F84A37">
      <w:pPr>
        <w:spacing w:line="360" w:lineRule="auto"/>
        <w:jc w:val="both"/>
      </w:pPr>
    </w:p>
    <w:p w14:paraId="13824E4F" w14:textId="77777777" w:rsidR="00AC7F42" w:rsidRPr="005C5C98" w:rsidRDefault="00AC7F42" w:rsidP="00F84A37">
      <w:pPr>
        <w:spacing w:line="360" w:lineRule="auto"/>
        <w:jc w:val="both"/>
      </w:pPr>
      <w:r w:rsidRPr="005C5C98">
        <w:t xml:space="preserve">Feix, J. B., Kohn, S., Tessmer, M. H., Anderson, D. M., &amp; Frank, D. W. (2018). Conformational changes and membrane interaction of the bacterial phospholipase, EXOU: Characterization by Site-Directed Spin Labeling. </w:t>
      </w:r>
      <w:r w:rsidRPr="005C5C98">
        <w:rPr>
          <w:i/>
          <w:iCs/>
        </w:rPr>
        <w:t>Cell Biochemistry and Biophysics</w:t>
      </w:r>
      <w:r w:rsidRPr="005C5C98">
        <w:t xml:space="preserve">, </w:t>
      </w:r>
      <w:r w:rsidRPr="005C5C98">
        <w:rPr>
          <w:i/>
          <w:iCs/>
        </w:rPr>
        <w:t>77</w:t>
      </w:r>
      <w:r w:rsidRPr="005C5C98">
        <w:t xml:space="preserve">(1), 79–87. </w:t>
      </w:r>
      <w:r w:rsidRPr="005C5C98">
        <w:rPr>
          <w:rFonts w:eastAsiaTheme="majorEastAsia"/>
        </w:rPr>
        <w:t>https://doi.org/10.1007/s12013-018-0851-8</w:t>
      </w:r>
    </w:p>
    <w:p w14:paraId="0902E32D" w14:textId="77777777" w:rsidR="00AC7F42" w:rsidRPr="001836F4" w:rsidRDefault="00AC7F42" w:rsidP="00F84A37">
      <w:pPr>
        <w:spacing w:line="360" w:lineRule="auto"/>
        <w:jc w:val="both"/>
      </w:pPr>
    </w:p>
    <w:p w14:paraId="4ED1EAD9" w14:textId="77777777" w:rsidR="00AC7F42" w:rsidRPr="00AB3A95" w:rsidRDefault="00AC7F42" w:rsidP="00F84A37">
      <w:pPr>
        <w:spacing w:line="360" w:lineRule="auto"/>
        <w:jc w:val="both"/>
      </w:pPr>
      <w:r w:rsidRPr="00AB3A95">
        <w:t xml:space="preserve">Henderson, B. J., &amp; Lester, H. A. (2015). Inside-out neuropharmacology of nicotinic drugs. </w:t>
      </w:r>
      <w:r w:rsidRPr="00AB3A95">
        <w:rPr>
          <w:i/>
          <w:iCs/>
        </w:rPr>
        <w:t>Neuropharmacology</w:t>
      </w:r>
      <w:r w:rsidRPr="00AB3A95">
        <w:t xml:space="preserve">, </w:t>
      </w:r>
      <w:r w:rsidRPr="00AB3A95">
        <w:rPr>
          <w:i/>
          <w:iCs/>
        </w:rPr>
        <w:t>96</w:t>
      </w:r>
      <w:r w:rsidRPr="00AB3A95">
        <w:t xml:space="preserve">, 178–193. </w:t>
      </w:r>
      <w:r w:rsidRPr="00AB3A95">
        <w:rPr>
          <w:rFonts w:eastAsiaTheme="majorEastAsia"/>
        </w:rPr>
        <w:t>https://doi.org/10.1016/j.neuropharm.2015.01.022</w:t>
      </w:r>
    </w:p>
    <w:p w14:paraId="662B54D5" w14:textId="77777777" w:rsidR="00AC7F42" w:rsidRPr="001836F4" w:rsidRDefault="00AC7F42" w:rsidP="00F84A37">
      <w:pPr>
        <w:spacing w:line="360" w:lineRule="auto"/>
        <w:jc w:val="both"/>
      </w:pPr>
    </w:p>
    <w:p w14:paraId="27624C97" w14:textId="77777777" w:rsidR="00AC7F42" w:rsidRPr="00344958" w:rsidRDefault="00AC7F42" w:rsidP="00F84A37">
      <w:pPr>
        <w:spacing w:line="360" w:lineRule="auto"/>
        <w:jc w:val="both"/>
      </w:pPr>
      <w:r w:rsidRPr="00344958">
        <w:t xml:space="preserve">Gay, E. A., &amp; Yakel, J. L. (2007). Gating of nicotinic ACh receptors; new insights into structural transitions triggered by agonist binding that induce channel opening. </w:t>
      </w:r>
      <w:r w:rsidRPr="00344958">
        <w:rPr>
          <w:i/>
          <w:iCs/>
        </w:rPr>
        <w:t>The Journal of Physiology</w:t>
      </w:r>
      <w:r w:rsidRPr="00344958">
        <w:t xml:space="preserve">, </w:t>
      </w:r>
      <w:r w:rsidRPr="00344958">
        <w:rPr>
          <w:i/>
          <w:iCs/>
        </w:rPr>
        <w:t>584</w:t>
      </w:r>
      <w:r w:rsidRPr="00344958">
        <w:t xml:space="preserve">(3), 727–733. </w:t>
      </w:r>
      <w:r w:rsidRPr="00344958">
        <w:rPr>
          <w:rFonts w:eastAsiaTheme="majorEastAsia"/>
        </w:rPr>
        <w:t>https://doi.org/10.1113/jphysiol.2007.142554</w:t>
      </w:r>
    </w:p>
    <w:p w14:paraId="01211533" w14:textId="77777777" w:rsidR="00AC7F42" w:rsidRPr="001836F4" w:rsidRDefault="00AC7F42" w:rsidP="00F84A37">
      <w:pPr>
        <w:spacing w:line="360" w:lineRule="auto"/>
        <w:jc w:val="both"/>
      </w:pPr>
    </w:p>
    <w:p w14:paraId="6D36FEEC" w14:textId="77777777" w:rsidR="00AC7F42" w:rsidRPr="00EB42C2" w:rsidRDefault="00AC7F42" w:rsidP="00F84A37">
      <w:pPr>
        <w:spacing w:line="360" w:lineRule="auto"/>
        <w:jc w:val="both"/>
      </w:pPr>
      <w:r w:rsidRPr="00EB42C2">
        <w:lastRenderedPageBreak/>
        <w:t xml:space="preserve">Millar, N. S. (2008). RIC‐3: a nicotinic acetylcholine receptor chaperone. </w:t>
      </w:r>
      <w:r w:rsidRPr="00EB42C2">
        <w:rPr>
          <w:i/>
          <w:iCs/>
        </w:rPr>
        <w:t>British Journal of Pharmacology</w:t>
      </w:r>
      <w:r w:rsidRPr="00EB42C2">
        <w:t xml:space="preserve">, </w:t>
      </w:r>
      <w:r w:rsidRPr="00EB42C2">
        <w:rPr>
          <w:i/>
          <w:iCs/>
        </w:rPr>
        <w:t>153</w:t>
      </w:r>
      <w:r w:rsidRPr="00EB42C2">
        <w:t xml:space="preserve">(S1). </w:t>
      </w:r>
      <w:r w:rsidRPr="00EB42C2">
        <w:rPr>
          <w:rFonts w:eastAsiaTheme="majorEastAsia"/>
        </w:rPr>
        <w:t>https://doi.org/10.1038/sj.bjp.0707661</w:t>
      </w:r>
    </w:p>
    <w:p w14:paraId="71DE82D1" w14:textId="77777777" w:rsidR="00AC7F42" w:rsidRPr="001836F4" w:rsidRDefault="00AC7F42" w:rsidP="00F84A37">
      <w:pPr>
        <w:spacing w:line="360" w:lineRule="auto"/>
        <w:jc w:val="both"/>
      </w:pPr>
    </w:p>
    <w:p w14:paraId="004D84A4" w14:textId="77777777" w:rsidR="00AC7F42" w:rsidRPr="00870C67" w:rsidRDefault="00AC7F42" w:rsidP="00F84A37">
      <w:pPr>
        <w:spacing w:line="360" w:lineRule="auto"/>
        <w:jc w:val="both"/>
      </w:pPr>
      <w:r w:rsidRPr="00870C67">
        <w:t xml:space="preserve">Terry, A. V., Jones, K., &amp; Bertrand, D. (2023). Nicotinic acetylcholine receptors in neurological and psychiatric diseases. </w:t>
      </w:r>
      <w:r w:rsidRPr="00870C67">
        <w:rPr>
          <w:i/>
          <w:iCs/>
        </w:rPr>
        <w:t>Pharmacological Research</w:t>
      </w:r>
      <w:r w:rsidRPr="00870C67">
        <w:t xml:space="preserve">, </w:t>
      </w:r>
      <w:r w:rsidRPr="00870C67">
        <w:rPr>
          <w:i/>
          <w:iCs/>
        </w:rPr>
        <w:t>191</w:t>
      </w:r>
      <w:r w:rsidRPr="00870C67">
        <w:t xml:space="preserve">, 106764. </w:t>
      </w:r>
      <w:r w:rsidRPr="00870C67">
        <w:rPr>
          <w:rFonts w:eastAsiaTheme="majorEastAsia"/>
        </w:rPr>
        <w:t>https://doi.org/10.1016/j.phrs.2023.106764</w:t>
      </w:r>
    </w:p>
    <w:p w14:paraId="38E62CAB" w14:textId="77777777" w:rsidR="00AC7F42" w:rsidRPr="001836F4" w:rsidRDefault="00AC7F42" w:rsidP="00F84A37">
      <w:pPr>
        <w:spacing w:line="360" w:lineRule="auto"/>
        <w:jc w:val="both"/>
      </w:pPr>
    </w:p>
    <w:p w14:paraId="714C7296" w14:textId="77777777" w:rsidR="00AC7F42" w:rsidRPr="009A76C9" w:rsidRDefault="00AC7F42" w:rsidP="00F84A37">
      <w:pPr>
        <w:spacing w:line="360" w:lineRule="auto"/>
        <w:jc w:val="both"/>
      </w:pPr>
      <w:r w:rsidRPr="009A76C9">
        <w:t xml:space="preserve">Picciotto, M. R., Caldarone, B. J., Brunzell, D. H., Zachariou, V., Stevens, T. R., &amp; King, S. L. (2001). Neuronal nicotinic acetylcholine receptor subunit knockout mice: physiological and behavioral phenotypes and possible clinical implications. </w:t>
      </w:r>
      <w:r w:rsidRPr="009A76C9">
        <w:rPr>
          <w:i/>
          <w:iCs/>
        </w:rPr>
        <w:t>Pharmacology &amp; Therapeutics</w:t>
      </w:r>
      <w:r w:rsidRPr="009A76C9">
        <w:t xml:space="preserve">, </w:t>
      </w:r>
      <w:r w:rsidRPr="009A76C9">
        <w:rPr>
          <w:i/>
          <w:iCs/>
        </w:rPr>
        <w:t>92</w:t>
      </w:r>
      <w:r w:rsidRPr="009A76C9">
        <w:t xml:space="preserve">(2–3), 89–108. </w:t>
      </w:r>
      <w:r w:rsidRPr="009A76C9">
        <w:rPr>
          <w:rFonts w:eastAsiaTheme="majorEastAsia"/>
        </w:rPr>
        <w:t>https://doi.org/10.1016/s0163-7258(01)00161-9</w:t>
      </w:r>
    </w:p>
    <w:p w14:paraId="1CD4E43F" w14:textId="77777777" w:rsidR="00AC7F42" w:rsidRPr="001836F4" w:rsidRDefault="00AC7F42" w:rsidP="00F84A37">
      <w:pPr>
        <w:spacing w:line="360" w:lineRule="auto"/>
        <w:jc w:val="both"/>
      </w:pPr>
    </w:p>
    <w:p w14:paraId="2E451330" w14:textId="77777777" w:rsidR="00AC7F42" w:rsidRPr="00DE2EBE" w:rsidRDefault="00AC7F42" w:rsidP="00F84A37">
      <w:pPr>
        <w:spacing w:line="360" w:lineRule="auto"/>
        <w:jc w:val="both"/>
      </w:pPr>
      <w:r w:rsidRPr="00DE2EBE">
        <w:t xml:space="preserve">Leanza, G., Muir, J., Nilsson, O. G., Wiley, R. G., Dunnett, S. B., &amp; Björklund, A. (1996). Selective immunolesioning of the basal forebrain cholinergic system disrupts short‐term memory in rats. </w:t>
      </w:r>
      <w:r w:rsidRPr="00DE2EBE">
        <w:rPr>
          <w:i/>
          <w:iCs/>
        </w:rPr>
        <w:t>European Journal of Neuroscience</w:t>
      </w:r>
      <w:r w:rsidRPr="00DE2EBE">
        <w:t xml:space="preserve">, </w:t>
      </w:r>
      <w:r w:rsidRPr="00DE2EBE">
        <w:rPr>
          <w:i/>
          <w:iCs/>
        </w:rPr>
        <w:t>8</w:t>
      </w:r>
      <w:r w:rsidRPr="00DE2EBE">
        <w:t xml:space="preserve">(7), 1535–1544. </w:t>
      </w:r>
      <w:r w:rsidRPr="00DE2EBE">
        <w:rPr>
          <w:rFonts w:eastAsiaTheme="majorEastAsia"/>
        </w:rPr>
        <w:t>https://doi.org/10.1111/j.1460-9568.1996.tb01616.x</w:t>
      </w:r>
    </w:p>
    <w:p w14:paraId="2AFDEB29" w14:textId="77777777" w:rsidR="00AC7F42" w:rsidRPr="001836F4" w:rsidRDefault="00AC7F42" w:rsidP="00F84A37">
      <w:pPr>
        <w:spacing w:line="360" w:lineRule="auto"/>
        <w:jc w:val="both"/>
      </w:pPr>
    </w:p>
    <w:p w14:paraId="7B704F74" w14:textId="77777777" w:rsidR="00CC1CD2" w:rsidRPr="00CC1CD2" w:rsidRDefault="00CC1CD2" w:rsidP="00CC1CD2">
      <w:pPr>
        <w:spacing w:line="360" w:lineRule="auto"/>
        <w:jc w:val="both"/>
      </w:pPr>
      <w:r w:rsidRPr="00CC1CD2">
        <w:t xml:space="preserve">Crestini, A., Carbone, E., Rivabene, R., Ancidoni, A., Rosa, P., Tata, A. M., Fabrizi, E., Locuratolo, N., Vanacore, N., Lacorte, E., &amp; Piscopo, P. (2024). A Systematic review on drugs acting as nicotinic acetylcholine receptor agonists in the treatment of dementia. </w:t>
      </w:r>
      <w:r w:rsidRPr="00CC1CD2">
        <w:rPr>
          <w:i/>
          <w:iCs/>
        </w:rPr>
        <w:t>Cells</w:t>
      </w:r>
      <w:r w:rsidRPr="00CC1CD2">
        <w:t xml:space="preserve">, </w:t>
      </w:r>
      <w:r w:rsidRPr="00CC1CD2">
        <w:rPr>
          <w:i/>
          <w:iCs/>
        </w:rPr>
        <w:t>13</w:t>
      </w:r>
      <w:r w:rsidRPr="00CC1CD2">
        <w:t>(3), 237. https://doi.org/10.3390/cells13030237</w:t>
      </w:r>
    </w:p>
    <w:p w14:paraId="4CEDE602" w14:textId="77777777" w:rsidR="00AC7F42" w:rsidRPr="001836F4" w:rsidRDefault="00AC7F42" w:rsidP="00F84A37">
      <w:pPr>
        <w:spacing w:line="360" w:lineRule="auto"/>
        <w:jc w:val="both"/>
      </w:pPr>
    </w:p>
    <w:p w14:paraId="44A9412D" w14:textId="77777777" w:rsidR="00DB3021" w:rsidRPr="00DB3021" w:rsidRDefault="00DB3021" w:rsidP="00DB3021">
      <w:pPr>
        <w:spacing w:line="360" w:lineRule="auto"/>
        <w:jc w:val="both"/>
      </w:pPr>
      <w:r w:rsidRPr="00DB3021">
        <w:t>Zhang, Y., Chen, H., Li, R. </w:t>
      </w:r>
      <w:r w:rsidRPr="00DB3021">
        <w:rPr>
          <w:i/>
          <w:iCs/>
        </w:rPr>
        <w:t>et al.</w:t>
      </w:r>
      <w:r w:rsidRPr="00DB3021">
        <w:t> Amyloid β-based therapy for Alzheimer’s disease: challenges, successes and future. </w:t>
      </w:r>
      <w:r w:rsidRPr="00DB3021">
        <w:rPr>
          <w:i/>
          <w:iCs/>
        </w:rPr>
        <w:t>Sig Transduct Target Ther</w:t>
      </w:r>
      <w:r w:rsidRPr="00DB3021">
        <w:t> </w:t>
      </w:r>
      <w:r w:rsidRPr="00DB3021">
        <w:rPr>
          <w:b/>
          <w:bCs/>
        </w:rPr>
        <w:t>8</w:t>
      </w:r>
      <w:r w:rsidRPr="00DB3021">
        <w:t>, 248 (2023). https://doi.org/10.1038/s41392-023-01484-7</w:t>
      </w:r>
    </w:p>
    <w:p w14:paraId="04D1BF9D" w14:textId="77777777" w:rsidR="00AC7F42" w:rsidRPr="001836F4" w:rsidRDefault="00AC7F42" w:rsidP="00F84A37">
      <w:pPr>
        <w:spacing w:line="360" w:lineRule="auto"/>
        <w:jc w:val="both"/>
      </w:pPr>
    </w:p>
    <w:p w14:paraId="7DB0909F" w14:textId="77777777" w:rsidR="00AC7F42" w:rsidRPr="00926654" w:rsidRDefault="00AC7F42" w:rsidP="00F84A37">
      <w:pPr>
        <w:spacing w:line="360" w:lineRule="auto"/>
        <w:jc w:val="both"/>
      </w:pPr>
      <w:r w:rsidRPr="00926654">
        <w:t xml:space="preserve">Chen, W., Gamache, E., Rosenman, D. J., Xie, J., Lopez, M. M., Li, Y., &amp; Wang, C. (2014). Familial Alzheimer’s mutations within APPTM increase Aβ42 production by enhancing accessibility of ε-cleavage site. </w:t>
      </w:r>
      <w:r w:rsidRPr="00926654">
        <w:rPr>
          <w:i/>
          <w:iCs/>
        </w:rPr>
        <w:t>Nature Communications</w:t>
      </w:r>
      <w:r w:rsidRPr="00926654">
        <w:t xml:space="preserve">, </w:t>
      </w:r>
      <w:r w:rsidRPr="00926654">
        <w:rPr>
          <w:i/>
          <w:iCs/>
        </w:rPr>
        <w:t>5</w:t>
      </w:r>
      <w:r w:rsidRPr="00926654">
        <w:t xml:space="preserve">(1). </w:t>
      </w:r>
      <w:r w:rsidRPr="00926654">
        <w:rPr>
          <w:rFonts w:eastAsiaTheme="majorEastAsia"/>
        </w:rPr>
        <w:t>https://doi.org/10.1038/ncomms4037</w:t>
      </w:r>
    </w:p>
    <w:p w14:paraId="79A91281" w14:textId="77777777" w:rsidR="00AC7F42" w:rsidRPr="001836F4" w:rsidRDefault="00AC7F42" w:rsidP="00F84A37">
      <w:pPr>
        <w:spacing w:line="360" w:lineRule="auto"/>
        <w:jc w:val="both"/>
      </w:pPr>
    </w:p>
    <w:p w14:paraId="6637CAAF" w14:textId="77777777" w:rsidR="00AC7F42" w:rsidRPr="00ED7F74" w:rsidRDefault="00AC7F42" w:rsidP="00F84A37">
      <w:pPr>
        <w:spacing w:line="360" w:lineRule="auto"/>
        <w:jc w:val="both"/>
      </w:pPr>
      <w:r w:rsidRPr="00ED7F74">
        <w:lastRenderedPageBreak/>
        <w:t xml:space="preserve">Lim, K. H., Collver, H. H., Le, Y. T., Nagchowdhuri, P., &amp; Kenney, J. M. (2006). Characterizations of distinct amyloidogenic conformations of the Aβ (1–40) and (1–42) peptides. </w:t>
      </w:r>
      <w:r w:rsidRPr="00ED7F74">
        <w:rPr>
          <w:i/>
          <w:iCs/>
        </w:rPr>
        <w:t>Biochemical and Biophysical Research Communications</w:t>
      </w:r>
      <w:r w:rsidRPr="00ED7F74">
        <w:t xml:space="preserve">, </w:t>
      </w:r>
      <w:r w:rsidRPr="00ED7F74">
        <w:rPr>
          <w:i/>
          <w:iCs/>
        </w:rPr>
        <w:t>353</w:t>
      </w:r>
      <w:r w:rsidRPr="00ED7F74">
        <w:t xml:space="preserve">(2), 443–449. </w:t>
      </w:r>
      <w:r w:rsidRPr="00ED7F74">
        <w:rPr>
          <w:rFonts w:eastAsiaTheme="majorEastAsia"/>
        </w:rPr>
        <w:t>https://doi.org/10.1016/j.bbrc.2006.12.043</w:t>
      </w:r>
    </w:p>
    <w:p w14:paraId="0567841A" w14:textId="77777777" w:rsidR="00AC7F42" w:rsidRPr="001836F4" w:rsidRDefault="00AC7F42" w:rsidP="00F84A37">
      <w:pPr>
        <w:spacing w:line="360" w:lineRule="auto"/>
        <w:jc w:val="both"/>
      </w:pPr>
    </w:p>
    <w:p w14:paraId="6F439BD4" w14:textId="77777777" w:rsidR="00AC7F42" w:rsidRPr="002D067B" w:rsidRDefault="00AC7F42" w:rsidP="00F84A37">
      <w:pPr>
        <w:spacing w:line="360" w:lineRule="auto"/>
        <w:jc w:val="both"/>
      </w:pPr>
      <w:r w:rsidRPr="002D067B">
        <w:t xml:space="preserve">Wang, H., Cecon, E., Dam, J., Pei, Z., Jockers, R., &amp; Burns, L. H. (2023). Simufilam reverses aberrant receptor interactions of filamin A in Alzheimer’s disease. </w:t>
      </w:r>
      <w:r w:rsidRPr="002D067B">
        <w:rPr>
          <w:i/>
          <w:iCs/>
        </w:rPr>
        <w:t>International Journal of Molecular Sciences</w:t>
      </w:r>
      <w:r w:rsidRPr="002D067B">
        <w:t xml:space="preserve">, </w:t>
      </w:r>
      <w:r w:rsidRPr="002D067B">
        <w:rPr>
          <w:i/>
          <w:iCs/>
        </w:rPr>
        <w:t>24</w:t>
      </w:r>
      <w:r w:rsidRPr="002D067B">
        <w:t xml:space="preserve">(18), 13927. </w:t>
      </w:r>
      <w:r w:rsidRPr="002D067B">
        <w:rPr>
          <w:rFonts w:eastAsiaTheme="majorEastAsia"/>
        </w:rPr>
        <w:t>https://doi.org/10.3390/ijms241813927</w:t>
      </w:r>
    </w:p>
    <w:p w14:paraId="0FBE11AC" w14:textId="77777777" w:rsidR="00AC7F42" w:rsidRPr="001836F4" w:rsidRDefault="00AC7F42" w:rsidP="00F84A37">
      <w:pPr>
        <w:spacing w:line="360" w:lineRule="auto"/>
        <w:jc w:val="both"/>
      </w:pPr>
    </w:p>
    <w:p w14:paraId="09B8BE7E" w14:textId="77777777" w:rsidR="00AC7F42" w:rsidRPr="00DA7D34" w:rsidRDefault="00AC7F42" w:rsidP="00F84A37">
      <w:pPr>
        <w:spacing w:line="360" w:lineRule="auto"/>
        <w:jc w:val="both"/>
      </w:pPr>
      <w:r w:rsidRPr="00DA7D34">
        <w:t xml:space="preserve">Azargoonjahromi, A. (2024). The duality of amyloid-β: its role in normal and Alzheimer’s disease states. </w:t>
      </w:r>
      <w:r w:rsidRPr="00DA7D34">
        <w:rPr>
          <w:i/>
          <w:iCs/>
        </w:rPr>
        <w:t>Molecular Brain</w:t>
      </w:r>
      <w:r w:rsidRPr="00DA7D34">
        <w:t xml:space="preserve">, </w:t>
      </w:r>
      <w:r w:rsidRPr="00DA7D34">
        <w:rPr>
          <w:i/>
          <w:iCs/>
        </w:rPr>
        <w:t>17</w:t>
      </w:r>
      <w:r w:rsidRPr="00DA7D34">
        <w:t xml:space="preserve">(1). </w:t>
      </w:r>
      <w:r w:rsidRPr="00DA7D34">
        <w:rPr>
          <w:rFonts w:eastAsiaTheme="majorEastAsia"/>
        </w:rPr>
        <w:t>https://doi.org/10.1186/s13041-024-01118-1</w:t>
      </w:r>
    </w:p>
    <w:p w14:paraId="0F70946F" w14:textId="77777777" w:rsidR="00AC7F42" w:rsidRPr="001836F4" w:rsidRDefault="00AC7F42" w:rsidP="00F84A37">
      <w:pPr>
        <w:spacing w:line="360" w:lineRule="auto"/>
        <w:jc w:val="both"/>
      </w:pPr>
    </w:p>
    <w:p w14:paraId="6CFB23B0" w14:textId="77777777" w:rsidR="00AC7F42" w:rsidRPr="009F695D" w:rsidRDefault="00AC7F42" w:rsidP="00F84A37">
      <w:pPr>
        <w:spacing w:line="360" w:lineRule="auto"/>
        <w:jc w:val="both"/>
      </w:pPr>
      <w:r w:rsidRPr="009F695D">
        <w:t xml:space="preserve">Moore, B. D., Martin, J., De Mena, L., Sanchez, J., Cruz, P. E., Ceballos-Diaz, C., Ladd, T. B., Ran, Y., Levites, Y., Kukar, T. L., Kurian, J. J., McKenna, R., Koo, E. H., Borchelt, D. R., Janus, C., Rincon-Limas, D., Fernandez-Funez, P., &amp; Golde, T. E. (2017). Short Aβ peptides attenuate Aβ42 toxicity in vivo. </w:t>
      </w:r>
      <w:r w:rsidRPr="009F695D">
        <w:rPr>
          <w:i/>
          <w:iCs/>
        </w:rPr>
        <w:t>The Journal of Experimental Medicine</w:t>
      </w:r>
      <w:r w:rsidRPr="009F695D">
        <w:t xml:space="preserve">, </w:t>
      </w:r>
      <w:r w:rsidRPr="009F695D">
        <w:rPr>
          <w:i/>
          <w:iCs/>
        </w:rPr>
        <w:t>215</w:t>
      </w:r>
      <w:r w:rsidRPr="009F695D">
        <w:t xml:space="preserve">(1), 283–301. </w:t>
      </w:r>
      <w:r w:rsidRPr="009F695D">
        <w:rPr>
          <w:rFonts w:eastAsiaTheme="majorEastAsia"/>
        </w:rPr>
        <w:t>https://doi.org/10.1084/jem.20170600</w:t>
      </w:r>
    </w:p>
    <w:p w14:paraId="79950E12" w14:textId="77777777" w:rsidR="00AC7F42" w:rsidRPr="001836F4" w:rsidRDefault="00AC7F42" w:rsidP="00F84A37">
      <w:pPr>
        <w:spacing w:line="360" w:lineRule="auto"/>
        <w:jc w:val="both"/>
      </w:pPr>
    </w:p>
    <w:p w14:paraId="6649C18C" w14:textId="77777777" w:rsidR="00AC7F42" w:rsidRPr="002A5303" w:rsidRDefault="00AC7F42" w:rsidP="00F84A37">
      <w:pPr>
        <w:spacing w:line="360" w:lineRule="auto"/>
        <w:jc w:val="both"/>
      </w:pPr>
      <w:r w:rsidRPr="002A5303">
        <w:t xml:space="preserve">Carreiras, M., Mendes, E., Perry, M., Francisco, A., &amp; Marco-Contelles, J. (2013). The Multifactorial Nature of Alzheimer&amp;#39;s Disease for Developing Potential Therapeutics. </w:t>
      </w:r>
      <w:r w:rsidRPr="002A5303">
        <w:rPr>
          <w:i/>
          <w:iCs/>
        </w:rPr>
        <w:t>Current Topics in Medicinal Chemistry</w:t>
      </w:r>
      <w:r w:rsidRPr="002A5303">
        <w:t xml:space="preserve">, </w:t>
      </w:r>
      <w:r w:rsidRPr="002A5303">
        <w:rPr>
          <w:i/>
          <w:iCs/>
        </w:rPr>
        <w:t>13</w:t>
      </w:r>
      <w:r w:rsidRPr="002A5303">
        <w:t xml:space="preserve">(15), 1745–1770. </w:t>
      </w:r>
      <w:r w:rsidRPr="002A5303">
        <w:rPr>
          <w:rFonts w:eastAsiaTheme="majorEastAsia"/>
        </w:rPr>
        <w:t>https://doi.org/10.2174/15680266113139990135</w:t>
      </w:r>
    </w:p>
    <w:p w14:paraId="3692FF30" w14:textId="77777777" w:rsidR="00AC7F42" w:rsidRPr="001836F4" w:rsidRDefault="00AC7F42" w:rsidP="00F84A37">
      <w:pPr>
        <w:spacing w:line="360" w:lineRule="auto"/>
        <w:jc w:val="both"/>
      </w:pPr>
    </w:p>
    <w:p w14:paraId="40549A6C" w14:textId="77777777" w:rsidR="00AC7F42" w:rsidRPr="0096684D" w:rsidRDefault="00AC7F42" w:rsidP="00F84A37">
      <w:pPr>
        <w:spacing w:line="360" w:lineRule="auto"/>
        <w:jc w:val="both"/>
      </w:pPr>
      <w:r w:rsidRPr="0096684D">
        <w:t xml:space="preserve">Meraz-Ríos, M. A., Toral-Rios, D., Franco-Bocanegra, D., Villeda-Hernández, J., &amp; Campos-Peña, V. (2013). Inflammatory process in Alzheimer’s Disease. </w:t>
      </w:r>
      <w:r w:rsidRPr="0096684D">
        <w:rPr>
          <w:i/>
          <w:iCs/>
        </w:rPr>
        <w:t>Frontiers in Integrative Neuroscience</w:t>
      </w:r>
      <w:r w:rsidRPr="0096684D">
        <w:t xml:space="preserve">, </w:t>
      </w:r>
      <w:r w:rsidRPr="0096684D">
        <w:rPr>
          <w:i/>
          <w:iCs/>
        </w:rPr>
        <w:t>7</w:t>
      </w:r>
      <w:r w:rsidRPr="0096684D">
        <w:t xml:space="preserve">. </w:t>
      </w:r>
      <w:r w:rsidRPr="0096684D">
        <w:rPr>
          <w:rFonts w:eastAsiaTheme="majorEastAsia"/>
        </w:rPr>
        <w:t>https://doi.org/10.3389/fnint.2013.00059</w:t>
      </w:r>
    </w:p>
    <w:p w14:paraId="08B4EDBD" w14:textId="77777777" w:rsidR="00AC7F42" w:rsidRPr="001836F4" w:rsidRDefault="00AC7F42" w:rsidP="00F84A37">
      <w:pPr>
        <w:spacing w:line="360" w:lineRule="auto"/>
        <w:jc w:val="both"/>
      </w:pPr>
    </w:p>
    <w:p w14:paraId="20113099" w14:textId="77777777" w:rsidR="00AC7F42" w:rsidRPr="00CA55B1" w:rsidRDefault="00AC7F42" w:rsidP="00F84A37">
      <w:pPr>
        <w:spacing w:line="360" w:lineRule="auto"/>
        <w:jc w:val="both"/>
      </w:pPr>
      <w:r w:rsidRPr="00CA55B1">
        <w:t xml:space="preserve">Chen, Y., &amp; Yu, Y. (2023). Tau and neuroinflammation in Alzheimer’s disease: interplay mechanisms and clinical translation. </w:t>
      </w:r>
      <w:r w:rsidRPr="00CA55B1">
        <w:rPr>
          <w:i/>
          <w:iCs/>
        </w:rPr>
        <w:t>Journal of Neuroinflammation</w:t>
      </w:r>
      <w:r w:rsidRPr="00CA55B1">
        <w:t xml:space="preserve">, </w:t>
      </w:r>
      <w:r w:rsidRPr="00CA55B1">
        <w:rPr>
          <w:i/>
          <w:iCs/>
        </w:rPr>
        <w:t>20</w:t>
      </w:r>
      <w:r w:rsidRPr="00CA55B1">
        <w:t xml:space="preserve">(1). </w:t>
      </w:r>
      <w:r w:rsidRPr="00CA55B1">
        <w:rPr>
          <w:rFonts w:eastAsiaTheme="majorEastAsia"/>
        </w:rPr>
        <w:t>https://doi.org/10.1186/s12974-023-02853-3</w:t>
      </w:r>
    </w:p>
    <w:p w14:paraId="4E821541" w14:textId="77777777" w:rsidR="00AC7F42" w:rsidRPr="001836F4" w:rsidRDefault="00AC7F42" w:rsidP="00F84A37">
      <w:pPr>
        <w:spacing w:line="360" w:lineRule="auto"/>
        <w:jc w:val="both"/>
      </w:pPr>
    </w:p>
    <w:p w14:paraId="6F7636E0" w14:textId="77777777" w:rsidR="00AC7F42" w:rsidRPr="00F91417" w:rsidRDefault="00AC7F42" w:rsidP="00F84A37">
      <w:pPr>
        <w:spacing w:line="360" w:lineRule="auto"/>
        <w:jc w:val="both"/>
      </w:pPr>
      <w:r w:rsidRPr="00F91417">
        <w:lastRenderedPageBreak/>
        <w:t xml:space="preserve">Liu, Y., Si, Z., Zou, C., Mei, X., Li, X., Luo, H., Shen, Y., Hu, J., Li, X., &amp; Wu, L. (2022). Targeting neuroinflammation in Alzheimer’s disease: from mechanisms to clinical applications. </w:t>
      </w:r>
      <w:r w:rsidRPr="00F91417">
        <w:rPr>
          <w:i/>
          <w:iCs/>
        </w:rPr>
        <w:t>Neural Regeneration Research</w:t>
      </w:r>
      <w:r w:rsidRPr="00F91417">
        <w:t xml:space="preserve">, </w:t>
      </w:r>
      <w:r w:rsidRPr="00F91417">
        <w:rPr>
          <w:i/>
          <w:iCs/>
        </w:rPr>
        <w:t>18</w:t>
      </w:r>
      <w:r w:rsidRPr="00F91417">
        <w:t xml:space="preserve">(4), 708. </w:t>
      </w:r>
      <w:r w:rsidRPr="00F91417">
        <w:rPr>
          <w:rFonts w:eastAsiaTheme="majorEastAsia"/>
        </w:rPr>
        <w:t>https://doi.org/10.4103/1673-5374.353484</w:t>
      </w:r>
    </w:p>
    <w:p w14:paraId="25242E88" w14:textId="77777777" w:rsidR="00AC7F42" w:rsidRPr="001836F4" w:rsidRDefault="00AC7F42" w:rsidP="00F84A37">
      <w:pPr>
        <w:spacing w:line="360" w:lineRule="auto"/>
        <w:jc w:val="both"/>
      </w:pPr>
    </w:p>
    <w:p w14:paraId="7819D452" w14:textId="77777777" w:rsidR="00AC7F42" w:rsidRPr="004177A6" w:rsidRDefault="00AC7F42" w:rsidP="00F84A37">
      <w:pPr>
        <w:spacing w:line="360" w:lineRule="auto"/>
        <w:jc w:val="both"/>
      </w:pPr>
      <w:r w:rsidRPr="004177A6">
        <w:t xml:space="preserve">Takuma, H., Tomiyama, T., Kuida, K., &amp; Mori, H. (2004). Amyloid beta Peptide-Induced cerebral neuronal loss is mediated by Caspase-3 in vivo. </w:t>
      </w:r>
      <w:r w:rsidRPr="004177A6">
        <w:rPr>
          <w:i/>
          <w:iCs/>
        </w:rPr>
        <w:t>Journal of Neuropathology &amp; Experimental Neurology</w:t>
      </w:r>
      <w:r w:rsidRPr="004177A6">
        <w:t xml:space="preserve">, </w:t>
      </w:r>
      <w:r w:rsidRPr="004177A6">
        <w:rPr>
          <w:i/>
          <w:iCs/>
        </w:rPr>
        <w:t>63</w:t>
      </w:r>
      <w:r w:rsidRPr="004177A6">
        <w:t xml:space="preserve">(3), 255–261. </w:t>
      </w:r>
      <w:r w:rsidRPr="004177A6">
        <w:rPr>
          <w:rFonts w:eastAsiaTheme="majorEastAsia"/>
        </w:rPr>
        <w:t>https://doi.org/10.1093/jnen/63.3.255</w:t>
      </w:r>
    </w:p>
    <w:p w14:paraId="11F3417B" w14:textId="77777777" w:rsidR="00AC7F42" w:rsidRPr="001836F4" w:rsidRDefault="00AC7F42" w:rsidP="00F84A37">
      <w:pPr>
        <w:spacing w:line="360" w:lineRule="auto"/>
        <w:jc w:val="both"/>
      </w:pPr>
    </w:p>
    <w:p w14:paraId="3C23D08B" w14:textId="77777777" w:rsidR="00AC7F42" w:rsidRPr="009672E1" w:rsidRDefault="00AC7F42" w:rsidP="00F84A37">
      <w:pPr>
        <w:spacing w:line="360" w:lineRule="auto"/>
        <w:jc w:val="both"/>
      </w:pPr>
      <w:r w:rsidRPr="009672E1">
        <w:t xml:space="preserve">Barucker, C., Bittner, H. J., Chang, P. K., Cameron, S., Hancock, M. A., Liebsch, F., Hossain, S., Harmeier, A., Shaw, H., Charron, F. M., Gensler, M., Dembny, P., Zhuang, W., Schmitz, D., Rabe, J. P., Rao, Y., Lurz, R., Hildebrand, P. W., McKinney, R. A., &amp; Multhaup, G. (2015). Aβ42-oligomer Interacting Peptide (AIP) neutralizes toxic amyloid-β42 species and protects synaptic structure and function. </w:t>
      </w:r>
      <w:r w:rsidRPr="009672E1">
        <w:rPr>
          <w:i/>
          <w:iCs/>
        </w:rPr>
        <w:t>Scientific Reports</w:t>
      </w:r>
      <w:r w:rsidRPr="009672E1">
        <w:t xml:space="preserve">, </w:t>
      </w:r>
      <w:r w:rsidRPr="009672E1">
        <w:rPr>
          <w:i/>
          <w:iCs/>
        </w:rPr>
        <w:t>5</w:t>
      </w:r>
      <w:r w:rsidRPr="009672E1">
        <w:t xml:space="preserve">(1). </w:t>
      </w:r>
      <w:r w:rsidRPr="009672E1">
        <w:rPr>
          <w:rFonts w:eastAsiaTheme="majorEastAsia"/>
        </w:rPr>
        <w:t>https://doi.org/10.1038/srep15410</w:t>
      </w:r>
    </w:p>
    <w:p w14:paraId="45043B90" w14:textId="77777777" w:rsidR="00AC7F42" w:rsidRPr="001836F4" w:rsidRDefault="00AC7F42" w:rsidP="00F84A37">
      <w:pPr>
        <w:spacing w:line="360" w:lineRule="auto"/>
        <w:jc w:val="both"/>
      </w:pPr>
    </w:p>
    <w:p w14:paraId="4E6DDFB3" w14:textId="77777777" w:rsidR="00AC7F42" w:rsidRPr="00777A66" w:rsidRDefault="00AC7F42" w:rsidP="00F84A37">
      <w:pPr>
        <w:spacing w:line="360" w:lineRule="auto"/>
        <w:jc w:val="both"/>
      </w:pPr>
      <w:r w:rsidRPr="00777A66">
        <w:t xml:space="preserve">Takahashi, R. H., Almeida, C. G., Kearney, P. F., Yu, F., Lin, M. T., Milner, T. A., &amp; Gouras, G. K. (2004). Oligomerization of Alzheimer’s β-Amyloid within Processes and Synapses of Cultured Neurons and Brain. </w:t>
      </w:r>
      <w:r w:rsidRPr="00777A66">
        <w:rPr>
          <w:i/>
          <w:iCs/>
        </w:rPr>
        <w:t>Journal of Neuroscience</w:t>
      </w:r>
      <w:r w:rsidRPr="00777A66">
        <w:t xml:space="preserve">, </w:t>
      </w:r>
      <w:r w:rsidRPr="00777A66">
        <w:rPr>
          <w:i/>
          <w:iCs/>
        </w:rPr>
        <w:t>24</w:t>
      </w:r>
      <w:r w:rsidRPr="00777A66">
        <w:t xml:space="preserve">(14), 3592–3599. </w:t>
      </w:r>
      <w:r w:rsidRPr="00777A66">
        <w:rPr>
          <w:rFonts w:eastAsiaTheme="majorEastAsia"/>
        </w:rPr>
        <w:t>https://doi.org/10.1523/jneurosci.5167-03.2004</w:t>
      </w:r>
    </w:p>
    <w:p w14:paraId="682BAE71" w14:textId="77777777" w:rsidR="00AC7F42" w:rsidRPr="001836F4" w:rsidRDefault="00AC7F42" w:rsidP="00F84A37">
      <w:pPr>
        <w:spacing w:line="360" w:lineRule="auto"/>
        <w:jc w:val="both"/>
      </w:pPr>
    </w:p>
    <w:p w14:paraId="6ED00BC6" w14:textId="77777777" w:rsidR="00AC7F42" w:rsidRPr="007B20D5" w:rsidRDefault="00AC7F42" w:rsidP="00F84A37">
      <w:pPr>
        <w:spacing w:line="360" w:lineRule="auto"/>
        <w:jc w:val="both"/>
      </w:pPr>
      <w:r w:rsidRPr="007B20D5">
        <w:t xml:space="preserve">Miao, J., Shi, R., Li, L., Chen, F., Zhou, Y., Tung, Y. C., Hu, W., Gong, C., Iqbal, K., &amp; Liu, F. (2019). Pathological Tau From Alzheimer’s Brain Induces Site-Specific Hyperphosphorylation and SDS- and Reducing Agent-Resistant Aggregation of Tau in vivo. </w:t>
      </w:r>
      <w:r w:rsidRPr="007B20D5">
        <w:rPr>
          <w:i/>
          <w:iCs/>
        </w:rPr>
        <w:t>Frontiers in Aging Neuroscience</w:t>
      </w:r>
      <w:r w:rsidRPr="007B20D5">
        <w:t xml:space="preserve">, </w:t>
      </w:r>
      <w:r w:rsidRPr="007B20D5">
        <w:rPr>
          <w:i/>
          <w:iCs/>
        </w:rPr>
        <w:t>11</w:t>
      </w:r>
      <w:r w:rsidRPr="007B20D5">
        <w:t xml:space="preserve">. </w:t>
      </w:r>
      <w:r w:rsidRPr="007B20D5">
        <w:rPr>
          <w:rFonts w:eastAsiaTheme="majorEastAsia"/>
        </w:rPr>
        <w:t>https://doi.org/10.3389/fnagi.2019.00034</w:t>
      </w:r>
    </w:p>
    <w:p w14:paraId="3E60AC42" w14:textId="77777777" w:rsidR="00AC7F42" w:rsidRPr="001836F4" w:rsidRDefault="00AC7F42" w:rsidP="00F84A37">
      <w:pPr>
        <w:spacing w:line="360" w:lineRule="auto"/>
        <w:jc w:val="both"/>
      </w:pPr>
    </w:p>
    <w:p w14:paraId="1DBD273C" w14:textId="77777777" w:rsidR="00AC7F42" w:rsidRPr="00A562EF" w:rsidRDefault="00AC7F42" w:rsidP="00F84A37">
      <w:pPr>
        <w:spacing w:line="360" w:lineRule="auto"/>
        <w:jc w:val="both"/>
      </w:pPr>
      <w:r w:rsidRPr="00A562EF">
        <w:t xml:space="preserve">Mahaman, Y. a. R., Embaye, K. S., Huang, F., Li, L., Zhu, F., Wang, J., Liu, R., Feng, J., &amp; Wang, X. (2021). Biomarkers used in Alzheimer’s disease diagnosis, treatment, and prevention. </w:t>
      </w:r>
      <w:r w:rsidRPr="00A562EF">
        <w:rPr>
          <w:i/>
          <w:iCs/>
        </w:rPr>
        <w:t>Ageing Research Reviews</w:t>
      </w:r>
      <w:r w:rsidRPr="00A562EF">
        <w:t xml:space="preserve">, </w:t>
      </w:r>
      <w:r w:rsidRPr="00A562EF">
        <w:rPr>
          <w:i/>
          <w:iCs/>
        </w:rPr>
        <w:t>74</w:t>
      </w:r>
      <w:r w:rsidRPr="00A562EF">
        <w:t xml:space="preserve">, 101544. </w:t>
      </w:r>
      <w:r w:rsidRPr="00A562EF">
        <w:rPr>
          <w:rFonts w:eastAsiaTheme="majorEastAsia"/>
        </w:rPr>
        <w:t>https://doi.org/10.1016/j.arr.2021.101544</w:t>
      </w:r>
    </w:p>
    <w:p w14:paraId="7C96F8AB" w14:textId="77777777" w:rsidR="00AC7F42" w:rsidRPr="001836F4" w:rsidRDefault="00AC7F42" w:rsidP="00F84A37">
      <w:pPr>
        <w:spacing w:line="360" w:lineRule="auto"/>
        <w:jc w:val="both"/>
      </w:pPr>
    </w:p>
    <w:p w14:paraId="46CEAA16" w14:textId="77777777" w:rsidR="00AC7F42" w:rsidRPr="00917CD0" w:rsidRDefault="00AC7F42" w:rsidP="00F84A37">
      <w:pPr>
        <w:spacing w:line="360" w:lineRule="auto"/>
        <w:jc w:val="both"/>
      </w:pPr>
      <w:r w:rsidRPr="00917CD0">
        <w:t xml:space="preserve">Korgiopoulou, C., &amp; Korgiopoulou, C. (2024, January 23). </w:t>
      </w:r>
      <w:r w:rsidRPr="00917CD0">
        <w:rPr>
          <w:i/>
          <w:iCs/>
        </w:rPr>
        <w:t>Tau Protein and its Role in Alzheimer’s Disease | StressMarq</w:t>
      </w:r>
      <w:r w:rsidRPr="00917CD0">
        <w:t xml:space="preserve">. StressMarq Biosciences Inc. </w:t>
      </w:r>
      <w:r w:rsidRPr="00917CD0">
        <w:rPr>
          <w:rFonts w:eastAsiaTheme="majorEastAsia"/>
        </w:rPr>
        <w:t>https://www.stressmarq.com/tau-protein-role-alzheimers-disease/</w:t>
      </w:r>
    </w:p>
    <w:p w14:paraId="015FF27A" w14:textId="77777777" w:rsidR="00AC7F42" w:rsidRPr="001836F4" w:rsidRDefault="00AC7F42" w:rsidP="00F84A37">
      <w:pPr>
        <w:spacing w:line="360" w:lineRule="auto"/>
        <w:jc w:val="both"/>
      </w:pPr>
    </w:p>
    <w:p w14:paraId="58E5D5AF" w14:textId="77777777" w:rsidR="00AC7F42" w:rsidRPr="00981582" w:rsidRDefault="00AC7F42" w:rsidP="00F84A37">
      <w:pPr>
        <w:spacing w:line="360" w:lineRule="auto"/>
        <w:jc w:val="both"/>
      </w:pPr>
      <w:r w:rsidRPr="00981582">
        <w:t xml:space="preserve">Xia, Y., Prokop, S., &amp; Giasson, B. I. (2021). “Don’t Phos Over Tau”: recent developments in clinical biomarkers and therapies targeting tau phosphorylation in Alzheimer’s disease and other tauopathies. </w:t>
      </w:r>
      <w:r w:rsidRPr="00981582">
        <w:rPr>
          <w:i/>
          <w:iCs/>
        </w:rPr>
        <w:t>Molecular Neurodegeneration</w:t>
      </w:r>
      <w:r w:rsidRPr="00981582">
        <w:t xml:space="preserve">, </w:t>
      </w:r>
      <w:r w:rsidRPr="00981582">
        <w:rPr>
          <w:i/>
          <w:iCs/>
        </w:rPr>
        <w:t>16</w:t>
      </w:r>
      <w:r w:rsidRPr="00981582">
        <w:t xml:space="preserve">(1). </w:t>
      </w:r>
      <w:r w:rsidRPr="00981582">
        <w:rPr>
          <w:rFonts w:eastAsiaTheme="majorEastAsia"/>
        </w:rPr>
        <w:t>https://doi.org/10.1186/s13024-021-00460-5</w:t>
      </w:r>
    </w:p>
    <w:p w14:paraId="04439097" w14:textId="77777777" w:rsidR="00AC7F42" w:rsidRPr="001836F4" w:rsidRDefault="00AC7F42" w:rsidP="00F84A37">
      <w:pPr>
        <w:spacing w:line="360" w:lineRule="auto"/>
        <w:jc w:val="both"/>
      </w:pPr>
    </w:p>
    <w:p w14:paraId="2F0EB305" w14:textId="77777777" w:rsidR="00AC7F42" w:rsidRPr="008679E1" w:rsidRDefault="00AC7F42" w:rsidP="00F84A37">
      <w:pPr>
        <w:spacing w:line="360" w:lineRule="auto"/>
        <w:jc w:val="both"/>
      </w:pPr>
      <w:r w:rsidRPr="008679E1">
        <w:t xml:space="preserve">Knox, B., &amp; Knox, B. (2024, January 22). </w:t>
      </w:r>
      <w:r w:rsidRPr="008679E1">
        <w:rPr>
          <w:i/>
          <w:iCs/>
        </w:rPr>
        <w:t>Amyloid Hypothesis vs Tau Hypothesis | StressMarq</w:t>
      </w:r>
      <w:r w:rsidRPr="008679E1">
        <w:t xml:space="preserve">. StressMarq Biosciences Inc. </w:t>
      </w:r>
      <w:r w:rsidRPr="008679E1">
        <w:rPr>
          <w:rFonts w:eastAsiaTheme="majorEastAsia"/>
        </w:rPr>
        <w:t>https://www.stressmarq.com/amyloid-hypothesis-vs-tau-hypothesis/</w:t>
      </w:r>
    </w:p>
    <w:p w14:paraId="61F68933" w14:textId="77777777" w:rsidR="00AC7F42" w:rsidRPr="001836F4" w:rsidRDefault="00AC7F42" w:rsidP="00F84A37">
      <w:pPr>
        <w:spacing w:line="360" w:lineRule="auto"/>
        <w:jc w:val="both"/>
      </w:pPr>
    </w:p>
    <w:p w14:paraId="49FA672F" w14:textId="77777777" w:rsidR="00AC7F42" w:rsidRPr="00FD3CE1" w:rsidRDefault="00AC7F42" w:rsidP="00F84A37">
      <w:pPr>
        <w:spacing w:line="360" w:lineRule="auto"/>
        <w:jc w:val="both"/>
      </w:pPr>
      <w:r w:rsidRPr="00FD3CE1">
        <w:t xml:space="preserve">Bezprozvanny, I. (2010). The rise and fall of Dimebon. </w:t>
      </w:r>
      <w:r w:rsidRPr="00FD3CE1">
        <w:rPr>
          <w:i/>
          <w:iCs/>
        </w:rPr>
        <w:t>Drug News &amp; Perspectives</w:t>
      </w:r>
      <w:r w:rsidRPr="00FD3CE1">
        <w:t xml:space="preserve">, </w:t>
      </w:r>
      <w:r w:rsidRPr="00FD3CE1">
        <w:rPr>
          <w:i/>
          <w:iCs/>
        </w:rPr>
        <w:t>23</w:t>
      </w:r>
      <w:r w:rsidRPr="00FD3CE1">
        <w:t xml:space="preserve">(8), 518. </w:t>
      </w:r>
      <w:r w:rsidRPr="00FD3CE1">
        <w:rPr>
          <w:rFonts w:eastAsiaTheme="majorEastAsia"/>
        </w:rPr>
        <w:t>https://doi.org/10.1358/dnp.2010.23.8.1500435</w:t>
      </w:r>
    </w:p>
    <w:p w14:paraId="26554101" w14:textId="77777777" w:rsidR="00AC7F42" w:rsidRPr="001836F4" w:rsidRDefault="00AC7F42" w:rsidP="00F84A37">
      <w:pPr>
        <w:spacing w:line="360" w:lineRule="auto"/>
        <w:jc w:val="both"/>
      </w:pPr>
    </w:p>
    <w:p w14:paraId="2FAB8F6B" w14:textId="77777777" w:rsidR="00AC7F42" w:rsidRPr="00D1152E" w:rsidRDefault="00AC7F42" w:rsidP="00F84A37">
      <w:pPr>
        <w:spacing w:line="360" w:lineRule="auto"/>
        <w:jc w:val="both"/>
      </w:pPr>
      <w:r w:rsidRPr="00D1152E">
        <w:t xml:space="preserve">Jones, R. W. (2010). Dimebon disappointment. </w:t>
      </w:r>
      <w:r w:rsidRPr="00D1152E">
        <w:rPr>
          <w:i/>
          <w:iCs/>
        </w:rPr>
        <w:t>Alzheimer S Research &amp; Therapy</w:t>
      </w:r>
      <w:r w:rsidRPr="00D1152E">
        <w:t xml:space="preserve">, </w:t>
      </w:r>
      <w:r w:rsidRPr="00D1152E">
        <w:rPr>
          <w:i/>
          <w:iCs/>
        </w:rPr>
        <w:t>2</w:t>
      </w:r>
      <w:r w:rsidRPr="00D1152E">
        <w:t xml:space="preserve">(5), 25. </w:t>
      </w:r>
      <w:r w:rsidRPr="00D1152E">
        <w:rPr>
          <w:rFonts w:eastAsiaTheme="majorEastAsia"/>
        </w:rPr>
        <w:t>https://doi.org/10.1186/alzrt49</w:t>
      </w:r>
    </w:p>
    <w:p w14:paraId="63A9BD5B" w14:textId="77777777" w:rsidR="00AC7F42" w:rsidRPr="001836F4" w:rsidRDefault="00AC7F42" w:rsidP="00F84A37">
      <w:pPr>
        <w:spacing w:line="360" w:lineRule="auto"/>
        <w:jc w:val="both"/>
      </w:pPr>
    </w:p>
    <w:p w14:paraId="01D242D3" w14:textId="77777777" w:rsidR="00AC7F42" w:rsidRPr="008F5BBF" w:rsidRDefault="00AC7F42" w:rsidP="00F84A37">
      <w:pPr>
        <w:spacing w:line="360" w:lineRule="auto"/>
        <w:jc w:val="both"/>
      </w:pPr>
      <w:r w:rsidRPr="008F5BBF">
        <w:rPr>
          <w:i/>
          <w:iCs/>
        </w:rPr>
        <w:t>Pfizer And Medivation Announce Results From Two Phase 3 Studies In Dimebon (latrepirdine*) Alzheimer’s Disease Clinical Development Program | Pfizer</w:t>
      </w:r>
      <w:r w:rsidRPr="008F5BBF">
        <w:t xml:space="preserve">. (n.d.). </w:t>
      </w:r>
      <w:r w:rsidRPr="008F5BBF">
        <w:rPr>
          <w:rFonts w:eastAsiaTheme="majorEastAsia"/>
        </w:rPr>
        <w:t>https://www.pfizer.com/news/press-release/press-release-detail/pfizer_and_medivation_announce_results_from_two_phase_3_studies_in_dimebon_latrepirdine_alzheimer_s_disease_clinical_development_program</w:t>
      </w:r>
    </w:p>
    <w:p w14:paraId="7A5A484E" w14:textId="77777777" w:rsidR="00AC7F42" w:rsidRPr="001836F4" w:rsidRDefault="00AC7F42" w:rsidP="00F84A37">
      <w:pPr>
        <w:spacing w:line="360" w:lineRule="auto"/>
        <w:jc w:val="both"/>
      </w:pPr>
    </w:p>
    <w:p w14:paraId="7494C641" w14:textId="77777777" w:rsidR="00AC7F42" w:rsidRPr="007A6116" w:rsidRDefault="00AC7F42" w:rsidP="00F84A37">
      <w:pPr>
        <w:spacing w:line="360" w:lineRule="auto"/>
        <w:jc w:val="both"/>
      </w:pPr>
      <w:r w:rsidRPr="007A6116">
        <w:t xml:space="preserve">Dechartres, A., Trinquart, L., Boutron, I., &amp; Ravaud, P. (2013). Influence of trial sample size on treatment effect estimates: meta-epidemiological study. </w:t>
      </w:r>
      <w:r w:rsidRPr="007A6116">
        <w:rPr>
          <w:i/>
          <w:iCs/>
        </w:rPr>
        <w:t>BMJ</w:t>
      </w:r>
      <w:r w:rsidRPr="007A6116">
        <w:t xml:space="preserve">, </w:t>
      </w:r>
      <w:r w:rsidRPr="007A6116">
        <w:rPr>
          <w:i/>
          <w:iCs/>
        </w:rPr>
        <w:t>346</w:t>
      </w:r>
      <w:r w:rsidRPr="007A6116">
        <w:t xml:space="preserve">(apr24 14), f2304. </w:t>
      </w:r>
      <w:r w:rsidRPr="007A6116">
        <w:rPr>
          <w:rFonts w:eastAsiaTheme="majorEastAsia"/>
        </w:rPr>
        <w:t>https://doi.org/10.1136/bmj.f2304</w:t>
      </w:r>
    </w:p>
    <w:p w14:paraId="0A86AE5E" w14:textId="77777777" w:rsidR="00AC7F42" w:rsidRPr="001836F4" w:rsidRDefault="00AC7F42" w:rsidP="00F84A37">
      <w:pPr>
        <w:spacing w:line="360" w:lineRule="auto"/>
        <w:jc w:val="both"/>
      </w:pPr>
    </w:p>
    <w:p w14:paraId="6BDBFE46" w14:textId="77777777" w:rsidR="00AC7F42" w:rsidRPr="00AF41DD" w:rsidRDefault="00AC7F42" w:rsidP="00F84A37">
      <w:pPr>
        <w:spacing w:line="360" w:lineRule="auto"/>
        <w:jc w:val="both"/>
      </w:pPr>
      <w:r w:rsidRPr="00AF41DD">
        <w:t xml:space="preserve">Day, R. O., &amp; Williams, K. M. (2007). Open-Label extension Studies. </w:t>
      </w:r>
      <w:r w:rsidRPr="00AF41DD">
        <w:rPr>
          <w:i/>
          <w:iCs/>
        </w:rPr>
        <w:t>Drug Safety</w:t>
      </w:r>
      <w:r w:rsidRPr="00AF41DD">
        <w:t xml:space="preserve">, </w:t>
      </w:r>
      <w:r w:rsidRPr="00AF41DD">
        <w:rPr>
          <w:i/>
          <w:iCs/>
        </w:rPr>
        <w:t>30</w:t>
      </w:r>
      <w:r w:rsidRPr="00AF41DD">
        <w:t xml:space="preserve">(2), 93–105. </w:t>
      </w:r>
      <w:r w:rsidRPr="00AF41DD">
        <w:rPr>
          <w:rFonts w:eastAsiaTheme="majorEastAsia"/>
        </w:rPr>
        <w:t>https://doi.org/10.2165/00002018-200730020-00001</w:t>
      </w:r>
    </w:p>
    <w:p w14:paraId="323A2389" w14:textId="18484503" w:rsidR="00F944E7" w:rsidRDefault="00F944E7" w:rsidP="00F84A37">
      <w:pPr>
        <w:spacing w:line="360" w:lineRule="auto"/>
        <w:jc w:val="both"/>
      </w:pPr>
    </w:p>
    <w:p w14:paraId="1A4D2CEE" w14:textId="77777777" w:rsidR="00561E5A" w:rsidRPr="00561E5A" w:rsidRDefault="00561E5A" w:rsidP="00561E5A">
      <w:pPr>
        <w:spacing w:line="360" w:lineRule="auto"/>
        <w:jc w:val="both"/>
      </w:pPr>
      <w:r w:rsidRPr="00561E5A">
        <w:t xml:space="preserve">Terry, M. (2018, August 6). </w:t>
      </w:r>
      <w:r w:rsidRPr="00561E5A">
        <w:rPr>
          <w:i/>
          <w:iCs/>
        </w:rPr>
        <w:t>Pain Therapeutics CEO lashes out as FDA rejects company’s Remoxy</w:t>
      </w:r>
      <w:r w:rsidRPr="00561E5A">
        <w:t>. BioSpace. https://www.biospace.com/pain-therapeutics-ceo-lashes-out-as-fda-rejects-company-s-remoxy</w:t>
      </w:r>
    </w:p>
    <w:p w14:paraId="2BE1B2DF" w14:textId="77777777" w:rsidR="00561E5A" w:rsidRDefault="00561E5A" w:rsidP="00F84A37">
      <w:pPr>
        <w:spacing w:line="360" w:lineRule="auto"/>
        <w:jc w:val="both"/>
      </w:pPr>
    </w:p>
    <w:p w14:paraId="30AC5D7A" w14:textId="77777777" w:rsidR="00FD6F32" w:rsidRPr="00FD6F32" w:rsidRDefault="00FD6F32" w:rsidP="00FD6F32">
      <w:pPr>
        <w:spacing w:line="360" w:lineRule="auto"/>
        <w:jc w:val="both"/>
      </w:pPr>
      <w:r w:rsidRPr="00FD6F32">
        <w:lastRenderedPageBreak/>
        <w:t xml:space="preserve">Terry, M. (2018, August 6). </w:t>
      </w:r>
      <w:r w:rsidRPr="00FD6F32">
        <w:rPr>
          <w:i/>
          <w:iCs/>
        </w:rPr>
        <w:t>Pain Therapeutics CEO lashes out as FDA rejects company’s Remoxy</w:t>
      </w:r>
      <w:r w:rsidRPr="00FD6F32">
        <w:t>. BioSpace. https://www.biospace.com/pain-therapeutics-ceo-lashes-out-as-fda-rejects-company-s-remoxy</w:t>
      </w:r>
    </w:p>
    <w:p w14:paraId="532094F7" w14:textId="77777777" w:rsidR="00FD6F32" w:rsidRDefault="00FD6F32" w:rsidP="00F84A37">
      <w:pPr>
        <w:spacing w:line="360" w:lineRule="auto"/>
        <w:jc w:val="both"/>
      </w:pPr>
    </w:p>
    <w:p w14:paraId="2A560BA0" w14:textId="718EE833" w:rsidR="0042722B" w:rsidRDefault="0042722B" w:rsidP="0042722B">
      <w:pPr>
        <w:spacing w:line="360" w:lineRule="auto"/>
      </w:pPr>
      <w:r w:rsidRPr="0042722B">
        <w:rPr>
          <w:i/>
          <w:iCs/>
        </w:rPr>
        <w:t>PTIE</w:t>
      </w:r>
      <w:r>
        <w:rPr>
          <w:i/>
          <w:iCs/>
        </w:rPr>
        <w:t xml:space="preserve"> </w:t>
      </w:r>
      <w:r w:rsidRPr="0042722B">
        <w:rPr>
          <w:i/>
          <w:iCs/>
        </w:rPr>
        <w:t>8-K 20190327</w:t>
      </w:r>
      <w:r w:rsidRPr="0042722B">
        <w:t>. (</w:t>
      </w:r>
      <w:r>
        <w:t>2019</w:t>
      </w:r>
      <w:r w:rsidRPr="0042722B">
        <w:t>).</w:t>
      </w:r>
      <w:r>
        <w:t xml:space="preserve"> </w:t>
      </w:r>
      <w:r w:rsidRPr="0042722B">
        <w:t>https://www.sec.gov/Archives/edgar/data/1069530/000106953019000016/ptie-20190327x8k.htm</w:t>
      </w:r>
    </w:p>
    <w:p w14:paraId="4309C470" w14:textId="51C0FB84" w:rsidR="0042722B" w:rsidRDefault="0042722B" w:rsidP="0042722B">
      <w:pPr>
        <w:spacing w:line="360" w:lineRule="auto"/>
      </w:pPr>
    </w:p>
    <w:p w14:paraId="351CA61D" w14:textId="77777777" w:rsidR="00AF0C6E" w:rsidRPr="00AF0C6E" w:rsidRDefault="00AF0C6E" w:rsidP="00AF0C6E">
      <w:pPr>
        <w:spacing w:line="360" w:lineRule="auto"/>
        <w:jc w:val="both"/>
      </w:pPr>
      <w:r w:rsidRPr="00AF0C6E">
        <w:t xml:space="preserve">Cassava Sciences. (2024). </w:t>
      </w:r>
      <w:r w:rsidRPr="00AF0C6E">
        <w:rPr>
          <w:i/>
          <w:iCs/>
        </w:rPr>
        <w:t>Corporate Overview</w:t>
      </w:r>
      <w:r w:rsidRPr="00AF0C6E">
        <w:t>. https://www.cassavasciences.com/static-files/ee9924b9-190b-4a9e-bb52-77f829a179c6</w:t>
      </w:r>
    </w:p>
    <w:p w14:paraId="403245B7" w14:textId="77777777" w:rsidR="0042722B" w:rsidRDefault="0042722B" w:rsidP="0042722B">
      <w:pPr>
        <w:spacing w:line="360" w:lineRule="auto"/>
        <w:jc w:val="both"/>
      </w:pPr>
    </w:p>
    <w:p w14:paraId="41CCE760" w14:textId="77777777" w:rsidR="00E804CE" w:rsidRPr="00E804CE" w:rsidRDefault="00E804CE" w:rsidP="00E804CE">
      <w:pPr>
        <w:spacing w:line="360" w:lineRule="auto"/>
        <w:jc w:val="both"/>
      </w:pPr>
      <w:r w:rsidRPr="00E804CE">
        <w:t xml:space="preserve">Simufilam’s primary mechanism of action confirmed by time-resolved FRET. (2019). In </w:t>
      </w:r>
      <w:r w:rsidRPr="00E804CE">
        <w:rPr>
          <w:i/>
          <w:iCs/>
        </w:rPr>
        <w:t>Cassava Sciences, Inc</w:t>
      </w:r>
      <w:r w:rsidRPr="00E804CE">
        <w:t xml:space="preserve"> [Research poster]. https://www.cassavasciences.com/static-files/f11cbea3-359f-4ce9-81c6-ecf58f3dcbed</w:t>
      </w:r>
    </w:p>
    <w:p w14:paraId="03173585" w14:textId="77777777" w:rsidR="005A2AA0" w:rsidRDefault="005A2AA0" w:rsidP="00131045">
      <w:pPr>
        <w:spacing w:line="360" w:lineRule="auto"/>
        <w:jc w:val="both"/>
      </w:pPr>
    </w:p>
    <w:p w14:paraId="466625EC" w14:textId="05E025CF" w:rsidR="00131045" w:rsidRPr="00131045" w:rsidRDefault="00131045" w:rsidP="00131045">
      <w:pPr>
        <w:spacing w:line="360" w:lineRule="auto"/>
        <w:jc w:val="both"/>
      </w:pPr>
      <w:r w:rsidRPr="00131045">
        <w:t xml:space="preserve">Wang, H., Pei, Z., Lee, K., Nikolov, B., Doehner, T., Puente, J., Friedmann, N., &amp; Burns, L. H. (2023). Simufilam suppresses overactive mTOR and restores its sensitivity to insulin in Alzheimer’s disease patient lymphocytes. </w:t>
      </w:r>
      <w:r w:rsidRPr="00131045">
        <w:rPr>
          <w:i/>
          <w:iCs/>
        </w:rPr>
        <w:t>Frontiers in Aging</w:t>
      </w:r>
      <w:r w:rsidRPr="00131045">
        <w:t xml:space="preserve">, </w:t>
      </w:r>
      <w:r w:rsidRPr="00131045">
        <w:rPr>
          <w:i/>
          <w:iCs/>
        </w:rPr>
        <w:t>4</w:t>
      </w:r>
      <w:r w:rsidRPr="00131045">
        <w:t>. https://doi.org/10.3389/fragi.2023.1175601</w:t>
      </w:r>
    </w:p>
    <w:p w14:paraId="71660F8D" w14:textId="77777777" w:rsidR="00E804CE" w:rsidRDefault="00E804CE" w:rsidP="0042722B">
      <w:pPr>
        <w:spacing w:line="360" w:lineRule="auto"/>
        <w:jc w:val="both"/>
      </w:pPr>
    </w:p>
    <w:p w14:paraId="2F1352E9" w14:textId="77777777" w:rsidR="00131045" w:rsidRPr="00131045" w:rsidRDefault="00131045" w:rsidP="00131045">
      <w:pPr>
        <w:spacing w:line="360" w:lineRule="auto"/>
        <w:jc w:val="both"/>
      </w:pPr>
      <w:r w:rsidRPr="00131045">
        <w:rPr>
          <w:i/>
          <w:iCs/>
        </w:rPr>
        <w:t>New research shows Simufilam suppresses overactive MTOR | Cassava Sciences, Inc.</w:t>
      </w:r>
      <w:r w:rsidRPr="00131045">
        <w:t xml:space="preserve"> (n.d.). Cassava Sciences, Inc. https://www.cassavasciences.com/news-releases/news-release-details/new-research-shows-simufilam-suppresses-overactive-mtor</w:t>
      </w:r>
    </w:p>
    <w:p w14:paraId="0239D38E" w14:textId="77777777" w:rsidR="00131045" w:rsidRDefault="00131045" w:rsidP="0042722B">
      <w:pPr>
        <w:spacing w:line="360" w:lineRule="auto"/>
        <w:jc w:val="both"/>
      </w:pPr>
    </w:p>
    <w:p w14:paraId="3554513A" w14:textId="77777777" w:rsidR="0042722B" w:rsidRDefault="0042722B" w:rsidP="0042722B">
      <w:pPr>
        <w:spacing w:line="360" w:lineRule="auto"/>
      </w:pPr>
    </w:p>
    <w:p w14:paraId="058564FC" w14:textId="77777777" w:rsidR="00DB65D4" w:rsidRPr="00DB65D4" w:rsidRDefault="00DB65D4" w:rsidP="00DB65D4">
      <w:pPr>
        <w:spacing w:line="360" w:lineRule="auto"/>
      </w:pPr>
      <w:r w:rsidRPr="00DB65D4">
        <w:t xml:space="preserve">Expression of concern: Simufilam suppresses overactive mTOR and restores its sensitivity to insulin in Alzheimer’s disease patient lymphocytes. (2024). </w:t>
      </w:r>
      <w:r w:rsidRPr="00DB65D4">
        <w:rPr>
          <w:i/>
          <w:iCs/>
        </w:rPr>
        <w:t>Frontiers in Aging</w:t>
      </w:r>
      <w:r w:rsidRPr="00DB65D4">
        <w:t xml:space="preserve">, </w:t>
      </w:r>
      <w:r w:rsidRPr="00DB65D4">
        <w:rPr>
          <w:i/>
          <w:iCs/>
        </w:rPr>
        <w:t>5</w:t>
      </w:r>
      <w:r w:rsidRPr="00DB65D4">
        <w:t>. https://doi.org/10.3389/fragi.2024.1483030</w:t>
      </w:r>
    </w:p>
    <w:p w14:paraId="79D683C6" w14:textId="77777777" w:rsidR="00DB65D4" w:rsidRPr="0042722B" w:rsidRDefault="00DB65D4" w:rsidP="0042722B">
      <w:pPr>
        <w:spacing w:line="360" w:lineRule="auto"/>
      </w:pPr>
    </w:p>
    <w:p w14:paraId="7BE53BD6" w14:textId="77777777" w:rsidR="00A37B09" w:rsidRDefault="00A37B09" w:rsidP="00A37B09">
      <w:pPr>
        <w:spacing w:line="360" w:lineRule="auto"/>
        <w:jc w:val="both"/>
      </w:pPr>
      <w:r w:rsidRPr="00A37B09">
        <w:t xml:space="preserve">Wang, H., Stucky, A., Liu, J., Shen, C., Trocme-Thibierge, C., &amp; Morain, P. (2009). Dissociating β-Amyloid from α7 Nicotinic Acetylcholine Receptor by a Novel Therapeutic Agent, S 24795, </w:t>
      </w:r>
      <w:r w:rsidRPr="00A37B09">
        <w:lastRenderedPageBreak/>
        <w:t xml:space="preserve">Normalizes α7 Nicotinic Acetylcholine and NMDA Receptor Function in Alzheimer’s Disease Brain. </w:t>
      </w:r>
      <w:r w:rsidRPr="00A37B09">
        <w:rPr>
          <w:i/>
          <w:iCs/>
        </w:rPr>
        <w:t>Journal of Neuroscience</w:t>
      </w:r>
      <w:r w:rsidRPr="00A37B09">
        <w:t xml:space="preserve">, </w:t>
      </w:r>
      <w:r w:rsidRPr="00A37B09">
        <w:rPr>
          <w:i/>
          <w:iCs/>
        </w:rPr>
        <w:t>29</w:t>
      </w:r>
      <w:r w:rsidRPr="00A37B09">
        <w:t>(35), 10961–10973. https://doi.org/10.1523/jneurosci.6088-08.2009</w:t>
      </w:r>
    </w:p>
    <w:p w14:paraId="02AEF7D2" w14:textId="77777777" w:rsidR="00A37B09" w:rsidRDefault="00A37B09" w:rsidP="00A37B09">
      <w:pPr>
        <w:spacing w:line="360" w:lineRule="auto"/>
        <w:jc w:val="both"/>
      </w:pPr>
    </w:p>
    <w:p w14:paraId="76A28EEF" w14:textId="77777777" w:rsidR="00A37B09" w:rsidRPr="00A37B09" w:rsidRDefault="00A37B09" w:rsidP="00A37B09">
      <w:pPr>
        <w:spacing w:line="360" w:lineRule="auto"/>
        <w:jc w:val="both"/>
      </w:pPr>
      <w:r w:rsidRPr="00A37B09">
        <w:t xml:space="preserve">Expression of Concern: Wang et al., “Dissociating β-Amyloid from α7 Nicotinic Acetylcholine Receptor by a Novel Therapeutic Agent, S 24795, Normalizes α7 Nicotinic Acetylcholine and NMDA Receptor Function in Alzheimer’s Disease Brain.” (2021). </w:t>
      </w:r>
      <w:r w:rsidRPr="00A37B09">
        <w:rPr>
          <w:i/>
          <w:iCs/>
        </w:rPr>
        <w:t>Journal of Neuroscience</w:t>
      </w:r>
      <w:r w:rsidRPr="00A37B09">
        <w:t xml:space="preserve">, </w:t>
      </w:r>
      <w:r w:rsidRPr="00A37B09">
        <w:rPr>
          <w:i/>
          <w:iCs/>
        </w:rPr>
        <w:t>42</w:t>
      </w:r>
      <w:r w:rsidRPr="00A37B09">
        <w:t>(3), 528. https://doi.org/10.1523/jneurosci.2307-21.2021</w:t>
      </w:r>
    </w:p>
    <w:p w14:paraId="38070DB3" w14:textId="77777777" w:rsidR="00A37B09" w:rsidRPr="00A37B09" w:rsidRDefault="00A37B09" w:rsidP="00A37B09">
      <w:pPr>
        <w:spacing w:line="360" w:lineRule="auto"/>
        <w:jc w:val="both"/>
      </w:pPr>
    </w:p>
    <w:p w14:paraId="7E329996" w14:textId="77777777" w:rsidR="009E2BB3" w:rsidRPr="009E2BB3" w:rsidRDefault="009E2BB3" w:rsidP="009E2BB3">
      <w:pPr>
        <w:spacing w:line="360" w:lineRule="auto"/>
        <w:jc w:val="both"/>
      </w:pPr>
      <w:r w:rsidRPr="009E2BB3">
        <w:t xml:space="preserve">SECURITIES AND EXCHANGE COMMISSION, CASSAVA SCIENCES, INC., BARBIER, R., &amp; BURNS, L. (2024). SECURITIES AND EXCHANGE COMMISSION v. CASSAVA SCIENCES, INC.; REMI BARBIER; and LINDSAY BURNS. In </w:t>
      </w:r>
      <w:r w:rsidRPr="009E2BB3">
        <w:rPr>
          <w:i/>
          <w:iCs/>
        </w:rPr>
        <w:t>UNITED STATES DISTRICT COURT FOR THE WESTERN DISTRICT OF TEXAS</w:t>
      </w:r>
      <w:r w:rsidRPr="009E2BB3">
        <w:t xml:space="preserve"> [Legal case]. https://www.sec.gov/files/litigation/complaints/2024/comp-pr2024-151.pdf</w:t>
      </w:r>
    </w:p>
    <w:p w14:paraId="15C9A84E" w14:textId="4C72E19A" w:rsidR="0042722B" w:rsidRDefault="0042722B" w:rsidP="00F84A37">
      <w:pPr>
        <w:spacing w:line="360" w:lineRule="auto"/>
        <w:jc w:val="both"/>
      </w:pPr>
    </w:p>
    <w:p w14:paraId="5E7B9F16" w14:textId="635988BF" w:rsidR="00FF6AF3" w:rsidRPr="00FF6AF3" w:rsidRDefault="00FF6AF3" w:rsidP="00FF6AF3">
      <w:pPr>
        <w:spacing w:line="360" w:lineRule="auto"/>
        <w:jc w:val="both"/>
      </w:pPr>
      <w:r w:rsidRPr="00FF6AF3">
        <w:rPr>
          <w:i/>
          <w:iCs/>
        </w:rPr>
        <w:t>SAVA 8K 2020 Bonus Plan</w:t>
      </w:r>
      <w:r w:rsidRPr="00FF6AF3">
        <w:t>. (</w:t>
      </w:r>
      <w:r w:rsidR="00C93375">
        <w:t>2020</w:t>
      </w:r>
      <w:r w:rsidRPr="00FF6AF3">
        <w:t>). https://www.sec.gov/Archives/edgar/data/1069530/000106953020000048/sava-20200901x8k.htm</w:t>
      </w:r>
    </w:p>
    <w:p w14:paraId="04451536" w14:textId="77777777" w:rsidR="009E2BB3" w:rsidRDefault="009E2BB3" w:rsidP="00F84A37">
      <w:pPr>
        <w:spacing w:line="360" w:lineRule="auto"/>
        <w:jc w:val="both"/>
      </w:pPr>
    </w:p>
    <w:p w14:paraId="33E633AB" w14:textId="77777777" w:rsidR="00FF6AF3" w:rsidRPr="00FF6AF3" w:rsidRDefault="00FF6AF3" w:rsidP="00FF6AF3">
      <w:pPr>
        <w:spacing w:line="360" w:lineRule="auto"/>
        <w:jc w:val="both"/>
      </w:pPr>
      <w:r w:rsidRPr="00FF6AF3">
        <w:rPr>
          <w:i/>
          <w:iCs/>
        </w:rPr>
        <w:t>Cassava Sciences, Inc. - Cassava Sciences, Inc. 2020 Cash Incentive Bonus Plan (As amended March 16, 2023). - EX-10.2 - August 03, 2023</w:t>
      </w:r>
      <w:r w:rsidRPr="00FF6AF3">
        <w:t>. (n.d.). https://fintel.io/doc/sec-cassava-sciences-inc-1069530-ex102-2023-august-03-19572-723</w:t>
      </w:r>
    </w:p>
    <w:p w14:paraId="4718375C" w14:textId="77777777" w:rsidR="00FF6AF3" w:rsidRDefault="00FF6AF3" w:rsidP="00F84A37">
      <w:pPr>
        <w:spacing w:line="360" w:lineRule="auto"/>
        <w:jc w:val="both"/>
      </w:pPr>
    </w:p>
    <w:p w14:paraId="24DD632A" w14:textId="40646874" w:rsidR="004A0CF6" w:rsidRDefault="004A0CF6" w:rsidP="004A0CF6">
      <w:pPr>
        <w:spacing w:line="360" w:lineRule="auto"/>
        <w:jc w:val="both"/>
      </w:pPr>
      <w:r w:rsidRPr="004A0CF6">
        <w:t xml:space="preserve">Quintessential Capital Management. (2022, August 21). </w:t>
      </w:r>
      <w:r w:rsidRPr="004A0CF6">
        <w:rPr>
          <w:i/>
          <w:iCs/>
        </w:rPr>
        <w:t>Cassava Sciences (SAVA): Game over! - Quintessential Fund</w:t>
      </w:r>
      <w:r w:rsidRPr="004A0CF6">
        <w:t>. Quintessential Fund. https://www.qcmfunds.com/cassava-sciences-sava-game-over/</w:t>
      </w:r>
    </w:p>
    <w:p w14:paraId="3959C82F" w14:textId="20F6C5E7" w:rsidR="004A0CF6" w:rsidRDefault="004A0CF6" w:rsidP="004A0CF6">
      <w:pPr>
        <w:spacing w:line="360" w:lineRule="auto"/>
        <w:jc w:val="both"/>
      </w:pPr>
    </w:p>
    <w:p w14:paraId="42D98D55" w14:textId="5F5F315E" w:rsidR="00E156D0" w:rsidRPr="00E156D0" w:rsidRDefault="00E156D0" w:rsidP="00E156D0">
      <w:pPr>
        <w:spacing w:line="360" w:lineRule="auto"/>
        <w:jc w:val="both"/>
      </w:pPr>
      <w:r w:rsidRPr="00E156D0">
        <w:rPr>
          <w:i/>
          <w:iCs/>
        </w:rPr>
        <w:t>FLNA Alzheimer - Search results - PubMed</w:t>
      </w:r>
      <w:r w:rsidRPr="00E156D0">
        <w:t>. (</w:t>
      </w:r>
      <w:r w:rsidR="00866134">
        <w:t>2024</w:t>
      </w:r>
      <w:r w:rsidRPr="00E156D0">
        <w:t>). PubMed. https://pubmed.ncbi.nlm.nih.gov/?term=FLNA+Alzheimer&amp;sort=date</w:t>
      </w:r>
    </w:p>
    <w:p w14:paraId="11AE7E63" w14:textId="77777777" w:rsidR="004A0CF6" w:rsidRPr="004A0CF6" w:rsidRDefault="004A0CF6" w:rsidP="004A0CF6">
      <w:pPr>
        <w:spacing w:line="360" w:lineRule="auto"/>
        <w:jc w:val="both"/>
      </w:pPr>
    </w:p>
    <w:p w14:paraId="2D8C2BCD" w14:textId="25CB6751" w:rsidR="00866134" w:rsidRPr="00866134" w:rsidRDefault="00866134" w:rsidP="00866134">
      <w:pPr>
        <w:spacing w:line="360" w:lineRule="auto"/>
        <w:jc w:val="both"/>
      </w:pPr>
      <w:r w:rsidRPr="00866134">
        <w:rPr>
          <w:i/>
          <w:iCs/>
        </w:rPr>
        <w:lastRenderedPageBreak/>
        <w:t>amyloid alzheimer - Search Results - PubMed</w:t>
      </w:r>
      <w:r w:rsidRPr="00866134">
        <w:t>. (</w:t>
      </w:r>
      <w:r>
        <w:t>2024</w:t>
      </w:r>
      <w:r w:rsidRPr="00866134">
        <w:t>). PubMed. https://pubmed.ncbi.nlm.nih.gov/?term=amyloid+alzheimer&amp;filter=years.2012-2025&amp;sort=date</w:t>
      </w:r>
    </w:p>
    <w:p w14:paraId="605E40B1" w14:textId="77777777" w:rsidR="004A0CF6" w:rsidRDefault="004A0CF6" w:rsidP="00F84A37">
      <w:pPr>
        <w:spacing w:line="360" w:lineRule="auto"/>
        <w:jc w:val="both"/>
      </w:pPr>
    </w:p>
    <w:p w14:paraId="2E6ECA4C" w14:textId="16968106" w:rsidR="00075696" w:rsidRPr="00075696" w:rsidRDefault="00075696" w:rsidP="00075696">
      <w:pPr>
        <w:spacing w:line="360" w:lineRule="auto"/>
        <w:jc w:val="both"/>
      </w:pPr>
      <w:r w:rsidRPr="00075696">
        <w:rPr>
          <w:i/>
          <w:iCs/>
        </w:rPr>
        <w:t>tau alzheimer - Search Results - PubMed</w:t>
      </w:r>
      <w:r w:rsidRPr="00075696">
        <w:t>. (</w:t>
      </w:r>
      <w:r w:rsidR="00A42310">
        <w:t>2024</w:t>
      </w:r>
      <w:r w:rsidRPr="00075696">
        <w:t>). PubMed. https://pubmed.ncbi.nlm.nih.gov/?term=tau+alzheimer&amp;filter=years.2012-2025&amp;sort=date</w:t>
      </w:r>
    </w:p>
    <w:p w14:paraId="7C9C61DA" w14:textId="77777777" w:rsidR="00075696" w:rsidRDefault="00075696" w:rsidP="00F84A37">
      <w:pPr>
        <w:spacing w:line="360" w:lineRule="auto"/>
        <w:jc w:val="both"/>
      </w:pPr>
    </w:p>
    <w:p w14:paraId="12214114" w14:textId="538A84E3" w:rsidR="00A42310" w:rsidRPr="00A42310" w:rsidRDefault="00A42310" w:rsidP="00A42310">
      <w:pPr>
        <w:spacing w:line="360" w:lineRule="auto"/>
        <w:jc w:val="both"/>
      </w:pPr>
      <w:r w:rsidRPr="00A42310">
        <w:rPr>
          <w:i/>
          <w:iCs/>
        </w:rPr>
        <w:t>microglia alzheimer - Search Results - PubMed</w:t>
      </w:r>
      <w:r w:rsidRPr="00A42310">
        <w:t>. (</w:t>
      </w:r>
      <w:r>
        <w:t>2024</w:t>
      </w:r>
      <w:r w:rsidRPr="00A42310">
        <w:t>). PubMed. https://pubmed.ncbi.nlm.nih.gov/?term=microglia+alzheimer&amp;filter=years.2012-2025&amp;sort=date</w:t>
      </w:r>
    </w:p>
    <w:p w14:paraId="21DD5E62" w14:textId="77777777" w:rsidR="00A42310" w:rsidRDefault="00A42310" w:rsidP="00F84A37">
      <w:pPr>
        <w:spacing w:line="360" w:lineRule="auto"/>
        <w:jc w:val="both"/>
      </w:pPr>
    </w:p>
    <w:p w14:paraId="70CCFD35" w14:textId="77777777" w:rsidR="00245D27" w:rsidRPr="00245D27" w:rsidRDefault="00245D27" w:rsidP="00245D27">
      <w:pPr>
        <w:spacing w:line="360" w:lineRule="auto"/>
        <w:jc w:val="both"/>
      </w:pPr>
      <w:r w:rsidRPr="00245D27">
        <w:rPr>
          <w:i/>
          <w:iCs/>
        </w:rPr>
        <w:t>Investing in Alzheimer’s research</w:t>
      </w:r>
      <w:r w:rsidRPr="00245D27">
        <w:t>. (n.d.). Alzheimer’s Impact Movement. https://alzimpact.org/research</w:t>
      </w:r>
    </w:p>
    <w:p w14:paraId="301BBA1B" w14:textId="77777777" w:rsidR="00245D27" w:rsidRDefault="00245D27" w:rsidP="00F84A37">
      <w:pPr>
        <w:spacing w:line="360" w:lineRule="auto"/>
        <w:jc w:val="both"/>
      </w:pPr>
    </w:p>
    <w:p w14:paraId="265DB2AC" w14:textId="77777777" w:rsidR="000F3490" w:rsidRPr="000F3490" w:rsidRDefault="000F3490" w:rsidP="000F3490">
      <w:pPr>
        <w:spacing w:line="360" w:lineRule="auto"/>
        <w:jc w:val="both"/>
      </w:pPr>
      <w:r w:rsidRPr="000F3490">
        <w:t xml:space="preserve">Cummings, J. L., Goldman, D. P., Simmons‐Stern, N. R., &amp; Ponton, E. (2021). The costs of developing treatments for Alzheimer’s disease: A retrospective exploration. </w:t>
      </w:r>
      <w:r w:rsidRPr="000F3490">
        <w:rPr>
          <w:i/>
          <w:iCs/>
        </w:rPr>
        <w:t>Alzheimer S &amp; Dementia</w:t>
      </w:r>
      <w:r w:rsidRPr="000F3490">
        <w:t xml:space="preserve">, </w:t>
      </w:r>
      <w:r w:rsidRPr="000F3490">
        <w:rPr>
          <w:i/>
          <w:iCs/>
        </w:rPr>
        <w:t>18</w:t>
      </w:r>
      <w:r w:rsidRPr="000F3490">
        <w:t>(3), 469–477. https://doi.org/10.1002/alz.12450</w:t>
      </w:r>
    </w:p>
    <w:p w14:paraId="5D4B1623" w14:textId="77777777" w:rsidR="000F3490" w:rsidRDefault="000F3490" w:rsidP="00F84A37">
      <w:pPr>
        <w:spacing w:line="360" w:lineRule="auto"/>
        <w:jc w:val="both"/>
      </w:pPr>
    </w:p>
    <w:p w14:paraId="359D69B8" w14:textId="77777777" w:rsidR="00C706DB" w:rsidRPr="00C706DB" w:rsidRDefault="00C706DB" w:rsidP="00C706DB">
      <w:pPr>
        <w:spacing w:line="360" w:lineRule="auto"/>
        <w:jc w:val="both"/>
      </w:pPr>
      <w:r w:rsidRPr="00C706DB">
        <w:t xml:space="preserve">Wosen, J. (2024, June 28). Cassava Sciences collaborator charged with defrauding NIH in grants supporting its Alzheimer’s drug. </w:t>
      </w:r>
      <w:r w:rsidRPr="00C706DB">
        <w:rPr>
          <w:i/>
          <w:iCs/>
        </w:rPr>
        <w:t>STAT</w:t>
      </w:r>
      <w:r w:rsidRPr="00C706DB">
        <w:t>. https://www.statnews.com/2024/06/28/cassava-sciences-indictment-alzheimers-hoau-yan-wang/</w:t>
      </w:r>
    </w:p>
    <w:p w14:paraId="5E51355F" w14:textId="77777777" w:rsidR="00C706DB" w:rsidRDefault="00C706DB" w:rsidP="00F84A37">
      <w:pPr>
        <w:spacing w:line="360" w:lineRule="auto"/>
        <w:jc w:val="both"/>
      </w:pPr>
    </w:p>
    <w:p w14:paraId="42EB920A" w14:textId="197245C4" w:rsidR="009371F5" w:rsidRPr="009371F5" w:rsidRDefault="009371F5" w:rsidP="009371F5">
      <w:pPr>
        <w:spacing w:line="360" w:lineRule="auto"/>
        <w:jc w:val="both"/>
      </w:pPr>
      <w:r w:rsidRPr="009371F5">
        <w:t>Walker, J.</w:t>
      </w:r>
      <w:r w:rsidR="00782710">
        <w:t xml:space="preserve"> </w:t>
      </w:r>
      <w:r w:rsidRPr="009371F5">
        <w:t xml:space="preserve">(2024, June 28). Cassava Sciences adviser indicted on fraud charges. </w:t>
      </w:r>
      <w:r w:rsidRPr="009371F5">
        <w:rPr>
          <w:i/>
          <w:iCs/>
        </w:rPr>
        <w:t>WSJ</w:t>
      </w:r>
      <w:r w:rsidRPr="009371F5">
        <w:t>. https://www.wsj.com/health/healthcare/cassava-sciences-adviser-indicted-on-fraud-charges-2ce67620</w:t>
      </w:r>
    </w:p>
    <w:p w14:paraId="470E9FB2" w14:textId="77777777" w:rsidR="009371F5" w:rsidRDefault="009371F5" w:rsidP="00F84A37">
      <w:pPr>
        <w:spacing w:line="360" w:lineRule="auto"/>
        <w:jc w:val="both"/>
      </w:pPr>
    </w:p>
    <w:p w14:paraId="74F59DDD" w14:textId="77777777" w:rsidR="008034E7" w:rsidRPr="008034E7" w:rsidRDefault="008034E7" w:rsidP="008034E7">
      <w:pPr>
        <w:spacing w:line="360" w:lineRule="auto"/>
        <w:jc w:val="both"/>
      </w:pPr>
      <w:r w:rsidRPr="008034E7">
        <w:t xml:space="preserve">Piller, C. (2023, October 12). Co-developer of Cassava’s potential Alzheimer’s drug cited for ‘egregious misconduct.’ </w:t>
      </w:r>
      <w:r w:rsidRPr="008034E7">
        <w:rPr>
          <w:i/>
          <w:iCs/>
        </w:rPr>
        <w:t>Science | AAAS</w:t>
      </w:r>
      <w:r w:rsidRPr="008034E7">
        <w:t>. https://www.science.org/content/article/co-developer-cassava-s-potential-alzheimer-s-drug-cited-egregious-misconduct</w:t>
      </w:r>
    </w:p>
    <w:p w14:paraId="36FBE859" w14:textId="77777777" w:rsidR="008034E7" w:rsidRDefault="008034E7" w:rsidP="00F84A37">
      <w:pPr>
        <w:spacing w:line="360" w:lineRule="auto"/>
        <w:jc w:val="both"/>
      </w:pPr>
    </w:p>
    <w:p w14:paraId="1576C3BC" w14:textId="1986582A" w:rsidR="00A651DD" w:rsidRDefault="00A651DD" w:rsidP="00F84A37">
      <w:pPr>
        <w:spacing w:line="360" w:lineRule="auto"/>
        <w:jc w:val="both"/>
      </w:pPr>
      <w:r w:rsidRPr="00A651DD">
        <w:t>cuny_wang_final_report-1698701360173.pdf</w:t>
      </w:r>
      <w:r>
        <w:t xml:space="preserve"> </w:t>
      </w:r>
      <w:r w:rsidRPr="00A651DD">
        <w:t>https://www.science.org/do/10.1126/science.adl3444/full/cuny_wang_final_report-1698701360173.pdf</w:t>
      </w:r>
    </w:p>
    <w:p w14:paraId="4D43E39E" w14:textId="77777777" w:rsidR="0051571A" w:rsidRDefault="0051571A" w:rsidP="00F84A37">
      <w:pPr>
        <w:spacing w:line="360" w:lineRule="auto"/>
        <w:jc w:val="both"/>
      </w:pPr>
    </w:p>
    <w:p w14:paraId="3593968E" w14:textId="77777777" w:rsidR="0051571A" w:rsidRPr="0051571A" w:rsidRDefault="0051571A" w:rsidP="0051571A">
      <w:pPr>
        <w:spacing w:line="360" w:lineRule="auto"/>
        <w:jc w:val="both"/>
      </w:pPr>
      <w:r w:rsidRPr="0051571A">
        <w:rPr>
          <w:i/>
          <w:iCs/>
        </w:rPr>
        <w:t>Cassava Sciences resolves SEC investigation | Cassava Sciences, Inc.</w:t>
      </w:r>
      <w:r w:rsidRPr="0051571A">
        <w:t xml:space="preserve"> (n.d.). Cassava Sciences, Inc. https://www.cassavasciences.com/news-releases/news-release-details/cassava-sciences-resolves-sec-investigation</w:t>
      </w:r>
    </w:p>
    <w:p w14:paraId="1C3D7849" w14:textId="77777777" w:rsidR="0051571A" w:rsidRDefault="0051571A" w:rsidP="00F84A37">
      <w:pPr>
        <w:spacing w:line="360" w:lineRule="auto"/>
        <w:jc w:val="both"/>
      </w:pPr>
    </w:p>
    <w:p w14:paraId="33B365D6" w14:textId="77777777" w:rsidR="00CE0D75" w:rsidRPr="00CE0D75" w:rsidRDefault="00CE0D75" w:rsidP="00CE0D75">
      <w:pPr>
        <w:spacing w:line="360" w:lineRule="auto"/>
        <w:jc w:val="both"/>
      </w:pPr>
      <w:r w:rsidRPr="00CE0D75">
        <w:rPr>
          <w:i/>
          <w:iCs/>
        </w:rPr>
        <w:t>Results posted | PTI-125 for mild-to-moderate Alzheimer’s disease patients | ClinicalTrials.gov</w:t>
      </w:r>
      <w:r w:rsidRPr="00CE0D75">
        <w:t>. (n.d.). https://clinicaltrials.gov/study/NCT04079803?term=Phase%202b%20of%20simufilam&amp;rank=1&amp;tab=results</w:t>
      </w:r>
    </w:p>
    <w:p w14:paraId="43375F8E" w14:textId="77777777" w:rsidR="00CE0D75" w:rsidRDefault="00CE0D75" w:rsidP="00F84A37">
      <w:pPr>
        <w:spacing w:line="360" w:lineRule="auto"/>
        <w:jc w:val="both"/>
      </w:pPr>
    </w:p>
    <w:p w14:paraId="648F2DC2" w14:textId="43E047DB" w:rsidR="008E6F47" w:rsidRPr="008E6F47" w:rsidRDefault="008E6F47" w:rsidP="00135675">
      <w:pPr>
        <w:spacing w:line="360" w:lineRule="auto"/>
      </w:pPr>
      <w:r w:rsidRPr="008E6F47">
        <w:rPr>
          <w:i/>
          <w:iCs/>
        </w:rPr>
        <w:t>Study Details | A Study of Aducanumab in Participants With Mild Cognitive Impairment Due to Alzheimer’s Disease or With Mild Alzheimer’s Disease Dementia to Evaluate the Safety of Continued Dosing in Participants With Asymptomatic Amyloid-Related Imaging Abnormalities | ClinicalTrials.gov</w:t>
      </w:r>
      <w:r w:rsidRPr="008E6F47">
        <w:t>. (</w:t>
      </w:r>
      <w:r w:rsidR="009C68A6">
        <w:t>2021</w:t>
      </w:r>
      <w:r w:rsidRPr="008E6F47">
        <w:t>). https://clinicaltrials.gov/study/NCT03639987?intr=Aducanumab%20&amp;aggFilters=phase:2&amp;rank=1</w:t>
      </w:r>
    </w:p>
    <w:p w14:paraId="55D9D335" w14:textId="77777777" w:rsidR="008E6F47" w:rsidRDefault="008E6F47" w:rsidP="00F84A37">
      <w:pPr>
        <w:spacing w:line="360" w:lineRule="auto"/>
        <w:jc w:val="both"/>
      </w:pPr>
    </w:p>
    <w:p w14:paraId="7AEB5166" w14:textId="2DF850EF" w:rsidR="00AF36B0" w:rsidRPr="00AF36B0" w:rsidRDefault="00AF36B0" w:rsidP="00135675">
      <w:pPr>
        <w:spacing w:line="360" w:lineRule="auto"/>
      </w:pPr>
      <w:r w:rsidRPr="00AF36B0">
        <w:rPr>
          <w:i/>
          <w:iCs/>
        </w:rPr>
        <w:t>Study details | 221AD301 Phase 3 study of aducanumab (BIIB037) in Early Alzheimer’s disease | ClinicalTrials.gov</w:t>
      </w:r>
      <w:r w:rsidRPr="00AF36B0">
        <w:t>. (</w:t>
      </w:r>
      <w:r w:rsidR="009556AC">
        <w:t>2019</w:t>
      </w:r>
      <w:r w:rsidRPr="00AF36B0">
        <w:t>). https://clinicaltrials.gov/study/NCT02477800?term=NCT02477800&amp;rank=1</w:t>
      </w:r>
    </w:p>
    <w:p w14:paraId="51BE47BB" w14:textId="77777777" w:rsidR="00AF36B0" w:rsidRDefault="00AF36B0" w:rsidP="00F84A37">
      <w:pPr>
        <w:spacing w:line="360" w:lineRule="auto"/>
        <w:jc w:val="both"/>
      </w:pPr>
    </w:p>
    <w:p w14:paraId="47CCEA62" w14:textId="7D664B78" w:rsidR="00135675" w:rsidRPr="00135675" w:rsidRDefault="00135675" w:rsidP="00135675">
      <w:pPr>
        <w:spacing w:line="360" w:lineRule="auto"/>
      </w:pPr>
      <w:r w:rsidRPr="00135675">
        <w:rPr>
          <w:i/>
          <w:iCs/>
        </w:rPr>
        <w:t>Study Details | 221AD302 Phase 3 study of Aducanumab (BIIB037) in Early Alzheimer’s disease | ClinicalTrials.gov</w:t>
      </w:r>
      <w:r w:rsidRPr="00135675">
        <w:t>. (</w:t>
      </w:r>
      <w:r>
        <w:t>2019</w:t>
      </w:r>
      <w:r w:rsidRPr="00135675">
        <w:t>).</w:t>
      </w:r>
      <w:r>
        <w:t xml:space="preserve"> </w:t>
      </w:r>
      <w:r w:rsidRPr="00135675">
        <w:t>https://clinicaltrials.gov/study/NCT02484547?term=NCT02484547&amp;rank=1</w:t>
      </w:r>
    </w:p>
    <w:p w14:paraId="50DE7EEC" w14:textId="77777777" w:rsidR="00135675" w:rsidRDefault="00135675" w:rsidP="00F84A37">
      <w:pPr>
        <w:spacing w:line="360" w:lineRule="auto"/>
        <w:jc w:val="both"/>
      </w:pPr>
    </w:p>
    <w:p w14:paraId="4F40099B" w14:textId="743C6776" w:rsidR="00285A38" w:rsidRDefault="00285A38" w:rsidP="00F84A37">
      <w:pPr>
        <w:spacing w:line="360" w:lineRule="auto"/>
        <w:jc w:val="both"/>
      </w:pPr>
      <w:hyperlink r:id="rId233" w:history="1">
        <w:r w:rsidRPr="00285A38">
          <w:rPr>
            <w:rStyle w:val="Hyperlink"/>
          </w:rPr>
          <w:t>Reporter.nih.gov Advanced search</w:t>
        </w:r>
      </w:hyperlink>
      <w:r w:rsidRPr="00285A38">
        <w:t> for NIH grants totaling over $20 million for Cassava Sciences.</w:t>
      </w:r>
    </w:p>
    <w:p w14:paraId="62C1ED37" w14:textId="77777777" w:rsidR="00285A38" w:rsidRDefault="00285A38" w:rsidP="00F84A37">
      <w:pPr>
        <w:spacing w:line="360" w:lineRule="auto"/>
        <w:jc w:val="both"/>
      </w:pPr>
    </w:p>
    <w:p w14:paraId="0B666230" w14:textId="77777777" w:rsidR="00B447DE" w:rsidRPr="00B447DE" w:rsidRDefault="00B447DE" w:rsidP="00B447DE">
      <w:pPr>
        <w:spacing w:line="360" w:lineRule="auto"/>
        <w:jc w:val="both"/>
      </w:pPr>
      <w:r w:rsidRPr="00B447DE">
        <w:rPr>
          <w:i/>
          <w:iCs/>
        </w:rPr>
        <w:t>Professor charged for operating Multimillion-Dollar grant fraud</w:t>
      </w:r>
      <w:r w:rsidRPr="00B447DE">
        <w:t>. (2024, June 28). https://www.justice.gov/opa/pr/professor-charged-operating-multimillion-dollar-grant-fraud-scheme</w:t>
      </w:r>
    </w:p>
    <w:p w14:paraId="1F8C76A8" w14:textId="77777777" w:rsidR="00285A38" w:rsidRDefault="00285A38" w:rsidP="00F84A37">
      <w:pPr>
        <w:spacing w:line="360" w:lineRule="auto"/>
        <w:jc w:val="both"/>
      </w:pPr>
    </w:p>
    <w:p w14:paraId="0BD2B3E7" w14:textId="77777777" w:rsidR="00126763" w:rsidRPr="00126763" w:rsidRDefault="00126763" w:rsidP="00126763">
      <w:pPr>
        <w:spacing w:line="480" w:lineRule="auto"/>
        <w:jc w:val="both"/>
      </w:pPr>
      <w:r w:rsidRPr="00126763">
        <w:lastRenderedPageBreak/>
        <w:t xml:space="preserve">Reuters. (2024, September 26). Cassava Sciences shares fall after SEC charges for misleading Alzheimer’s drug trial claims. </w:t>
      </w:r>
      <w:r w:rsidRPr="00126763">
        <w:rPr>
          <w:i/>
          <w:iCs/>
        </w:rPr>
        <w:t>Reuters</w:t>
      </w:r>
      <w:r w:rsidRPr="00126763">
        <w:t>. https://www.reuters.com/business/healthcare-pharmaceuticals/us-charges-cassava-sciences-two-former-executives-misleading-claims-about-2024-09-26/</w:t>
      </w:r>
    </w:p>
    <w:p w14:paraId="5C7D118C" w14:textId="77777777" w:rsidR="00126763" w:rsidRDefault="00126763" w:rsidP="00F84A37">
      <w:pPr>
        <w:spacing w:line="360" w:lineRule="auto"/>
        <w:jc w:val="both"/>
      </w:pPr>
    </w:p>
    <w:p w14:paraId="3211C591" w14:textId="77777777" w:rsidR="00210F02" w:rsidRPr="00210F02" w:rsidRDefault="00210F02" w:rsidP="00210F02">
      <w:pPr>
        <w:spacing w:line="360" w:lineRule="auto"/>
        <w:jc w:val="both"/>
      </w:pPr>
      <w:r w:rsidRPr="00210F02">
        <w:t xml:space="preserve">Office of the Commissioner. (2021, June 7). </w:t>
      </w:r>
      <w:r w:rsidRPr="00210F02">
        <w:rPr>
          <w:i/>
          <w:iCs/>
        </w:rPr>
        <w:t>FDA grants accelerated approval for Alzheimer’s drug</w:t>
      </w:r>
      <w:r w:rsidRPr="00210F02">
        <w:t>. U.S. Food And Drug Administration. https://www.fda.gov/news-events/press-announcements/fda-grants-accelerated-approval-alzheimers-drug</w:t>
      </w:r>
    </w:p>
    <w:p w14:paraId="342DF107" w14:textId="77777777" w:rsidR="00210F02" w:rsidRDefault="00210F02" w:rsidP="00F84A37">
      <w:pPr>
        <w:spacing w:line="360" w:lineRule="auto"/>
        <w:jc w:val="both"/>
      </w:pPr>
    </w:p>
    <w:p w14:paraId="23752414" w14:textId="77777777" w:rsidR="00950D83" w:rsidRPr="00950D83" w:rsidRDefault="00950D83" w:rsidP="00950D83">
      <w:pPr>
        <w:spacing w:line="360" w:lineRule="auto"/>
        <w:jc w:val="both"/>
      </w:pPr>
      <w:r w:rsidRPr="00950D83">
        <w:t xml:space="preserve">Mahase, E. (2021). FDA approves controversial Alzheimer’s drug despite uncertainty over effectiveness. </w:t>
      </w:r>
      <w:r w:rsidRPr="00950D83">
        <w:rPr>
          <w:i/>
          <w:iCs/>
        </w:rPr>
        <w:t>BMJ</w:t>
      </w:r>
      <w:r w:rsidRPr="00950D83">
        <w:t>, n1462. https://doi.org/10.1136/bmj.n1462</w:t>
      </w:r>
    </w:p>
    <w:p w14:paraId="3C175827" w14:textId="77777777" w:rsidR="00950D83" w:rsidRDefault="00950D83" w:rsidP="00F84A37">
      <w:pPr>
        <w:spacing w:line="360" w:lineRule="auto"/>
        <w:jc w:val="both"/>
      </w:pPr>
    </w:p>
    <w:p w14:paraId="7D14577A" w14:textId="77777777" w:rsidR="008716C3" w:rsidRPr="008716C3" w:rsidRDefault="008716C3" w:rsidP="008716C3">
      <w:pPr>
        <w:spacing w:line="360" w:lineRule="auto"/>
        <w:jc w:val="both"/>
      </w:pPr>
      <w:r w:rsidRPr="008716C3">
        <w:t xml:space="preserve">Dummy, C. (2024, October 17). </w:t>
      </w:r>
      <w:r w:rsidRPr="008716C3">
        <w:rPr>
          <w:i/>
          <w:iCs/>
        </w:rPr>
        <w:t>Controversial FDA approval for anti-Alzheimer’s drug aducanumab</w:t>
      </w:r>
      <w:r w:rsidRPr="008716C3">
        <w:t>. BCFI. https://www.bcfi.be/nl/controversial-fda-approval-for-anti-alzheimers-drug-aducanumab/</w:t>
      </w:r>
    </w:p>
    <w:p w14:paraId="5D264341" w14:textId="77777777" w:rsidR="008716C3" w:rsidRDefault="008716C3" w:rsidP="00F84A37">
      <w:pPr>
        <w:spacing w:line="360" w:lineRule="auto"/>
        <w:jc w:val="both"/>
      </w:pPr>
    </w:p>
    <w:p w14:paraId="2EF92F05" w14:textId="6AF8ED09" w:rsidR="00E41BFD" w:rsidRPr="00E41BFD" w:rsidRDefault="00E41BFD" w:rsidP="00E41BFD">
      <w:pPr>
        <w:spacing w:line="360" w:lineRule="auto"/>
        <w:jc w:val="both"/>
      </w:pPr>
      <w:r w:rsidRPr="00E41BFD">
        <w:rPr>
          <w:i/>
          <w:iCs/>
        </w:rPr>
        <w:t>Study details | A study to confirm safety and efficacy of lecanemab in participants with early Alzheimer’s disease | ClinicalTrials.gov</w:t>
      </w:r>
      <w:r w:rsidRPr="00E41BFD">
        <w:t>. (</w:t>
      </w:r>
      <w:r w:rsidR="00126204">
        <w:t>2024</w:t>
      </w:r>
      <w:r w:rsidRPr="00E41BFD">
        <w:t>). https://clinicaltrials.gov/study/NCT03887455</w:t>
      </w:r>
    </w:p>
    <w:p w14:paraId="28427981" w14:textId="77777777" w:rsidR="00E41BFD" w:rsidRDefault="00E41BFD" w:rsidP="00F84A37">
      <w:pPr>
        <w:spacing w:line="360" w:lineRule="auto"/>
        <w:jc w:val="both"/>
      </w:pPr>
    </w:p>
    <w:p w14:paraId="751B2B75" w14:textId="4C325E93" w:rsidR="00126204" w:rsidRPr="00126204" w:rsidRDefault="00126204" w:rsidP="00126204">
      <w:pPr>
        <w:spacing w:line="360" w:lineRule="auto"/>
        <w:jc w:val="both"/>
      </w:pPr>
      <w:r w:rsidRPr="00126204">
        <w:rPr>
          <w:i/>
          <w:iCs/>
        </w:rPr>
        <w:t>Study details | Safety and efficacy Study of gantenerumab in participants with Early Alzheimer’s disease (AD) | ClinicalTrials.gov</w:t>
      </w:r>
      <w:r w:rsidRPr="00126204">
        <w:t>. (</w:t>
      </w:r>
      <w:r>
        <w:t>2024</w:t>
      </w:r>
      <w:r w:rsidRPr="00126204">
        <w:t>). https://clinicaltrials.gov/study/NCT03443973</w:t>
      </w:r>
    </w:p>
    <w:p w14:paraId="7F4A26E4" w14:textId="77777777" w:rsidR="00126204" w:rsidRDefault="00126204" w:rsidP="00F84A37">
      <w:pPr>
        <w:spacing w:line="360" w:lineRule="auto"/>
        <w:jc w:val="both"/>
      </w:pPr>
    </w:p>
    <w:p w14:paraId="41FB05C8" w14:textId="089BF647" w:rsidR="0033319D" w:rsidRPr="0033319D" w:rsidRDefault="0033319D" w:rsidP="0033319D">
      <w:pPr>
        <w:spacing w:line="360" w:lineRule="auto"/>
        <w:jc w:val="both"/>
      </w:pPr>
      <w:r w:rsidRPr="0033319D">
        <w:rPr>
          <w:i/>
          <w:iCs/>
        </w:rPr>
        <w:t>Study details | Effect of LY2062430 on the progression of Alzheimer’s disease | ClinicalTrials.gov</w:t>
      </w:r>
      <w:r w:rsidRPr="0033319D">
        <w:t>. (</w:t>
      </w:r>
      <w:r w:rsidR="00132360">
        <w:t>2012</w:t>
      </w:r>
      <w:r w:rsidRPr="0033319D">
        <w:t>). https://clinicaltrials.gov/study/NCT00904683</w:t>
      </w:r>
    </w:p>
    <w:p w14:paraId="0779DF3A" w14:textId="77777777" w:rsidR="0033319D" w:rsidRDefault="0033319D" w:rsidP="00F84A37">
      <w:pPr>
        <w:spacing w:line="360" w:lineRule="auto"/>
        <w:jc w:val="both"/>
      </w:pPr>
    </w:p>
    <w:p w14:paraId="7B58AE36" w14:textId="63BB5762" w:rsidR="00115030" w:rsidRPr="00115030" w:rsidRDefault="00115030" w:rsidP="00115030">
      <w:pPr>
        <w:spacing w:line="360" w:lineRule="auto"/>
      </w:pPr>
      <w:r w:rsidRPr="00115030">
        <w:rPr>
          <w:i/>
          <w:iCs/>
        </w:rPr>
        <w:t>Study details | Progress of mild Alzheimer’s disease in participants on solanezumab versus placebo | ClinicalTrials.gov</w:t>
      </w:r>
      <w:r w:rsidRPr="00115030">
        <w:t>. (</w:t>
      </w:r>
      <w:r>
        <w:t>2019</w:t>
      </w:r>
      <w:r w:rsidRPr="00115030">
        <w:t>). https://clinicaltrials.gov/study/NCT01900665?term=NCT01900665&amp;rank=1</w:t>
      </w:r>
    </w:p>
    <w:p w14:paraId="770E66E0" w14:textId="77777777" w:rsidR="00115030" w:rsidRDefault="00115030" w:rsidP="00F84A37">
      <w:pPr>
        <w:spacing w:line="360" w:lineRule="auto"/>
        <w:jc w:val="both"/>
      </w:pPr>
    </w:p>
    <w:p w14:paraId="6609E0E6" w14:textId="4A6D6EF4" w:rsidR="00F3662D" w:rsidRPr="00F3662D" w:rsidRDefault="00F3662D" w:rsidP="00F3662D">
      <w:pPr>
        <w:spacing w:line="360" w:lineRule="auto"/>
        <w:jc w:val="both"/>
      </w:pPr>
      <w:r w:rsidRPr="00F3662D">
        <w:rPr>
          <w:i/>
          <w:iCs/>
        </w:rPr>
        <w:lastRenderedPageBreak/>
        <w:t>Study details | Study evaluating Bapineuzumab in Alzheimer disease subjects | ClinicalTrials.gov</w:t>
      </w:r>
      <w:r w:rsidRPr="00F3662D">
        <w:t>. (</w:t>
      </w:r>
      <w:r>
        <w:t>2010</w:t>
      </w:r>
      <w:r w:rsidRPr="00F3662D">
        <w:t>). https://clinicaltrials.gov/study/NCT00663026?term=NCT00663026&amp;rank=1</w:t>
      </w:r>
    </w:p>
    <w:p w14:paraId="4D04721B" w14:textId="77777777" w:rsidR="00F3662D" w:rsidRDefault="00F3662D" w:rsidP="00F84A37">
      <w:pPr>
        <w:spacing w:line="360" w:lineRule="auto"/>
        <w:jc w:val="both"/>
      </w:pPr>
    </w:p>
    <w:p w14:paraId="7FF44985" w14:textId="40031D2A" w:rsidR="00EF5225" w:rsidRPr="00EF5225" w:rsidRDefault="00EF5225" w:rsidP="00EF5225">
      <w:pPr>
        <w:spacing w:line="360" w:lineRule="auto"/>
        <w:jc w:val="both"/>
      </w:pPr>
      <w:r w:rsidRPr="00EF5225">
        <w:rPr>
          <w:i/>
          <w:iCs/>
        </w:rPr>
        <w:t>Why do so many Alzheimer’s clinical trials fail?</w:t>
      </w:r>
      <w:r w:rsidRPr="00EF5225">
        <w:t xml:space="preserve"> (</w:t>
      </w:r>
      <w:r>
        <w:t>2023</w:t>
      </w:r>
      <w:r w:rsidRPr="00EF5225">
        <w:t>). https://www.clinicalleader.com/doc/why-do-so-many-alzheimer-s-clinical-trials-fail-0001</w:t>
      </w:r>
    </w:p>
    <w:p w14:paraId="2A08B941" w14:textId="77777777" w:rsidR="00EF5225" w:rsidRDefault="00EF5225" w:rsidP="00F84A37">
      <w:pPr>
        <w:spacing w:line="360" w:lineRule="auto"/>
        <w:jc w:val="both"/>
      </w:pPr>
    </w:p>
    <w:p w14:paraId="5792AFF0" w14:textId="77777777" w:rsidR="00FE7C25" w:rsidRPr="00FE7C25" w:rsidRDefault="00FE7C25" w:rsidP="00FE7C25">
      <w:pPr>
        <w:spacing w:line="360" w:lineRule="auto"/>
        <w:jc w:val="both"/>
      </w:pPr>
      <w:r w:rsidRPr="00FE7C25">
        <w:t xml:space="preserve">Kim, C. K., Lee, Y. R., Ong, L., Gold, M., Kalali, A., &amp; Sarkar, J. (2022). Alzheimer’s Disease: Key Insights from Two Decades of Clinical Trial Failures. </w:t>
      </w:r>
      <w:r w:rsidRPr="00FE7C25">
        <w:rPr>
          <w:i/>
          <w:iCs/>
        </w:rPr>
        <w:t>Journal of Alzheimer S Disease</w:t>
      </w:r>
      <w:r w:rsidRPr="00FE7C25">
        <w:t xml:space="preserve">, </w:t>
      </w:r>
      <w:r w:rsidRPr="00FE7C25">
        <w:rPr>
          <w:i/>
          <w:iCs/>
        </w:rPr>
        <w:t>87</w:t>
      </w:r>
      <w:r w:rsidRPr="00FE7C25">
        <w:t>(1), 83–100. https://doi.org/10.3233/jad-215699</w:t>
      </w:r>
    </w:p>
    <w:p w14:paraId="5877953E" w14:textId="77777777" w:rsidR="00FE7C25" w:rsidRDefault="00FE7C25" w:rsidP="00F84A37">
      <w:pPr>
        <w:spacing w:line="360" w:lineRule="auto"/>
        <w:jc w:val="both"/>
      </w:pPr>
    </w:p>
    <w:p w14:paraId="62CB5177" w14:textId="77777777" w:rsidR="00465B77" w:rsidRPr="00465B77" w:rsidRDefault="00465B77" w:rsidP="00465B77">
      <w:pPr>
        <w:spacing w:line="360" w:lineRule="auto"/>
        <w:jc w:val="both"/>
      </w:pPr>
      <w:r w:rsidRPr="00465B77">
        <w:rPr>
          <w:i/>
          <w:iCs/>
        </w:rPr>
        <w:t>Additional detailed analyses from Phase 2 Study 201 of Lecanemab published as three papers in Peer-Reviewed journals | Biogen</w:t>
      </w:r>
      <w:r w:rsidRPr="00465B77">
        <w:t>. (n.d.). Biogen. https://investors.biogen.com/news-releases/news-release-details/additional-detailed-analyses-phase-2-study-201-lecanemab</w:t>
      </w:r>
    </w:p>
    <w:p w14:paraId="4A148B7B" w14:textId="77777777" w:rsidR="00465B77" w:rsidRDefault="00465B77" w:rsidP="00F84A37">
      <w:pPr>
        <w:spacing w:line="360" w:lineRule="auto"/>
        <w:jc w:val="both"/>
      </w:pPr>
    </w:p>
    <w:p w14:paraId="79ABF3EC" w14:textId="77777777" w:rsidR="00CE6E9D" w:rsidRPr="00CE6E9D" w:rsidRDefault="00CE6E9D" w:rsidP="00CE6E9D">
      <w:pPr>
        <w:spacing w:line="360" w:lineRule="auto"/>
        <w:jc w:val="both"/>
      </w:pPr>
      <w:r w:rsidRPr="00CE6E9D">
        <w:rPr>
          <w:i/>
          <w:iCs/>
        </w:rPr>
        <w:t>EISAI presents full results of Lecanemab Phase 3 Confirmatory Clarity AD Study for Early Alzheimer’s Disease at Clinical Trials on Alzheimer’s Disease (CTAD) Conference | BioGen</w:t>
      </w:r>
      <w:r w:rsidRPr="00CE6E9D">
        <w:t>. (n.d.). Biogen. https://investors.biogen.com/news-releases/news-release-details/eisai-presents-full-results-lecanemab-phase-3-confirmatory</w:t>
      </w:r>
    </w:p>
    <w:p w14:paraId="08F4FAA0" w14:textId="77777777" w:rsidR="00CE6E9D" w:rsidRDefault="00CE6E9D" w:rsidP="00F84A37">
      <w:pPr>
        <w:spacing w:line="360" w:lineRule="auto"/>
        <w:jc w:val="both"/>
      </w:pPr>
    </w:p>
    <w:p w14:paraId="7E88F6FC" w14:textId="77777777" w:rsidR="004668C4" w:rsidRPr="004668C4" w:rsidRDefault="004668C4" w:rsidP="004668C4">
      <w:pPr>
        <w:spacing w:line="360" w:lineRule="auto"/>
        <w:jc w:val="both"/>
      </w:pPr>
      <w:r w:rsidRPr="004668C4">
        <w:t xml:space="preserve">Bakshi, K., Kosciuk, M., Nagele, R. G., Friedman, E., &amp; Wang, H. (2011). Prenatal cocaine exposure increases synaptic localization of a neuronal RASGEF, GRASP-1 via hyperphosphorylation of AMPAR anchoring protein, GRIP. </w:t>
      </w:r>
      <w:r w:rsidRPr="004668C4">
        <w:rPr>
          <w:i/>
          <w:iCs/>
        </w:rPr>
        <w:t>PLoS ONE</w:t>
      </w:r>
      <w:r w:rsidRPr="004668C4">
        <w:t xml:space="preserve">, </w:t>
      </w:r>
      <w:r w:rsidRPr="004668C4">
        <w:rPr>
          <w:i/>
          <w:iCs/>
        </w:rPr>
        <w:t>6</w:t>
      </w:r>
      <w:r w:rsidRPr="004668C4">
        <w:t>(9), e25019. https://doi.org/10.1371/journal.pone.0025019</w:t>
      </w:r>
    </w:p>
    <w:p w14:paraId="0AD85116" w14:textId="77777777" w:rsidR="004668C4" w:rsidRDefault="004668C4" w:rsidP="00F84A37">
      <w:pPr>
        <w:spacing w:line="360" w:lineRule="auto"/>
        <w:jc w:val="both"/>
      </w:pPr>
    </w:p>
    <w:p w14:paraId="53B3F6C8" w14:textId="77777777" w:rsidR="008865E3" w:rsidRPr="008865E3" w:rsidRDefault="008865E3" w:rsidP="008865E3">
      <w:pPr>
        <w:spacing w:line="360" w:lineRule="auto"/>
        <w:jc w:val="both"/>
      </w:pPr>
      <w:r w:rsidRPr="008865E3">
        <w:t xml:space="preserve">Retraction: prenatal cocaine exposure increases synaptic localization of a neuronal RASGEF, GRASP-1 via hyperphosphorylation of AMPAR anchoring protein, GRIP. (2022). </w:t>
      </w:r>
      <w:r w:rsidRPr="008865E3">
        <w:rPr>
          <w:i/>
          <w:iCs/>
        </w:rPr>
        <w:t>PLoS ONE</w:t>
      </w:r>
      <w:r w:rsidRPr="008865E3">
        <w:t xml:space="preserve">, </w:t>
      </w:r>
      <w:r w:rsidRPr="008865E3">
        <w:rPr>
          <w:i/>
          <w:iCs/>
        </w:rPr>
        <w:t>17</w:t>
      </w:r>
      <w:r w:rsidRPr="008865E3">
        <w:t>(3), e0266630. https://doi.org/10.1371/journal.pone.0266630</w:t>
      </w:r>
    </w:p>
    <w:p w14:paraId="36983E82" w14:textId="77777777" w:rsidR="008865E3" w:rsidRDefault="008865E3" w:rsidP="00F84A37">
      <w:pPr>
        <w:spacing w:line="360" w:lineRule="auto"/>
        <w:jc w:val="both"/>
      </w:pPr>
    </w:p>
    <w:p w14:paraId="3DB3A5E2" w14:textId="77777777" w:rsidR="00553DCE" w:rsidRPr="00553DCE" w:rsidRDefault="00553DCE" w:rsidP="00553DCE">
      <w:pPr>
        <w:spacing w:line="360" w:lineRule="auto"/>
        <w:jc w:val="both"/>
      </w:pPr>
      <w:r w:rsidRPr="00553DCE">
        <w:t xml:space="preserve">Bakshi, K., Parihar, R., Goswami, S. K., Walsh, M., Friedman, E., &amp; Wang, H. (2014). Prenatal Cocaine Exposure Uncouples mGluR1 from Homer1 and Gq Proteins. </w:t>
      </w:r>
      <w:r w:rsidRPr="00553DCE">
        <w:rPr>
          <w:i/>
          <w:iCs/>
        </w:rPr>
        <w:t>PLoS ONE</w:t>
      </w:r>
      <w:r w:rsidRPr="00553DCE">
        <w:t xml:space="preserve">, </w:t>
      </w:r>
      <w:r w:rsidRPr="00553DCE">
        <w:rPr>
          <w:i/>
          <w:iCs/>
        </w:rPr>
        <w:t>9</w:t>
      </w:r>
      <w:r w:rsidRPr="00553DCE">
        <w:t>(3), e91671. https://doi.org/10.1371/journal.pone.0091671</w:t>
      </w:r>
    </w:p>
    <w:p w14:paraId="3689AF4E" w14:textId="77777777" w:rsidR="00553DCE" w:rsidRDefault="00553DCE" w:rsidP="00F84A37">
      <w:pPr>
        <w:spacing w:line="360" w:lineRule="auto"/>
        <w:jc w:val="both"/>
      </w:pPr>
    </w:p>
    <w:p w14:paraId="39C30184" w14:textId="77777777" w:rsidR="000B2CA0" w:rsidRPr="000B2CA0" w:rsidRDefault="000B2CA0" w:rsidP="000B2CA0">
      <w:pPr>
        <w:spacing w:line="360" w:lineRule="auto"/>
        <w:jc w:val="both"/>
      </w:pPr>
      <w:r w:rsidRPr="000B2CA0">
        <w:t xml:space="preserve">Retraction: Prenatal Cocaine Exposure Uncouples mGluR1 from Homer1 and Gq Proteins. (2022). </w:t>
      </w:r>
      <w:r w:rsidRPr="000B2CA0">
        <w:rPr>
          <w:i/>
          <w:iCs/>
        </w:rPr>
        <w:t>PLoS ONE</w:t>
      </w:r>
      <w:r w:rsidRPr="000B2CA0">
        <w:t xml:space="preserve">, </w:t>
      </w:r>
      <w:r w:rsidRPr="000B2CA0">
        <w:rPr>
          <w:i/>
          <w:iCs/>
        </w:rPr>
        <w:t>17</w:t>
      </w:r>
      <w:r w:rsidRPr="000B2CA0">
        <w:t>(3), e0266628. https://doi.org/10.1371/journal.pone.0266628</w:t>
      </w:r>
    </w:p>
    <w:p w14:paraId="0BB24460" w14:textId="77777777" w:rsidR="000B2CA0" w:rsidRDefault="000B2CA0" w:rsidP="00F84A37">
      <w:pPr>
        <w:spacing w:line="360" w:lineRule="auto"/>
        <w:jc w:val="both"/>
      </w:pPr>
    </w:p>
    <w:p w14:paraId="2398CE93" w14:textId="77777777" w:rsidR="00861E3B" w:rsidRPr="00861E3B" w:rsidRDefault="00861E3B" w:rsidP="00861E3B">
      <w:pPr>
        <w:spacing w:line="360" w:lineRule="auto"/>
        <w:jc w:val="both"/>
      </w:pPr>
      <w:r w:rsidRPr="00861E3B">
        <w:t xml:space="preserve">Wang, H., Bakshi, K., Frankfurt, M., Stucky, A., Goberdhan, M., Shah, S. M., &amp; Burns, L. H. (2012). Reducing Amyloid-Related Alzheimer’s disease pathogenesis by a small molecule targeting filamin A. </w:t>
      </w:r>
      <w:r w:rsidRPr="00861E3B">
        <w:rPr>
          <w:i/>
          <w:iCs/>
        </w:rPr>
        <w:t>Journal of Neuroscience</w:t>
      </w:r>
      <w:r w:rsidRPr="00861E3B">
        <w:t xml:space="preserve">, </w:t>
      </w:r>
      <w:r w:rsidRPr="00861E3B">
        <w:rPr>
          <w:i/>
          <w:iCs/>
        </w:rPr>
        <w:t>32</w:t>
      </w:r>
      <w:r w:rsidRPr="00861E3B">
        <w:t>(29), 9773–9784. https://doi.org/10.1523/jneurosci.0354-12.2012</w:t>
      </w:r>
    </w:p>
    <w:p w14:paraId="238ED971" w14:textId="77777777" w:rsidR="004E2F33" w:rsidRDefault="004E2F33" w:rsidP="00F84A37">
      <w:pPr>
        <w:spacing w:line="360" w:lineRule="auto"/>
        <w:jc w:val="both"/>
      </w:pPr>
    </w:p>
    <w:p w14:paraId="4EB96674" w14:textId="77777777" w:rsidR="00146036" w:rsidRPr="00146036" w:rsidRDefault="00146036" w:rsidP="00146036">
      <w:pPr>
        <w:spacing w:line="360" w:lineRule="auto"/>
        <w:jc w:val="both"/>
      </w:pPr>
      <w:r w:rsidRPr="00146036">
        <w:t xml:space="preserve">Expression of Concern: Wang et al., “Reducing Amyloid-Related Alzheimer’s Disease Pathogenesis by a Small Molecule Targeting Filamin A.” (2021). </w:t>
      </w:r>
      <w:r w:rsidRPr="00146036">
        <w:rPr>
          <w:i/>
          <w:iCs/>
        </w:rPr>
        <w:t>Journal of Neuroscience</w:t>
      </w:r>
      <w:r w:rsidRPr="00146036">
        <w:t xml:space="preserve">, </w:t>
      </w:r>
      <w:r w:rsidRPr="00146036">
        <w:rPr>
          <w:i/>
          <w:iCs/>
        </w:rPr>
        <w:t>42</w:t>
      </w:r>
      <w:r w:rsidRPr="00146036">
        <w:t>(3), 529. https://doi.org/10.1523/jneurosci.2306-21.2021</w:t>
      </w:r>
    </w:p>
    <w:p w14:paraId="02CFDB84" w14:textId="77777777" w:rsidR="00146036" w:rsidRDefault="00146036" w:rsidP="00F84A37">
      <w:pPr>
        <w:spacing w:line="360" w:lineRule="auto"/>
        <w:jc w:val="both"/>
      </w:pPr>
    </w:p>
    <w:p w14:paraId="396C0D3E" w14:textId="77777777" w:rsidR="00267A73" w:rsidRPr="00267A73" w:rsidRDefault="00267A73" w:rsidP="00267A73">
      <w:pPr>
        <w:spacing w:line="360" w:lineRule="auto"/>
        <w:jc w:val="both"/>
      </w:pPr>
      <w:r w:rsidRPr="00267A73">
        <w:t xml:space="preserve">Wang, H., Bakshi, K., Shen, C., Frankfurt, M., Trocmé-Thibierge, C., &amp; Morain, P. (2009). S 24795 limits Β-Amyloid–Α7 nicotinic receptor interaction and reduces Alzheimer’s Disease-Like pathologies. </w:t>
      </w:r>
      <w:r w:rsidRPr="00267A73">
        <w:rPr>
          <w:i/>
          <w:iCs/>
        </w:rPr>
        <w:t>Biological Psychiatry</w:t>
      </w:r>
      <w:r w:rsidRPr="00267A73">
        <w:t xml:space="preserve">, </w:t>
      </w:r>
      <w:r w:rsidRPr="00267A73">
        <w:rPr>
          <w:i/>
          <w:iCs/>
        </w:rPr>
        <w:t>67</w:t>
      </w:r>
      <w:r w:rsidRPr="00267A73">
        <w:t>(6), 522–530. https://doi.org/10.1016/j.biopsych.2009.09.031</w:t>
      </w:r>
    </w:p>
    <w:p w14:paraId="001EE2A2" w14:textId="77777777" w:rsidR="00267A73" w:rsidRDefault="00267A73" w:rsidP="00F84A37">
      <w:pPr>
        <w:spacing w:line="360" w:lineRule="auto"/>
        <w:jc w:val="both"/>
      </w:pPr>
    </w:p>
    <w:p w14:paraId="22842741" w14:textId="77777777" w:rsidR="00D10C47" w:rsidRPr="00D10C47" w:rsidRDefault="00D10C47" w:rsidP="00D10C47">
      <w:pPr>
        <w:spacing w:line="360" w:lineRule="auto"/>
        <w:jc w:val="both"/>
      </w:pPr>
      <w:r w:rsidRPr="00D10C47">
        <w:t xml:space="preserve">Expression of concern. (2024). </w:t>
      </w:r>
      <w:r w:rsidRPr="00D10C47">
        <w:rPr>
          <w:i/>
          <w:iCs/>
        </w:rPr>
        <w:t>Biological Psychiatry</w:t>
      </w:r>
      <w:r w:rsidRPr="00D10C47">
        <w:t xml:space="preserve">, </w:t>
      </w:r>
      <w:r w:rsidRPr="00D10C47">
        <w:rPr>
          <w:i/>
          <w:iCs/>
        </w:rPr>
        <w:t>96</w:t>
      </w:r>
      <w:r w:rsidRPr="00D10C47">
        <w:t>(4), 322. https://doi.org/10.1016/j.biopsych.2024.06.006</w:t>
      </w:r>
    </w:p>
    <w:p w14:paraId="23162295" w14:textId="77777777" w:rsidR="00D10C47" w:rsidRDefault="00D10C47" w:rsidP="00F84A37">
      <w:pPr>
        <w:spacing w:line="360" w:lineRule="auto"/>
        <w:jc w:val="both"/>
      </w:pPr>
    </w:p>
    <w:p w14:paraId="69A95FC3" w14:textId="77777777" w:rsidR="000B427D" w:rsidRPr="000B427D" w:rsidRDefault="000B427D" w:rsidP="000B427D">
      <w:pPr>
        <w:spacing w:line="360" w:lineRule="auto"/>
        <w:jc w:val="both"/>
      </w:pPr>
      <w:r w:rsidRPr="000B427D">
        <w:t xml:space="preserve">Retraction: Naloxone’s pentapeptide binding site on filamin A blocks MU opioid Receptor–GS coupling and CREB activation of acute morphine. (2022). </w:t>
      </w:r>
      <w:r w:rsidRPr="000B427D">
        <w:rPr>
          <w:i/>
          <w:iCs/>
        </w:rPr>
        <w:t>PLoS ONE</w:t>
      </w:r>
      <w:r w:rsidRPr="000B427D">
        <w:t xml:space="preserve">, </w:t>
      </w:r>
      <w:r w:rsidRPr="000B427D">
        <w:rPr>
          <w:i/>
          <w:iCs/>
        </w:rPr>
        <w:t>17</w:t>
      </w:r>
      <w:r w:rsidRPr="000B427D">
        <w:t>(3), e0266629. https://doi.org/10.1371/journal.pone.0266629</w:t>
      </w:r>
    </w:p>
    <w:p w14:paraId="186C09C6" w14:textId="77777777" w:rsidR="000B427D" w:rsidRPr="001836F4" w:rsidRDefault="000B427D" w:rsidP="00F84A37">
      <w:pPr>
        <w:spacing w:line="360" w:lineRule="auto"/>
        <w:jc w:val="both"/>
      </w:pPr>
    </w:p>
    <w:sectPr w:rsidR="000B427D" w:rsidRPr="001836F4">
      <w:headerReference w:type="default" r:id="rId234"/>
      <w:footerReference w:type="default" r:id="rId235"/>
      <w:headerReference w:type="first" r:id="rId236"/>
      <w:footerReference w:type="first" r:id="rId23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4A8894" w14:textId="77777777" w:rsidR="00DE244D" w:rsidRDefault="00DE244D" w:rsidP="00133ACF">
      <w:r>
        <w:separator/>
      </w:r>
    </w:p>
  </w:endnote>
  <w:endnote w:type="continuationSeparator" w:id="0">
    <w:p w14:paraId="7DDF04E9" w14:textId="77777777" w:rsidR="00DE244D" w:rsidRDefault="00DE244D" w:rsidP="00133ACF">
      <w:r>
        <w:continuationSeparator/>
      </w:r>
    </w:p>
  </w:endnote>
  <w:endnote w:type="continuationNotice" w:id="1">
    <w:p w14:paraId="0CF82CD3" w14:textId="77777777" w:rsidR="00DE244D" w:rsidRDefault="00DE24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C5F89C6" w14:paraId="2E4D725D" w14:textId="77777777" w:rsidTr="2C5F89C6">
      <w:trPr>
        <w:trHeight w:val="300"/>
      </w:trPr>
      <w:tc>
        <w:tcPr>
          <w:tcW w:w="3120" w:type="dxa"/>
        </w:tcPr>
        <w:p w14:paraId="332042D2" w14:textId="0F56DD25" w:rsidR="2C5F89C6" w:rsidRDefault="2C5F89C6" w:rsidP="2C5F89C6">
          <w:pPr>
            <w:pStyle w:val="Header"/>
            <w:ind w:left="-115"/>
          </w:pPr>
        </w:p>
      </w:tc>
      <w:tc>
        <w:tcPr>
          <w:tcW w:w="3120" w:type="dxa"/>
        </w:tcPr>
        <w:p w14:paraId="6442CA25" w14:textId="639D0BFC" w:rsidR="2C5F89C6" w:rsidRDefault="2C5F89C6" w:rsidP="2C5F89C6">
          <w:pPr>
            <w:pStyle w:val="Header"/>
            <w:jc w:val="center"/>
          </w:pPr>
        </w:p>
      </w:tc>
      <w:tc>
        <w:tcPr>
          <w:tcW w:w="3120" w:type="dxa"/>
        </w:tcPr>
        <w:p w14:paraId="0B8ED580" w14:textId="2AF5B0FF" w:rsidR="2C5F89C6" w:rsidRDefault="2C5F89C6" w:rsidP="2C5F89C6">
          <w:pPr>
            <w:pStyle w:val="Header"/>
            <w:ind w:right="-115"/>
            <w:jc w:val="right"/>
          </w:pPr>
          <w:r>
            <w:fldChar w:fldCharType="begin"/>
          </w:r>
          <w:r>
            <w:instrText>PAGE</w:instrText>
          </w:r>
          <w:r>
            <w:fldChar w:fldCharType="separate"/>
          </w:r>
          <w:r w:rsidR="00710796">
            <w:rPr>
              <w:noProof/>
            </w:rPr>
            <w:t>2</w:t>
          </w:r>
          <w:r>
            <w:fldChar w:fldCharType="end"/>
          </w:r>
        </w:p>
      </w:tc>
    </w:tr>
  </w:tbl>
  <w:p w14:paraId="3419CF81" w14:textId="60C0370A" w:rsidR="00133ACF" w:rsidRDefault="00133A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94A9BC4" w14:paraId="1A3BBE3D" w14:textId="77777777" w:rsidTr="494A9BC4">
      <w:trPr>
        <w:trHeight w:val="300"/>
      </w:trPr>
      <w:tc>
        <w:tcPr>
          <w:tcW w:w="3120" w:type="dxa"/>
        </w:tcPr>
        <w:p w14:paraId="4D1C69C5" w14:textId="395BC5DD" w:rsidR="494A9BC4" w:rsidRDefault="494A9BC4" w:rsidP="494A9BC4">
          <w:pPr>
            <w:pStyle w:val="Header"/>
            <w:ind w:left="-115"/>
          </w:pPr>
        </w:p>
      </w:tc>
      <w:tc>
        <w:tcPr>
          <w:tcW w:w="3120" w:type="dxa"/>
        </w:tcPr>
        <w:p w14:paraId="11AEB8AB" w14:textId="2218069E" w:rsidR="494A9BC4" w:rsidRDefault="494A9BC4" w:rsidP="494A9BC4">
          <w:pPr>
            <w:pStyle w:val="Header"/>
            <w:jc w:val="center"/>
          </w:pPr>
        </w:p>
      </w:tc>
      <w:tc>
        <w:tcPr>
          <w:tcW w:w="3120" w:type="dxa"/>
        </w:tcPr>
        <w:p w14:paraId="4DB021FB" w14:textId="6A75F86A" w:rsidR="494A9BC4" w:rsidRDefault="494A9BC4" w:rsidP="494A9BC4">
          <w:pPr>
            <w:pStyle w:val="Header"/>
            <w:ind w:right="-115"/>
            <w:jc w:val="right"/>
          </w:pPr>
        </w:p>
      </w:tc>
    </w:tr>
  </w:tbl>
  <w:p w14:paraId="13B9F4C6" w14:textId="1B8DA527" w:rsidR="002F4F5E" w:rsidRDefault="002F4F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7A0714" w14:textId="77777777" w:rsidR="00DE244D" w:rsidRDefault="00DE244D" w:rsidP="00133ACF">
      <w:r>
        <w:separator/>
      </w:r>
    </w:p>
  </w:footnote>
  <w:footnote w:type="continuationSeparator" w:id="0">
    <w:p w14:paraId="6E2B6FAB" w14:textId="77777777" w:rsidR="00DE244D" w:rsidRDefault="00DE244D" w:rsidP="00133ACF">
      <w:r>
        <w:continuationSeparator/>
      </w:r>
    </w:p>
  </w:footnote>
  <w:footnote w:type="continuationNotice" w:id="1">
    <w:p w14:paraId="12F7AB0B" w14:textId="77777777" w:rsidR="00DE244D" w:rsidRDefault="00DE24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35E6BA" w14:textId="77777777" w:rsidR="63EFC6DD" w:rsidRDefault="494A9BC4" w:rsidP="494A9BC4">
    <w:pPr>
      <w:pStyle w:val="Header"/>
      <w:ind w:right="-115"/>
      <w:jc w:val="right"/>
      <w:rPr>
        <w:b/>
        <w:bCs/>
      </w:rPr>
    </w:pPr>
    <w:r w:rsidRPr="494A9BC4">
      <w:rPr>
        <w:b/>
        <w:bCs/>
      </w:rPr>
      <w:t>Disclaimer: This paper discusses our analysis of SAVA. It is important to disclose that we have a financial interest in this matter, as we will profit if the stock price declines.</w:t>
    </w:r>
  </w:p>
  <w:p w14:paraId="280AC263" w14:textId="3BC9EB95" w:rsidR="00133ACF" w:rsidRDefault="00133ACF" w:rsidP="40B45BC8">
    <w:pPr>
      <w:pStyle w:val="Header"/>
      <w:spacing w:line="259" w:lineRule="auto"/>
      <w:jc w:val="center"/>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94A9BC4" w14:paraId="19624874" w14:textId="77777777" w:rsidTr="494A9BC4">
      <w:trPr>
        <w:trHeight w:val="300"/>
      </w:trPr>
      <w:tc>
        <w:tcPr>
          <w:tcW w:w="3120" w:type="dxa"/>
        </w:tcPr>
        <w:p w14:paraId="5FCBEE50" w14:textId="164BB1A2" w:rsidR="494A9BC4" w:rsidRDefault="494A9BC4" w:rsidP="494A9BC4">
          <w:pPr>
            <w:pStyle w:val="Header"/>
            <w:ind w:left="-115"/>
          </w:pPr>
        </w:p>
      </w:tc>
      <w:tc>
        <w:tcPr>
          <w:tcW w:w="3120" w:type="dxa"/>
        </w:tcPr>
        <w:p w14:paraId="62766094" w14:textId="6DCA5C63" w:rsidR="494A9BC4" w:rsidRDefault="494A9BC4" w:rsidP="494A9BC4">
          <w:pPr>
            <w:pStyle w:val="Header"/>
            <w:jc w:val="center"/>
          </w:pPr>
        </w:p>
      </w:tc>
      <w:tc>
        <w:tcPr>
          <w:tcW w:w="3120" w:type="dxa"/>
        </w:tcPr>
        <w:p w14:paraId="24FE8964" w14:textId="1A42F68D" w:rsidR="494A9BC4" w:rsidRDefault="494A9BC4" w:rsidP="494A9BC4">
          <w:pPr>
            <w:pStyle w:val="Header"/>
            <w:ind w:right="-115"/>
            <w:jc w:val="right"/>
          </w:pPr>
        </w:p>
      </w:tc>
    </w:tr>
  </w:tbl>
  <w:p w14:paraId="0CB60FB9" w14:textId="3119B6EE" w:rsidR="002F4F5E" w:rsidRDefault="002F4F5E">
    <w:pPr>
      <w:pStyle w:val="Header"/>
    </w:pPr>
  </w:p>
</w:hdr>
</file>

<file path=word/intelligence2.xml><?xml version="1.0" encoding="utf-8"?>
<int2:intelligence xmlns:int2="http://schemas.microsoft.com/office/intelligence/2020/intelligence" xmlns:oel="http://schemas.microsoft.com/office/2019/extlst">
  <int2:observations>
    <int2:textHash int2:hashCode="VWP59ji7VFKCED" int2:id="4w4nKlMs">
      <int2:state int2:value="Rejected" int2:type="AugLoop_Text_Critique"/>
    </int2:textHash>
    <int2:textHash int2:hashCode="m/JpWkf/NHrRg7" int2:id="7hbzkgZV">
      <int2:state int2:value="Rejected" int2:type="AugLoop_Text_Critique"/>
    </int2:textHash>
    <int2:textHash int2:hashCode="8pHKzTPe3pKkdH" int2:id="D6KxMM9M">
      <int2:state int2:value="Rejected" int2:type="AugLoop_Text_Critique"/>
    </int2:textHash>
    <int2:textHash int2:hashCode="k0z/LevnhTW4lr" int2:id="Kevrzmxj">
      <int2:state int2:value="Rejected" int2:type="AugLoop_Text_Critique"/>
    </int2:textHash>
    <int2:textHash int2:hashCode="00hEdntWvjJuao" int2:id="RTzmne24">
      <int2:state int2:value="Rejected" int2:type="AugLoop_Text_Critique"/>
    </int2:textHash>
    <int2:textHash int2:hashCode="49hNy7MvSsLkIk" int2:id="gYzp24it">
      <int2:state int2:value="Rejected" int2:type="AugLoop_Text_Critique"/>
    </int2:textHash>
    <int2:textHash int2:hashCode="a2p3VACIzDb+lg" int2:id="ktYqrejM">
      <int2:state int2:value="Rejected" int2:type="AugLoop_Text_Critique"/>
    </int2:textHash>
    <int2:bookmark int2:bookmarkName="_Int_eQ6xeb6a" int2:invalidationBookmarkName="" int2:hashCode="u8zfLvsztS5snQ" int2:id="52Vdrx2h">
      <int2:state int2:value="Rejected" int2:type="AugLoop_Text_Critique"/>
    </int2:bookmark>
    <int2:bookmark int2:bookmarkName="_Int_I6YR7YlR" int2:invalidationBookmarkName="" int2:hashCode="E1+Tt6RJBbZOzq" int2:id="ZNVdB0Df">
      <int2:state int2:value="Rejected" int2:type="AugLoop_Text_Critique"/>
    </int2:bookmark>
    <int2:bookmark int2:bookmarkName="_Int_KyVweisV" int2:invalidationBookmarkName="" int2:hashCode="3wVcZpQj/aEI7R" int2:id="kWuThomn">
      <int2:state int2:value="Rejected" int2:type="AugLoop_Text_Critique"/>
    </int2:bookmark>
    <int2:bookmark int2:bookmarkName="_Int_X2dnPZBV" int2:invalidationBookmarkName="" int2:hashCode="IMCkvJlCceJf9Q" int2:id="LiaMCF3b">
      <int2:state int2:value="Rejected" int2:type="AugLoop_Text_Critique"/>
    </int2:bookmark>
    <int2:bookmark int2:bookmarkName="_Int_s6bzEmgB" int2:invalidationBookmarkName="" int2:hashCode="dTPj8aH7LAuN3v" int2:id="ghPnSJk5">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F70EC"/>
    <w:multiLevelType w:val="multilevel"/>
    <w:tmpl w:val="AD425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6FFB5"/>
    <w:multiLevelType w:val="hybridMultilevel"/>
    <w:tmpl w:val="145447C4"/>
    <w:lvl w:ilvl="0" w:tplc="C13214F4">
      <w:start w:val="4"/>
      <w:numFmt w:val="decimal"/>
      <w:lvlText w:val="%1."/>
      <w:lvlJc w:val="left"/>
      <w:pPr>
        <w:ind w:left="720" w:hanging="360"/>
      </w:pPr>
    </w:lvl>
    <w:lvl w:ilvl="1" w:tplc="17E285BE">
      <w:start w:val="1"/>
      <w:numFmt w:val="lowerLetter"/>
      <w:lvlText w:val="%2."/>
      <w:lvlJc w:val="left"/>
      <w:pPr>
        <w:ind w:left="1440" w:hanging="360"/>
      </w:pPr>
    </w:lvl>
    <w:lvl w:ilvl="2" w:tplc="2EAAA4B8">
      <w:start w:val="1"/>
      <w:numFmt w:val="lowerRoman"/>
      <w:lvlText w:val="%3."/>
      <w:lvlJc w:val="right"/>
      <w:pPr>
        <w:ind w:left="2160" w:hanging="180"/>
      </w:pPr>
    </w:lvl>
    <w:lvl w:ilvl="3" w:tplc="9BD26432">
      <w:start w:val="1"/>
      <w:numFmt w:val="decimal"/>
      <w:lvlText w:val="%4."/>
      <w:lvlJc w:val="left"/>
      <w:pPr>
        <w:ind w:left="2880" w:hanging="360"/>
      </w:pPr>
    </w:lvl>
    <w:lvl w:ilvl="4" w:tplc="37701ABA">
      <w:start w:val="1"/>
      <w:numFmt w:val="lowerLetter"/>
      <w:lvlText w:val="%5."/>
      <w:lvlJc w:val="left"/>
      <w:pPr>
        <w:ind w:left="3600" w:hanging="360"/>
      </w:pPr>
    </w:lvl>
    <w:lvl w:ilvl="5" w:tplc="96060CDE">
      <w:start w:val="1"/>
      <w:numFmt w:val="lowerRoman"/>
      <w:lvlText w:val="%6."/>
      <w:lvlJc w:val="right"/>
      <w:pPr>
        <w:ind w:left="4320" w:hanging="180"/>
      </w:pPr>
    </w:lvl>
    <w:lvl w:ilvl="6" w:tplc="23FCD354">
      <w:start w:val="1"/>
      <w:numFmt w:val="decimal"/>
      <w:lvlText w:val="%7."/>
      <w:lvlJc w:val="left"/>
      <w:pPr>
        <w:ind w:left="5040" w:hanging="360"/>
      </w:pPr>
    </w:lvl>
    <w:lvl w:ilvl="7" w:tplc="C1B4CC10">
      <w:start w:val="1"/>
      <w:numFmt w:val="lowerLetter"/>
      <w:lvlText w:val="%8."/>
      <w:lvlJc w:val="left"/>
      <w:pPr>
        <w:ind w:left="5760" w:hanging="360"/>
      </w:pPr>
    </w:lvl>
    <w:lvl w:ilvl="8" w:tplc="2E6E8838">
      <w:start w:val="1"/>
      <w:numFmt w:val="lowerRoman"/>
      <w:lvlText w:val="%9."/>
      <w:lvlJc w:val="right"/>
      <w:pPr>
        <w:ind w:left="6480" w:hanging="180"/>
      </w:pPr>
    </w:lvl>
  </w:abstractNum>
  <w:abstractNum w:abstractNumId="2" w15:restartNumberingAfterBreak="0">
    <w:nsid w:val="113A1D94"/>
    <w:multiLevelType w:val="multilevel"/>
    <w:tmpl w:val="D3C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34CF48"/>
    <w:multiLevelType w:val="hybridMultilevel"/>
    <w:tmpl w:val="A5A40F50"/>
    <w:lvl w:ilvl="0" w:tplc="F2AA1B18">
      <w:start w:val="1"/>
      <w:numFmt w:val="bullet"/>
      <w:lvlText w:val="·"/>
      <w:lvlJc w:val="left"/>
      <w:pPr>
        <w:ind w:left="720" w:hanging="360"/>
      </w:pPr>
      <w:rPr>
        <w:rFonts w:ascii="Symbol" w:hAnsi="Symbol" w:hint="default"/>
      </w:rPr>
    </w:lvl>
    <w:lvl w:ilvl="1" w:tplc="E1AC0056">
      <w:start w:val="1"/>
      <w:numFmt w:val="bullet"/>
      <w:lvlText w:val="o"/>
      <w:lvlJc w:val="left"/>
      <w:pPr>
        <w:ind w:left="1440" w:hanging="360"/>
      </w:pPr>
      <w:rPr>
        <w:rFonts w:ascii="Symbol" w:hAnsi="Symbol" w:hint="default"/>
      </w:rPr>
    </w:lvl>
    <w:lvl w:ilvl="2" w:tplc="3FDAEB42">
      <w:start w:val="1"/>
      <w:numFmt w:val="bullet"/>
      <w:lvlText w:val=""/>
      <w:lvlJc w:val="left"/>
      <w:pPr>
        <w:ind w:left="2160" w:hanging="360"/>
      </w:pPr>
      <w:rPr>
        <w:rFonts w:ascii="Wingdings" w:hAnsi="Wingdings" w:hint="default"/>
      </w:rPr>
    </w:lvl>
    <w:lvl w:ilvl="3" w:tplc="0396D24C">
      <w:start w:val="1"/>
      <w:numFmt w:val="bullet"/>
      <w:lvlText w:val=""/>
      <w:lvlJc w:val="left"/>
      <w:pPr>
        <w:ind w:left="2880" w:hanging="360"/>
      </w:pPr>
      <w:rPr>
        <w:rFonts w:ascii="Symbol" w:hAnsi="Symbol" w:hint="default"/>
      </w:rPr>
    </w:lvl>
    <w:lvl w:ilvl="4" w:tplc="530C88F2">
      <w:start w:val="1"/>
      <w:numFmt w:val="bullet"/>
      <w:lvlText w:val="o"/>
      <w:lvlJc w:val="left"/>
      <w:pPr>
        <w:ind w:left="3600" w:hanging="360"/>
      </w:pPr>
      <w:rPr>
        <w:rFonts w:ascii="Courier New" w:hAnsi="Courier New" w:hint="default"/>
      </w:rPr>
    </w:lvl>
    <w:lvl w:ilvl="5" w:tplc="1D20A13A">
      <w:start w:val="1"/>
      <w:numFmt w:val="bullet"/>
      <w:lvlText w:val=""/>
      <w:lvlJc w:val="left"/>
      <w:pPr>
        <w:ind w:left="4320" w:hanging="360"/>
      </w:pPr>
      <w:rPr>
        <w:rFonts w:ascii="Wingdings" w:hAnsi="Wingdings" w:hint="default"/>
      </w:rPr>
    </w:lvl>
    <w:lvl w:ilvl="6" w:tplc="D5687F46">
      <w:start w:val="1"/>
      <w:numFmt w:val="bullet"/>
      <w:lvlText w:val=""/>
      <w:lvlJc w:val="left"/>
      <w:pPr>
        <w:ind w:left="5040" w:hanging="360"/>
      </w:pPr>
      <w:rPr>
        <w:rFonts w:ascii="Symbol" w:hAnsi="Symbol" w:hint="default"/>
      </w:rPr>
    </w:lvl>
    <w:lvl w:ilvl="7" w:tplc="314EF494">
      <w:start w:val="1"/>
      <w:numFmt w:val="bullet"/>
      <w:lvlText w:val="o"/>
      <w:lvlJc w:val="left"/>
      <w:pPr>
        <w:ind w:left="5760" w:hanging="360"/>
      </w:pPr>
      <w:rPr>
        <w:rFonts w:ascii="Courier New" w:hAnsi="Courier New" w:hint="default"/>
      </w:rPr>
    </w:lvl>
    <w:lvl w:ilvl="8" w:tplc="7F6004E4">
      <w:start w:val="1"/>
      <w:numFmt w:val="bullet"/>
      <w:lvlText w:val=""/>
      <w:lvlJc w:val="left"/>
      <w:pPr>
        <w:ind w:left="6480" w:hanging="360"/>
      </w:pPr>
      <w:rPr>
        <w:rFonts w:ascii="Wingdings" w:hAnsi="Wingdings" w:hint="default"/>
      </w:rPr>
    </w:lvl>
  </w:abstractNum>
  <w:abstractNum w:abstractNumId="4" w15:restartNumberingAfterBreak="0">
    <w:nsid w:val="18400362"/>
    <w:multiLevelType w:val="multilevel"/>
    <w:tmpl w:val="CE56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F3933"/>
    <w:multiLevelType w:val="hybridMultilevel"/>
    <w:tmpl w:val="7102F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2836D1"/>
    <w:multiLevelType w:val="multilevel"/>
    <w:tmpl w:val="7490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ED5239"/>
    <w:multiLevelType w:val="hybridMultilevel"/>
    <w:tmpl w:val="28662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C235F"/>
    <w:multiLevelType w:val="hybridMultilevel"/>
    <w:tmpl w:val="215E7A5E"/>
    <w:lvl w:ilvl="0" w:tplc="F014D3CA">
      <w:start w:val="9"/>
      <w:numFmt w:val="decimal"/>
      <w:lvlText w:val="%1."/>
      <w:lvlJc w:val="left"/>
      <w:pPr>
        <w:ind w:left="720" w:hanging="360"/>
      </w:pPr>
    </w:lvl>
    <w:lvl w:ilvl="1" w:tplc="A3464A48">
      <w:start w:val="1"/>
      <w:numFmt w:val="lowerLetter"/>
      <w:lvlText w:val="%2."/>
      <w:lvlJc w:val="left"/>
      <w:pPr>
        <w:ind w:left="1440" w:hanging="360"/>
      </w:pPr>
    </w:lvl>
    <w:lvl w:ilvl="2" w:tplc="162027CE">
      <w:start w:val="1"/>
      <w:numFmt w:val="lowerRoman"/>
      <w:lvlText w:val="%3."/>
      <w:lvlJc w:val="right"/>
      <w:pPr>
        <w:ind w:left="2160" w:hanging="180"/>
      </w:pPr>
    </w:lvl>
    <w:lvl w:ilvl="3" w:tplc="7F7A10DA">
      <w:start w:val="1"/>
      <w:numFmt w:val="decimal"/>
      <w:lvlText w:val="%4."/>
      <w:lvlJc w:val="left"/>
      <w:pPr>
        <w:ind w:left="2880" w:hanging="360"/>
      </w:pPr>
    </w:lvl>
    <w:lvl w:ilvl="4" w:tplc="CB16B6F6">
      <w:start w:val="1"/>
      <w:numFmt w:val="lowerLetter"/>
      <w:lvlText w:val="%5."/>
      <w:lvlJc w:val="left"/>
      <w:pPr>
        <w:ind w:left="3600" w:hanging="360"/>
      </w:pPr>
    </w:lvl>
    <w:lvl w:ilvl="5" w:tplc="7A686B08">
      <w:start w:val="1"/>
      <w:numFmt w:val="lowerRoman"/>
      <w:lvlText w:val="%6."/>
      <w:lvlJc w:val="right"/>
      <w:pPr>
        <w:ind w:left="4320" w:hanging="180"/>
      </w:pPr>
    </w:lvl>
    <w:lvl w:ilvl="6" w:tplc="A6C0A248">
      <w:start w:val="1"/>
      <w:numFmt w:val="decimal"/>
      <w:lvlText w:val="%7."/>
      <w:lvlJc w:val="left"/>
      <w:pPr>
        <w:ind w:left="5040" w:hanging="360"/>
      </w:pPr>
    </w:lvl>
    <w:lvl w:ilvl="7" w:tplc="4BAA46C0">
      <w:start w:val="1"/>
      <w:numFmt w:val="lowerLetter"/>
      <w:lvlText w:val="%8."/>
      <w:lvlJc w:val="left"/>
      <w:pPr>
        <w:ind w:left="5760" w:hanging="360"/>
      </w:pPr>
    </w:lvl>
    <w:lvl w:ilvl="8" w:tplc="AA1C7E46">
      <w:start w:val="1"/>
      <w:numFmt w:val="lowerRoman"/>
      <w:lvlText w:val="%9."/>
      <w:lvlJc w:val="right"/>
      <w:pPr>
        <w:ind w:left="6480" w:hanging="180"/>
      </w:pPr>
    </w:lvl>
  </w:abstractNum>
  <w:abstractNum w:abstractNumId="9" w15:restartNumberingAfterBreak="0">
    <w:nsid w:val="1B1A5F4C"/>
    <w:multiLevelType w:val="multilevel"/>
    <w:tmpl w:val="84A8A768"/>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80545B"/>
    <w:multiLevelType w:val="hybridMultilevel"/>
    <w:tmpl w:val="FE22F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7C015D"/>
    <w:multiLevelType w:val="multilevel"/>
    <w:tmpl w:val="E48C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E4ECF6"/>
    <w:multiLevelType w:val="hybridMultilevel"/>
    <w:tmpl w:val="FFECBBB4"/>
    <w:lvl w:ilvl="0" w:tplc="795C332C">
      <w:start w:val="2"/>
      <w:numFmt w:val="decimal"/>
      <w:lvlText w:val="%1."/>
      <w:lvlJc w:val="left"/>
      <w:pPr>
        <w:ind w:left="720" w:hanging="360"/>
      </w:pPr>
    </w:lvl>
    <w:lvl w:ilvl="1" w:tplc="9A482606">
      <w:start w:val="1"/>
      <w:numFmt w:val="lowerLetter"/>
      <w:lvlText w:val="%2."/>
      <w:lvlJc w:val="left"/>
      <w:pPr>
        <w:ind w:left="1440" w:hanging="360"/>
      </w:pPr>
    </w:lvl>
    <w:lvl w:ilvl="2" w:tplc="28409A4E">
      <w:start w:val="1"/>
      <w:numFmt w:val="lowerRoman"/>
      <w:lvlText w:val="%3."/>
      <w:lvlJc w:val="right"/>
      <w:pPr>
        <w:ind w:left="2160" w:hanging="180"/>
      </w:pPr>
    </w:lvl>
    <w:lvl w:ilvl="3" w:tplc="0F6E5452">
      <w:start w:val="1"/>
      <w:numFmt w:val="decimal"/>
      <w:lvlText w:val="%4."/>
      <w:lvlJc w:val="left"/>
      <w:pPr>
        <w:ind w:left="2880" w:hanging="360"/>
      </w:pPr>
    </w:lvl>
    <w:lvl w:ilvl="4" w:tplc="65387202">
      <w:start w:val="1"/>
      <w:numFmt w:val="lowerLetter"/>
      <w:lvlText w:val="%5."/>
      <w:lvlJc w:val="left"/>
      <w:pPr>
        <w:ind w:left="3600" w:hanging="360"/>
      </w:pPr>
    </w:lvl>
    <w:lvl w:ilvl="5" w:tplc="3D0C5EE4">
      <w:start w:val="1"/>
      <w:numFmt w:val="lowerRoman"/>
      <w:lvlText w:val="%6."/>
      <w:lvlJc w:val="right"/>
      <w:pPr>
        <w:ind w:left="4320" w:hanging="180"/>
      </w:pPr>
    </w:lvl>
    <w:lvl w:ilvl="6" w:tplc="A860DB24">
      <w:start w:val="1"/>
      <w:numFmt w:val="decimal"/>
      <w:lvlText w:val="%7."/>
      <w:lvlJc w:val="left"/>
      <w:pPr>
        <w:ind w:left="5040" w:hanging="360"/>
      </w:pPr>
    </w:lvl>
    <w:lvl w:ilvl="7" w:tplc="A28077D4">
      <w:start w:val="1"/>
      <w:numFmt w:val="lowerLetter"/>
      <w:lvlText w:val="%8."/>
      <w:lvlJc w:val="left"/>
      <w:pPr>
        <w:ind w:left="5760" w:hanging="360"/>
      </w:pPr>
    </w:lvl>
    <w:lvl w:ilvl="8" w:tplc="97B0BDEC">
      <w:start w:val="1"/>
      <w:numFmt w:val="lowerRoman"/>
      <w:lvlText w:val="%9."/>
      <w:lvlJc w:val="right"/>
      <w:pPr>
        <w:ind w:left="6480" w:hanging="180"/>
      </w:pPr>
    </w:lvl>
  </w:abstractNum>
  <w:abstractNum w:abstractNumId="13" w15:restartNumberingAfterBreak="0">
    <w:nsid w:val="2CEFA3C9"/>
    <w:multiLevelType w:val="hybridMultilevel"/>
    <w:tmpl w:val="340658A0"/>
    <w:lvl w:ilvl="0" w:tplc="617C4332">
      <w:start w:val="1"/>
      <w:numFmt w:val="decimal"/>
      <w:lvlText w:val="%1."/>
      <w:lvlJc w:val="left"/>
      <w:pPr>
        <w:ind w:left="720" w:hanging="360"/>
      </w:pPr>
    </w:lvl>
    <w:lvl w:ilvl="1" w:tplc="5EE00CE2">
      <w:start w:val="1"/>
      <w:numFmt w:val="lowerLetter"/>
      <w:lvlText w:val="%2."/>
      <w:lvlJc w:val="left"/>
      <w:pPr>
        <w:ind w:left="1440" w:hanging="360"/>
      </w:pPr>
    </w:lvl>
    <w:lvl w:ilvl="2" w:tplc="A452824C">
      <w:start w:val="1"/>
      <w:numFmt w:val="lowerRoman"/>
      <w:lvlText w:val="%3."/>
      <w:lvlJc w:val="right"/>
      <w:pPr>
        <w:ind w:left="2160" w:hanging="180"/>
      </w:pPr>
    </w:lvl>
    <w:lvl w:ilvl="3" w:tplc="2B1EAABE">
      <w:start w:val="1"/>
      <w:numFmt w:val="decimal"/>
      <w:lvlText w:val="%4."/>
      <w:lvlJc w:val="left"/>
      <w:pPr>
        <w:ind w:left="2880" w:hanging="360"/>
      </w:pPr>
    </w:lvl>
    <w:lvl w:ilvl="4" w:tplc="C5944096">
      <w:start w:val="1"/>
      <w:numFmt w:val="lowerLetter"/>
      <w:lvlText w:val="%5."/>
      <w:lvlJc w:val="left"/>
      <w:pPr>
        <w:ind w:left="3600" w:hanging="360"/>
      </w:pPr>
    </w:lvl>
    <w:lvl w:ilvl="5" w:tplc="18E2D4A2">
      <w:start w:val="1"/>
      <w:numFmt w:val="lowerRoman"/>
      <w:lvlText w:val="%6."/>
      <w:lvlJc w:val="right"/>
      <w:pPr>
        <w:ind w:left="4320" w:hanging="180"/>
      </w:pPr>
    </w:lvl>
    <w:lvl w:ilvl="6" w:tplc="C16A9A64">
      <w:start w:val="1"/>
      <w:numFmt w:val="decimal"/>
      <w:lvlText w:val="%7."/>
      <w:lvlJc w:val="left"/>
      <w:pPr>
        <w:ind w:left="5040" w:hanging="360"/>
      </w:pPr>
    </w:lvl>
    <w:lvl w:ilvl="7" w:tplc="86E0D9DE">
      <w:start w:val="1"/>
      <w:numFmt w:val="lowerLetter"/>
      <w:lvlText w:val="%8."/>
      <w:lvlJc w:val="left"/>
      <w:pPr>
        <w:ind w:left="5760" w:hanging="360"/>
      </w:pPr>
    </w:lvl>
    <w:lvl w:ilvl="8" w:tplc="99968B8E">
      <w:start w:val="1"/>
      <w:numFmt w:val="lowerRoman"/>
      <w:lvlText w:val="%9."/>
      <w:lvlJc w:val="right"/>
      <w:pPr>
        <w:ind w:left="6480" w:hanging="180"/>
      </w:pPr>
    </w:lvl>
  </w:abstractNum>
  <w:abstractNum w:abstractNumId="14" w15:restartNumberingAfterBreak="0">
    <w:nsid w:val="2D696256"/>
    <w:multiLevelType w:val="hybridMultilevel"/>
    <w:tmpl w:val="8F5C4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7A4252"/>
    <w:multiLevelType w:val="multilevel"/>
    <w:tmpl w:val="08143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7F6F56"/>
    <w:multiLevelType w:val="multilevel"/>
    <w:tmpl w:val="87FE89CA"/>
    <w:lvl w:ilvl="0">
      <w:start w:val="1"/>
      <w:numFmt w:val="decimal"/>
      <w:lvlText w:val="%1."/>
      <w:lvlJc w:val="left"/>
      <w:pPr>
        <w:ind w:left="108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72046F"/>
    <w:multiLevelType w:val="hybridMultilevel"/>
    <w:tmpl w:val="85C2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E60594"/>
    <w:multiLevelType w:val="hybridMultilevel"/>
    <w:tmpl w:val="4AD07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B47D0F"/>
    <w:multiLevelType w:val="hybridMultilevel"/>
    <w:tmpl w:val="DC786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EC5B88"/>
    <w:multiLevelType w:val="hybridMultilevel"/>
    <w:tmpl w:val="986AAC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A827F4C"/>
    <w:multiLevelType w:val="hybridMultilevel"/>
    <w:tmpl w:val="EC2AC9CC"/>
    <w:lvl w:ilvl="0" w:tplc="19BCB2D0">
      <w:start w:val="2"/>
      <w:numFmt w:val="decimal"/>
      <w:lvlText w:val="%1."/>
      <w:lvlJc w:val="left"/>
      <w:pPr>
        <w:ind w:left="720" w:hanging="360"/>
      </w:pPr>
    </w:lvl>
    <w:lvl w:ilvl="1" w:tplc="8A6822FE">
      <w:start w:val="1"/>
      <w:numFmt w:val="lowerLetter"/>
      <w:lvlText w:val="%2."/>
      <w:lvlJc w:val="left"/>
      <w:pPr>
        <w:ind w:left="1440" w:hanging="360"/>
      </w:pPr>
    </w:lvl>
    <w:lvl w:ilvl="2" w:tplc="E146F3D6">
      <w:start w:val="1"/>
      <w:numFmt w:val="lowerRoman"/>
      <w:lvlText w:val="%3."/>
      <w:lvlJc w:val="right"/>
      <w:pPr>
        <w:ind w:left="2160" w:hanging="180"/>
      </w:pPr>
    </w:lvl>
    <w:lvl w:ilvl="3" w:tplc="1A28BDBC">
      <w:start w:val="1"/>
      <w:numFmt w:val="decimal"/>
      <w:lvlText w:val="%4."/>
      <w:lvlJc w:val="left"/>
      <w:pPr>
        <w:ind w:left="2880" w:hanging="360"/>
      </w:pPr>
    </w:lvl>
    <w:lvl w:ilvl="4" w:tplc="8996C2C4">
      <w:start w:val="1"/>
      <w:numFmt w:val="lowerLetter"/>
      <w:lvlText w:val="%5."/>
      <w:lvlJc w:val="left"/>
      <w:pPr>
        <w:ind w:left="3600" w:hanging="360"/>
      </w:pPr>
    </w:lvl>
    <w:lvl w:ilvl="5" w:tplc="6D500EA0">
      <w:start w:val="1"/>
      <w:numFmt w:val="lowerRoman"/>
      <w:lvlText w:val="%6."/>
      <w:lvlJc w:val="right"/>
      <w:pPr>
        <w:ind w:left="4320" w:hanging="180"/>
      </w:pPr>
    </w:lvl>
    <w:lvl w:ilvl="6" w:tplc="73922EBE">
      <w:start w:val="1"/>
      <w:numFmt w:val="decimal"/>
      <w:lvlText w:val="%7."/>
      <w:lvlJc w:val="left"/>
      <w:pPr>
        <w:ind w:left="5040" w:hanging="360"/>
      </w:pPr>
    </w:lvl>
    <w:lvl w:ilvl="7" w:tplc="78224D5E">
      <w:start w:val="1"/>
      <w:numFmt w:val="lowerLetter"/>
      <w:lvlText w:val="%8."/>
      <w:lvlJc w:val="left"/>
      <w:pPr>
        <w:ind w:left="5760" w:hanging="360"/>
      </w:pPr>
    </w:lvl>
    <w:lvl w:ilvl="8" w:tplc="84A05628">
      <w:start w:val="1"/>
      <w:numFmt w:val="lowerRoman"/>
      <w:lvlText w:val="%9."/>
      <w:lvlJc w:val="right"/>
      <w:pPr>
        <w:ind w:left="6480" w:hanging="180"/>
      </w:pPr>
    </w:lvl>
  </w:abstractNum>
  <w:abstractNum w:abstractNumId="22" w15:restartNumberingAfterBreak="0">
    <w:nsid w:val="3C6E01A4"/>
    <w:multiLevelType w:val="multilevel"/>
    <w:tmpl w:val="5EA0A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F7140C"/>
    <w:multiLevelType w:val="hybridMultilevel"/>
    <w:tmpl w:val="D2E41038"/>
    <w:lvl w:ilvl="0" w:tplc="7F9E5B72">
      <w:start w:val="7"/>
      <w:numFmt w:val="decimal"/>
      <w:lvlText w:val="%1."/>
      <w:lvlJc w:val="left"/>
      <w:pPr>
        <w:ind w:left="720" w:hanging="360"/>
      </w:pPr>
    </w:lvl>
    <w:lvl w:ilvl="1" w:tplc="77A22804">
      <w:start w:val="1"/>
      <w:numFmt w:val="lowerLetter"/>
      <w:lvlText w:val="%2."/>
      <w:lvlJc w:val="left"/>
      <w:pPr>
        <w:ind w:left="1440" w:hanging="360"/>
      </w:pPr>
    </w:lvl>
    <w:lvl w:ilvl="2" w:tplc="658C119E">
      <w:start w:val="1"/>
      <w:numFmt w:val="lowerRoman"/>
      <w:lvlText w:val="%3."/>
      <w:lvlJc w:val="right"/>
      <w:pPr>
        <w:ind w:left="2160" w:hanging="180"/>
      </w:pPr>
    </w:lvl>
    <w:lvl w:ilvl="3" w:tplc="562A1D48">
      <w:start w:val="1"/>
      <w:numFmt w:val="decimal"/>
      <w:lvlText w:val="%4."/>
      <w:lvlJc w:val="left"/>
      <w:pPr>
        <w:ind w:left="2880" w:hanging="360"/>
      </w:pPr>
    </w:lvl>
    <w:lvl w:ilvl="4" w:tplc="96AA728E">
      <w:start w:val="1"/>
      <w:numFmt w:val="lowerLetter"/>
      <w:lvlText w:val="%5."/>
      <w:lvlJc w:val="left"/>
      <w:pPr>
        <w:ind w:left="3600" w:hanging="360"/>
      </w:pPr>
    </w:lvl>
    <w:lvl w:ilvl="5" w:tplc="51E657C6">
      <w:start w:val="1"/>
      <w:numFmt w:val="lowerRoman"/>
      <w:lvlText w:val="%6."/>
      <w:lvlJc w:val="right"/>
      <w:pPr>
        <w:ind w:left="4320" w:hanging="180"/>
      </w:pPr>
    </w:lvl>
    <w:lvl w:ilvl="6" w:tplc="D9982458">
      <w:start w:val="1"/>
      <w:numFmt w:val="decimal"/>
      <w:lvlText w:val="%7."/>
      <w:lvlJc w:val="left"/>
      <w:pPr>
        <w:ind w:left="5040" w:hanging="360"/>
      </w:pPr>
    </w:lvl>
    <w:lvl w:ilvl="7" w:tplc="B7744D5A">
      <w:start w:val="1"/>
      <w:numFmt w:val="lowerLetter"/>
      <w:lvlText w:val="%8."/>
      <w:lvlJc w:val="left"/>
      <w:pPr>
        <w:ind w:left="5760" w:hanging="360"/>
      </w:pPr>
    </w:lvl>
    <w:lvl w:ilvl="8" w:tplc="CB48FEA6">
      <w:start w:val="1"/>
      <w:numFmt w:val="lowerRoman"/>
      <w:lvlText w:val="%9."/>
      <w:lvlJc w:val="right"/>
      <w:pPr>
        <w:ind w:left="6480" w:hanging="180"/>
      </w:pPr>
    </w:lvl>
  </w:abstractNum>
  <w:abstractNum w:abstractNumId="24" w15:restartNumberingAfterBreak="0">
    <w:nsid w:val="42405308"/>
    <w:multiLevelType w:val="multilevel"/>
    <w:tmpl w:val="2DA47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75268B"/>
    <w:multiLevelType w:val="multilevel"/>
    <w:tmpl w:val="9DDA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EA7703"/>
    <w:multiLevelType w:val="multilevel"/>
    <w:tmpl w:val="21B68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E909F6"/>
    <w:multiLevelType w:val="multilevel"/>
    <w:tmpl w:val="A350A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3F6FCC"/>
    <w:multiLevelType w:val="multilevel"/>
    <w:tmpl w:val="7E0C1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BEAF7C"/>
    <w:multiLevelType w:val="hybridMultilevel"/>
    <w:tmpl w:val="7A7A37F6"/>
    <w:lvl w:ilvl="0" w:tplc="36328A20">
      <w:start w:val="5"/>
      <w:numFmt w:val="decimal"/>
      <w:lvlText w:val="%1."/>
      <w:lvlJc w:val="left"/>
      <w:pPr>
        <w:ind w:left="720" w:hanging="360"/>
      </w:pPr>
    </w:lvl>
    <w:lvl w:ilvl="1" w:tplc="90AA3350">
      <w:start w:val="1"/>
      <w:numFmt w:val="lowerLetter"/>
      <w:lvlText w:val="%2."/>
      <w:lvlJc w:val="left"/>
      <w:pPr>
        <w:ind w:left="1440" w:hanging="360"/>
      </w:pPr>
    </w:lvl>
    <w:lvl w:ilvl="2" w:tplc="EE12B802">
      <w:start w:val="1"/>
      <w:numFmt w:val="lowerRoman"/>
      <w:lvlText w:val="%3."/>
      <w:lvlJc w:val="right"/>
      <w:pPr>
        <w:ind w:left="2160" w:hanging="180"/>
      </w:pPr>
    </w:lvl>
    <w:lvl w:ilvl="3" w:tplc="C19641E0">
      <w:start w:val="1"/>
      <w:numFmt w:val="decimal"/>
      <w:lvlText w:val="%4."/>
      <w:lvlJc w:val="left"/>
      <w:pPr>
        <w:ind w:left="2880" w:hanging="360"/>
      </w:pPr>
    </w:lvl>
    <w:lvl w:ilvl="4" w:tplc="AFB40244">
      <w:start w:val="1"/>
      <w:numFmt w:val="lowerLetter"/>
      <w:lvlText w:val="%5."/>
      <w:lvlJc w:val="left"/>
      <w:pPr>
        <w:ind w:left="3600" w:hanging="360"/>
      </w:pPr>
    </w:lvl>
    <w:lvl w:ilvl="5" w:tplc="394CA5F0">
      <w:start w:val="1"/>
      <w:numFmt w:val="lowerRoman"/>
      <w:lvlText w:val="%6."/>
      <w:lvlJc w:val="right"/>
      <w:pPr>
        <w:ind w:left="4320" w:hanging="180"/>
      </w:pPr>
    </w:lvl>
    <w:lvl w:ilvl="6" w:tplc="76EA75C4">
      <w:start w:val="1"/>
      <w:numFmt w:val="decimal"/>
      <w:lvlText w:val="%7."/>
      <w:lvlJc w:val="left"/>
      <w:pPr>
        <w:ind w:left="5040" w:hanging="360"/>
      </w:pPr>
    </w:lvl>
    <w:lvl w:ilvl="7" w:tplc="49B8803C">
      <w:start w:val="1"/>
      <w:numFmt w:val="lowerLetter"/>
      <w:lvlText w:val="%8."/>
      <w:lvlJc w:val="left"/>
      <w:pPr>
        <w:ind w:left="5760" w:hanging="360"/>
      </w:pPr>
    </w:lvl>
    <w:lvl w:ilvl="8" w:tplc="10723C0C">
      <w:start w:val="1"/>
      <w:numFmt w:val="lowerRoman"/>
      <w:lvlText w:val="%9."/>
      <w:lvlJc w:val="right"/>
      <w:pPr>
        <w:ind w:left="6480" w:hanging="180"/>
      </w:pPr>
    </w:lvl>
  </w:abstractNum>
  <w:abstractNum w:abstractNumId="30" w15:restartNumberingAfterBreak="0">
    <w:nsid w:val="4DE7329C"/>
    <w:multiLevelType w:val="hybridMultilevel"/>
    <w:tmpl w:val="4492FCE4"/>
    <w:lvl w:ilvl="0" w:tplc="395CEE76">
      <w:start w:val="6"/>
      <w:numFmt w:val="decimal"/>
      <w:lvlText w:val="%1."/>
      <w:lvlJc w:val="left"/>
      <w:pPr>
        <w:ind w:left="720" w:hanging="360"/>
      </w:pPr>
    </w:lvl>
    <w:lvl w:ilvl="1" w:tplc="CFCA21D6">
      <w:start w:val="1"/>
      <w:numFmt w:val="lowerLetter"/>
      <w:lvlText w:val="%2."/>
      <w:lvlJc w:val="left"/>
      <w:pPr>
        <w:ind w:left="1440" w:hanging="360"/>
      </w:pPr>
    </w:lvl>
    <w:lvl w:ilvl="2" w:tplc="5E960D48">
      <w:start w:val="1"/>
      <w:numFmt w:val="lowerRoman"/>
      <w:lvlText w:val="%3."/>
      <w:lvlJc w:val="right"/>
      <w:pPr>
        <w:ind w:left="2160" w:hanging="180"/>
      </w:pPr>
    </w:lvl>
    <w:lvl w:ilvl="3" w:tplc="FAB0FB9C">
      <w:start w:val="1"/>
      <w:numFmt w:val="decimal"/>
      <w:lvlText w:val="%4."/>
      <w:lvlJc w:val="left"/>
      <w:pPr>
        <w:ind w:left="2880" w:hanging="360"/>
      </w:pPr>
    </w:lvl>
    <w:lvl w:ilvl="4" w:tplc="3594B9C4">
      <w:start w:val="1"/>
      <w:numFmt w:val="lowerLetter"/>
      <w:lvlText w:val="%5."/>
      <w:lvlJc w:val="left"/>
      <w:pPr>
        <w:ind w:left="3600" w:hanging="360"/>
      </w:pPr>
    </w:lvl>
    <w:lvl w:ilvl="5" w:tplc="378C5B5C">
      <w:start w:val="1"/>
      <w:numFmt w:val="lowerRoman"/>
      <w:lvlText w:val="%6."/>
      <w:lvlJc w:val="right"/>
      <w:pPr>
        <w:ind w:left="4320" w:hanging="180"/>
      </w:pPr>
    </w:lvl>
    <w:lvl w:ilvl="6" w:tplc="614E4120">
      <w:start w:val="1"/>
      <w:numFmt w:val="decimal"/>
      <w:lvlText w:val="%7."/>
      <w:lvlJc w:val="left"/>
      <w:pPr>
        <w:ind w:left="5040" w:hanging="360"/>
      </w:pPr>
    </w:lvl>
    <w:lvl w:ilvl="7" w:tplc="F8C09E5A">
      <w:start w:val="1"/>
      <w:numFmt w:val="lowerLetter"/>
      <w:lvlText w:val="%8."/>
      <w:lvlJc w:val="left"/>
      <w:pPr>
        <w:ind w:left="5760" w:hanging="360"/>
      </w:pPr>
    </w:lvl>
    <w:lvl w:ilvl="8" w:tplc="8A30F26E">
      <w:start w:val="1"/>
      <w:numFmt w:val="lowerRoman"/>
      <w:lvlText w:val="%9."/>
      <w:lvlJc w:val="right"/>
      <w:pPr>
        <w:ind w:left="6480" w:hanging="180"/>
      </w:pPr>
    </w:lvl>
  </w:abstractNum>
  <w:abstractNum w:abstractNumId="31" w15:restartNumberingAfterBreak="0">
    <w:nsid w:val="514C24F2"/>
    <w:multiLevelType w:val="multilevel"/>
    <w:tmpl w:val="2D14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1C35D36"/>
    <w:multiLevelType w:val="multilevel"/>
    <w:tmpl w:val="217C19F8"/>
    <w:lvl w:ilvl="0">
      <w:start w:val="1"/>
      <w:numFmt w:val="bullet"/>
      <w:lvlText w:val=""/>
      <w:lvlJc w:val="left"/>
      <w:pPr>
        <w:tabs>
          <w:tab w:val="num" w:pos="720"/>
        </w:tabs>
        <w:ind w:left="720" w:hanging="360"/>
      </w:pPr>
      <w:rPr>
        <w:rFonts w:ascii="Symbol" w:hAnsi="Symbol" w:hint="default"/>
        <w:sz w:val="20"/>
      </w:rPr>
    </w:lvl>
    <w:lvl w:ilvl="1">
      <w:start w:val="100"/>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4BCC224"/>
    <w:multiLevelType w:val="hybridMultilevel"/>
    <w:tmpl w:val="D2A22272"/>
    <w:lvl w:ilvl="0" w:tplc="B972F624">
      <w:start w:val="1"/>
      <w:numFmt w:val="decimal"/>
      <w:lvlText w:val="%1."/>
      <w:lvlJc w:val="left"/>
      <w:pPr>
        <w:ind w:left="720" w:hanging="360"/>
      </w:pPr>
    </w:lvl>
    <w:lvl w:ilvl="1" w:tplc="4BDC8D0C">
      <w:start w:val="1"/>
      <w:numFmt w:val="lowerLetter"/>
      <w:lvlText w:val="%2."/>
      <w:lvlJc w:val="left"/>
      <w:pPr>
        <w:ind w:left="1440" w:hanging="360"/>
      </w:pPr>
    </w:lvl>
    <w:lvl w:ilvl="2" w:tplc="6658B0EE">
      <w:start w:val="1"/>
      <w:numFmt w:val="lowerRoman"/>
      <w:lvlText w:val="%3."/>
      <w:lvlJc w:val="right"/>
      <w:pPr>
        <w:ind w:left="2160" w:hanging="180"/>
      </w:pPr>
    </w:lvl>
    <w:lvl w:ilvl="3" w:tplc="141CC656">
      <w:start w:val="1"/>
      <w:numFmt w:val="decimal"/>
      <w:lvlText w:val="%4."/>
      <w:lvlJc w:val="left"/>
      <w:pPr>
        <w:ind w:left="2880" w:hanging="360"/>
      </w:pPr>
    </w:lvl>
    <w:lvl w:ilvl="4" w:tplc="7646C700">
      <w:start w:val="1"/>
      <w:numFmt w:val="lowerLetter"/>
      <w:lvlText w:val="%5."/>
      <w:lvlJc w:val="left"/>
      <w:pPr>
        <w:ind w:left="3600" w:hanging="360"/>
      </w:pPr>
    </w:lvl>
    <w:lvl w:ilvl="5" w:tplc="D79874C6">
      <w:start w:val="1"/>
      <w:numFmt w:val="lowerRoman"/>
      <w:lvlText w:val="%6."/>
      <w:lvlJc w:val="right"/>
      <w:pPr>
        <w:ind w:left="4320" w:hanging="180"/>
      </w:pPr>
    </w:lvl>
    <w:lvl w:ilvl="6" w:tplc="4C2465C6">
      <w:start w:val="1"/>
      <w:numFmt w:val="decimal"/>
      <w:lvlText w:val="%7."/>
      <w:lvlJc w:val="left"/>
      <w:pPr>
        <w:ind w:left="5040" w:hanging="360"/>
      </w:pPr>
    </w:lvl>
    <w:lvl w:ilvl="7" w:tplc="DE6A1B20">
      <w:start w:val="1"/>
      <w:numFmt w:val="lowerLetter"/>
      <w:lvlText w:val="%8."/>
      <w:lvlJc w:val="left"/>
      <w:pPr>
        <w:ind w:left="5760" w:hanging="360"/>
      </w:pPr>
    </w:lvl>
    <w:lvl w:ilvl="8" w:tplc="02D02538">
      <w:start w:val="1"/>
      <w:numFmt w:val="lowerRoman"/>
      <w:lvlText w:val="%9."/>
      <w:lvlJc w:val="right"/>
      <w:pPr>
        <w:ind w:left="6480" w:hanging="180"/>
      </w:pPr>
    </w:lvl>
  </w:abstractNum>
  <w:abstractNum w:abstractNumId="34" w15:restartNumberingAfterBreak="0">
    <w:nsid w:val="54F0C75B"/>
    <w:multiLevelType w:val="hybridMultilevel"/>
    <w:tmpl w:val="C01EF47A"/>
    <w:lvl w:ilvl="0" w:tplc="9AD8ED3C">
      <w:start w:val="3"/>
      <w:numFmt w:val="decimal"/>
      <w:lvlText w:val="%1."/>
      <w:lvlJc w:val="left"/>
      <w:pPr>
        <w:ind w:left="720" w:hanging="360"/>
      </w:pPr>
    </w:lvl>
    <w:lvl w:ilvl="1" w:tplc="94CA7480">
      <w:start w:val="1"/>
      <w:numFmt w:val="lowerLetter"/>
      <w:lvlText w:val="%2."/>
      <w:lvlJc w:val="left"/>
      <w:pPr>
        <w:ind w:left="1440" w:hanging="360"/>
      </w:pPr>
    </w:lvl>
    <w:lvl w:ilvl="2" w:tplc="F6D4A80E">
      <w:start w:val="1"/>
      <w:numFmt w:val="lowerRoman"/>
      <w:lvlText w:val="%3."/>
      <w:lvlJc w:val="right"/>
      <w:pPr>
        <w:ind w:left="2160" w:hanging="180"/>
      </w:pPr>
    </w:lvl>
    <w:lvl w:ilvl="3" w:tplc="9BC8BFFC">
      <w:start w:val="1"/>
      <w:numFmt w:val="decimal"/>
      <w:lvlText w:val="%4."/>
      <w:lvlJc w:val="left"/>
      <w:pPr>
        <w:ind w:left="2880" w:hanging="360"/>
      </w:pPr>
    </w:lvl>
    <w:lvl w:ilvl="4" w:tplc="DA02FA4A">
      <w:start w:val="1"/>
      <w:numFmt w:val="lowerLetter"/>
      <w:lvlText w:val="%5."/>
      <w:lvlJc w:val="left"/>
      <w:pPr>
        <w:ind w:left="3600" w:hanging="360"/>
      </w:pPr>
    </w:lvl>
    <w:lvl w:ilvl="5" w:tplc="7D4C3F80">
      <w:start w:val="1"/>
      <w:numFmt w:val="lowerRoman"/>
      <w:lvlText w:val="%6."/>
      <w:lvlJc w:val="right"/>
      <w:pPr>
        <w:ind w:left="4320" w:hanging="180"/>
      </w:pPr>
    </w:lvl>
    <w:lvl w:ilvl="6" w:tplc="96A016FC">
      <w:start w:val="1"/>
      <w:numFmt w:val="decimal"/>
      <w:lvlText w:val="%7."/>
      <w:lvlJc w:val="left"/>
      <w:pPr>
        <w:ind w:left="5040" w:hanging="360"/>
      </w:pPr>
    </w:lvl>
    <w:lvl w:ilvl="7" w:tplc="3FA862A6">
      <w:start w:val="1"/>
      <w:numFmt w:val="lowerLetter"/>
      <w:lvlText w:val="%8."/>
      <w:lvlJc w:val="left"/>
      <w:pPr>
        <w:ind w:left="5760" w:hanging="360"/>
      </w:pPr>
    </w:lvl>
    <w:lvl w:ilvl="8" w:tplc="17C8A8C8">
      <w:start w:val="1"/>
      <w:numFmt w:val="lowerRoman"/>
      <w:lvlText w:val="%9."/>
      <w:lvlJc w:val="right"/>
      <w:pPr>
        <w:ind w:left="6480" w:hanging="180"/>
      </w:pPr>
    </w:lvl>
  </w:abstractNum>
  <w:abstractNum w:abstractNumId="35" w15:restartNumberingAfterBreak="0">
    <w:nsid w:val="587963F4"/>
    <w:multiLevelType w:val="hybridMultilevel"/>
    <w:tmpl w:val="8C38C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A213C8"/>
    <w:multiLevelType w:val="hybridMultilevel"/>
    <w:tmpl w:val="CE66B12E"/>
    <w:lvl w:ilvl="0" w:tplc="A62C65D2">
      <w:start w:val="1"/>
      <w:numFmt w:val="decimal"/>
      <w:lvlText w:val="%1."/>
      <w:lvlJc w:val="left"/>
      <w:pPr>
        <w:ind w:left="720" w:hanging="360"/>
      </w:pPr>
    </w:lvl>
    <w:lvl w:ilvl="1" w:tplc="A7143168">
      <w:start w:val="1"/>
      <w:numFmt w:val="lowerLetter"/>
      <w:lvlText w:val="%2."/>
      <w:lvlJc w:val="left"/>
      <w:pPr>
        <w:ind w:left="1440" w:hanging="360"/>
      </w:pPr>
    </w:lvl>
    <w:lvl w:ilvl="2" w:tplc="CD2E020C">
      <w:start w:val="1"/>
      <w:numFmt w:val="lowerRoman"/>
      <w:lvlText w:val="%3."/>
      <w:lvlJc w:val="right"/>
      <w:pPr>
        <w:ind w:left="2160" w:hanging="180"/>
      </w:pPr>
    </w:lvl>
    <w:lvl w:ilvl="3" w:tplc="F1CEF7C4">
      <w:start w:val="1"/>
      <w:numFmt w:val="decimal"/>
      <w:lvlText w:val="%4."/>
      <w:lvlJc w:val="left"/>
      <w:pPr>
        <w:ind w:left="2880" w:hanging="360"/>
      </w:pPr>
    </w:lvl>
    <w:lvl w:ilvl="4" w:tplc="D390CB3C">
      <w:start w:val="1"/>
      <w:numFmt w:val="lowerLetter"/>
      <w:lvlText w:val="%5."/>
      <w:lvlJc w:val="left"/>
      <w:pPr>
        <w:ind w:left="3600" w:hanging="360"/>
      </w:pPr>
    </w:lvl>
    <w:lvl w:ilvl="5" w:tplc="711CC268">
      <w:start w:val="1"/>
      <w:numFmt w:val="lowerRoman"/>
      <w:lvlText w:val="%6."/>
      <w:lvlJc w:val="right"/>
      <w:pPr>
        <w:ind w:left="4320" w:hanging="180"/>
      </w:pPr>
    </w:lvl>
    <w:lvl w:ilvl="6" w:tplc="964EA1F4">
      <w:start w:val="1"/>
      <w:numFmt w:val="decimal"/>
      <w:lvlText w:val="%7."/>
      <w:lvlJc w:val="left"/>
      <w:pPr>
        <w:ind w:left="5040" w:hanging="360"/>
      </w:pPr>
    </w:lvl>
    <w:lvl w:ilvl="7" w:tplc="A06CFB88">
      <w:start w:val="1"/>
      <w:numFmt w:val="lowerLetter"/>
      <w:lvlText w:val="%8."/>
      <w:lvlJc w:val="left"/>
      <w:pPr>
        <w:ind w:left="5760" w:hanging="360"/>
      </w:pPr>
    </w:lvl>
    <w:lvl w:ilvl="8" w:tplc="40FC61E2">
      <w:start w:val="1"/>
      <w:numFmt w:val="lowerRoman"/>
      <w:lvlText w:val="%9."/>
      <w:lvlJc w:val="right"/>
      <w:pPr>
        <w:ind w:left="6480" w:hanging="180"/>
      </w:pPr>
    </w:lvl>
  </w:abstractNum>
  <w:abstractNum w:abstractNumId="37" w15:restartNumberingAfterBreak="0">
    <w:nsid w:val="59AE77A8"/>
    <w:multiLevelType w:val="hybridMultilevel"/>
    <w:tmpl w:val="90D85252"/>
    <w:lvl w:ilvl="0" w:tplc="71847976">
      <w:start w:val="8"/>
      <w:numFmt w:val="decimal"/>
      <w:lvlText w:val="%1."/>
      <w:lvlJc w:val="left"/>
      <w:pPr>
        <w:ind w:left="720" w:hanging="360"/>
      </w:pPr>
    </w:lvl>
    <w:lvl w:ilvl="1" w:tplc="2724E1DE">
      <w:start w:val="1"/>
      <w:numFmt w:val="lowerLetter"/>
      <w:lvlText w:val="%2."/>
      <w:lvlJc w:val="left"/>
      <w:pPr>
        <w:ind w:left="1440" w:hanging="360"/>
      </w:pPr>
    </w:lvl>
    <w:lvl w:ilvl="2" w:tplc="A98852E0">
      <w:start w:val="1"/>
      <w:numFmt w:val="lowerRoman"/>
      <w:lvlText w:val="%3."/>
      <w:lvlJc w:val="right"/>
      <w:pPr>
        <w:ind w:left="2160" w:hanging="180"/>
      </w:pPr>
    </w:lvl>
    <w:lvl w:ilvl="3" w:tplc="D67E56EA">
      <w:start w:val="1"/>
      <w:numFmt w:val="decimal"/>
      <w:lvlText w:val="%4."/>
      <w:lvlJc w:val="left"/>
      <w:pPr>
        <w:ind w:left="2880" w:hanging="360"/>
      </w:pPr>
    </w:lvl>
    <w:lvl w:ilvl="4" w:tplc="A336CB64">
      <w:start w:val="1"/>
      <w:numFmt w:val="lowerLetter"/>
      <w:lvlText w:val="%5."/>
      <w:lvlJc w:val="left"/>
      <w:pPr>
        <w:ind w:left="3600" w:hanging="360"/>
      </w:pPr>
    </w:lvl>
    <w:lvl w:ilvl="5" w:tplc="65806416">
      <w:start w:val="1"/>
      <w:numFmt w:val="lowerRoman"/>
      <w:lvlText w:val="%6."/>
      <w:lvlJc w:val="right"/>
      <w:pPr>
        <w:ind w:left="4320" w:hanging="180"/>
      </w:pPr>
    </w:lvl>
    <w:lvl w:ilvl="6" w:tplc="34D4F2E4">
      <w:start w:val="1"/>
      <w:numFmt w:val="decimal"/>
      <w:lvlText w:val="%7."/>
      <w:lvlJc w:val="left"/>
      <w:pPr>
        <w:ind w:left="5040" w:hanging="360"/>
      </w:pPr>
    </w:lvl>
    <w:lvl w:ilvl="7" w:tplc="978C6D66">
      <w:start w:val="1"/>
      <w:numFmt w:val="lowerLetter"/>
      <w:lvlText w:val="%8."/>
      <w:lvlJc w:val="left"/>
      <w:pPr>
        <w:ind w:left="5760" w:hanging="360"/>
      </w:pPr>
    </w:lvl>
    <w:lvl w:ilvl="8" w:tplc="450C3902">
      <w:start w:val="1"/>
      <w:numFmt w:val="lowerRoman"/>
      <w:lvlText w:val="%9."/>
      <w:lvlJc w:val="right"/>
      <w:pPr>
        <w:ind w:left="6480" w:hanging="180"/>
      </w:pPr>
    </w:lvl>
  </w:abstractNum>
  <w:abstractNum w:abstractNumId="38" w15:restartNumberingAfterBreak="0">
    <w:nsid w:val="5AE12570"/>
    <w:multiLevelType w:val="multilevel"/>
    <w:tmpl w:val="D5C0C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C8B18DA"/>
    <w:multiLevelType w:val="multilevel"/>
    <w:tmpl w:val="4B4E3DAE"/>
    <w:lvl w:ilvl="0">
      <w:start w:val="1"/>
      <w:numFmt w:val="bullet"/>
      <w:lvlText w:val=""/>
      <w:lvlJc w:val="left"/>
      <w:pPr>
        <w:tabs>
          <w:tab w:val="num" w:pos="720"/>
        </w:tabs>
        <w:ind w:left="720" w:hanging="360"/>
      </w:pPr>
      <w:rPr>
        <w:rFonts w:ascii="Symbol" w:hAnsi="Symbol" w:hint="default"/>
        <w:sz w:val="20"/>
      </w:rPr>
    </w:lvl>
    <w:lvl w:ilvl="1">
      <w:start w:val="501"/>
      <w:numFmt w:val="bullet"/>
      <w:lvlText w:val=""/>
      <w:lvlJc w:val="left"/>
      <w:pPr>
        <w:ind w:left="1440" w:hanging="360"/>
      </w:pPr>
      <w:rPr>
        <w:rFonts w:ascii="Wingdings" w:eastAsia="Times New Roman" w:hAnsi="Wingdings" w:cs="Times New Roman" w:hint="default"/>
      </w:rPr>
    </w:lvl>
    <w:lvl w:ilvl="2">
      <w:start w:val="50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EE20D5E"/>
    <w:multiLevelType w:val="hybridMultilevel"/>
    <w:tmpl w:val="5C22FCD6"/>
    <w:lvl w:ilvl="0" w:tplc="4CFCBA82">
      <w:start w:val="4"/>
      <w:numFmt w:val="decimal"/>
      <w:lvlText w:val="%1."/>
      <w:lvlJc w:val="left"/>
      <w:pPr>
        <w:ind w:left="720" w:hanging="360"/>
      </w:pPr>
    </w:lvl>
    <w:lvl w:ilvl="1" w:tplc="90160336">
      <w:start w:val="1"/>
      <w:numFmt w:val="lowerLetter"/>
      <w:lvlText w:val="%2."/>
      <w:lvlJc w:val="left"/>
      <w:pPr>
        <w:ind w:left="1440" w:hanging="360"/>
      </w:pPr>
    </w:lvl>
    <w:lvl w:ilvl="2" w:tplc="76480EFC">
      <w:start w:val="1"/>
      <w:numFmt w:val="lowerRoman"/>
      <w:lvlText w:val="%3."/>
      <w:lvlJc w:val="right"/>
      <w:pPr>
        <w:ind w:left="2160" w:hanging="180"/>
      </w:pPr>
    </w:lvl>
    <w:lvl w:ilvl="3" w:tplc="512EB9BA">
      <w:start w:val="1"/>
      <w:numFmt w:val="decimal"/>
      <w:lvlText w:val="%4."/>
      <w:lvlJc w:val="left"/>
      <w:pPr>
        <w:ind w:left="2880" w:hanging="360"/>
      </w:pPr>
    </w:lvl>
    <w:lvl w:ilvl="4" w:tplc="8B34EB8C">
      <w:start w:val="1"/>
      <w:numFmt w:val="lowerLetter"/>
      <w:lvlText w:val="%5."/>
      <w:lvlJc w:val="left"/>
      <w:pPr>
        <w:ind w:left="3600" w:hanging="360"/>
      </w:pPr>
    </w:lvl>
    <w:lvl w:ilvl="5" w:tplc="EDB49CFE">
      <w:start w:val="1"/>
      <w:numFmt w:val="lowerRoman"/>
      <w:lvlText w:val="%6."/>
      <w:lvlJc w:val="right"/>
      <w:pPr>
        <w:ind w:left="4320" w:hanging="180"/>
      </w:pPr>
    </w:lvl>
    <w:lvl w:ilvl="6" w:tplc="3EAA5EA4">
      <w:start w:val="1"/>
      <w:numFmt w:val="decimal"/>
      <w:lvlText w:val="%7."/>
      <w:lvlJc w:val="left"/>
      <w:pPr>
        <w:ind w:left="5040" w:hanging="360"/>
      </w:pPr>
    </w:lvl>
    <w:lvl w:ilvl="7" w:tplc="30FA48E8">
      <w:start w:val="1"/>
      <w:numFmt w:val="lowerLetter"/>
      <w:lvlText w:val="%8."/>
      <w:lvlJc w:val="left"/>
      <w:pPr>
        <w:ind w:left="5760" w:hanging="360"/>
      </w:pPr>
    </w:lvl>
    <w:lvl w:ilvl="8" w:tplc="6F70BD3E">
      <w:start w:val="1"/>
      <w:numFmt w:val="lowerRoman"/>
      <w:lvlText w:val="%9."/>
      <w:lvlJc w:val="right"/>
      <w:pPr>
        <w:ind w:left="6480" w:hanging="180"/>
      </w:pPr>
    </w:lvl>
  </w:abstractNum>
  <w:abstractNum w:abstractNumId="41" w15:restartNumberingAfterBreak="0">
    <w:nsid w:val="63963D7B"/>
    <w:multiLevelType w:val="hybridMultilevel"/>
    <w:tmpl w:val="4EBCD806"/>
    <w:lvl w:ilvl="0" w:tplc="0D2002DE">
      <w:start w:val="1"/>
      <w:numFmt w:val="decimal"/>
      <w:lvlText w:val="%1."/>
      <w:lvlJc w:val="left"/>
      <w:pPr>
        <w:ind w:left="720" w:hanging="360"/>
      </w:pPr>
    </w:lvl>
    <w:lvl w:ilvl="1" w:tplc="4B5C7916">
      <w:start w:val="1"/>
      <w:numFmt w:val="lowerLetter"/>
      <w:lvlText w:val="%2."/>
      <w:lvlJc w:val="left"/>
      <w:pPr>
        <w:ind w:left="1440" w:hanging="360"/>
      </w:pPr>
    </w:lvl>
    <w:lvl w:ilvl="2" w:tplc="E1B8F50A">
      <w:start w:val="1"/>
      <w:numFmt w:val="lowerRoman"/>
      <w:lvlText w:val="%3."/>
      <w:lvlJc w:val="right"/>
      <w:pPr>
        <w:ind w:left="2160" w:hanging="180"/>
      </w:pPr>
    </w:lvl>
    <w:lvl w:ilvl="3" w:tplc="49CA6272">
      <w:start w:val="1"/>
      <w:numFmt w:val="decimal"/>
      <w:lvlText w:val="%4."/>
      <w:lvlJc w:val="left"/>
      <w:pPr>
        <w:ind w:left="2880" w:hanging="360"/>
      </w:pPr>
    </w:lvl>
    <w:lvl w:ilvl="4" w:tplc="0BD8B990">
      <w:start w:val="1"/>
      <w:numFmt w:val="lowerLetter"/>
      <w:lvlText w:val="%5."/>
      <w:lvlJc w:val="left"/>
      <w:pPr>
        <w:ind w:left="3600" w:hanging="360"/>
      </w:pPr>
    </w:lvl>
    <w:lvl w:ilvl="5" w:tplc="7E0048D0">
      <w:start w:val="1"/>
      <w:numFmt w:val="lowerRoman"/>
      <w:lvlText w:val="%6."/>
      <w:lvlJc w:val="right"/>
      <w:pPr>
        <w:ind w:left="4320" w:hanging="180"/>
      </w:pPr>
    </w:lvl>
    <w:lvl w:ilvl="6" w:tplc="D3501FD4">
      <w:start w:val="1"/>
      <w:numFmt w:val="decimal"/>
      <w:lvlText w:val="%7."/>
      <w:lvlJc w:val="left"/>
      <w:pPr>
        <w:ind w:left="5040" w:hanging="360"/>
      </w:pPr>
    </w:lvl>
    <w:lvl w:ilvl="7" w:tplc="4E72DE84">
      <w:start w:val="1"/>
      <w:numFmt w:val="lowerLetter"/>
      <w:lvlText w:val="%8."/>
      <w:lvlJc w:val="left"/>
      <w:pPr>
        <w:ind w:left="5760" w:hanging="360"/>
      </w:pPr>
    </w:lvl>
    <w:lvl w:ilvl="8" w:tplc="2D04723A">
      <w:start w:val="1"/>
      <w:numFmt w:val="lowerRoman"/>
      <w:lvlText w:val="%9."/>
      <w:lvlJc w:val="right"/>
      <w:pPr>
        <w:ind w:left="6480" w:hanging="180"/>
      </w:pPr>
    </w:lvl>
  </w:abstractNum>
  <w:abstractNum w:abstractNumId="42" w15:restartNumberingAfterBreak="0">
    <w:nsid w:val="6627FBEC"/>
    <w:multiLevelType w:val="hybridMultilevel"/>
    <w:tmpl w:val="B0401602"/>
    <w:lvl w:ilvl="0" w:tplc="BE04105C">
      <w:start w:val="3"/>
      <w:numFmt w:val="decimal"/>
      <w:lvlText w:val="%1."/>
      <w:lvlJc w:val="left"/>
      <w:pPr>
        <w:ind w:left="720" w:hanging="360"/>
      </w:pPr>
    </w:lvl>
    <w:lvl w:ilvl="1" w:tplc="F94EA6B4">
      <w:start w:val="1"/>
      <w:numFmt w:val="lowerLetter"/>
      <w:lvlText w:val="%2."/>
      <w:lvlJc w:val="left"/>
      <w:pPr>
        <w:ind w:left="1440" w:hanging="360"/>
      </w:pPr>
    </w:lvl>
    <w:lvl w:ilvl="2" w:tplc="E0F6FAA0">
      <w:start w:val="1"/>
      <w:numFmt w:val="lowerRoman"/>
      <w:lvlText w:val="%3."/>
      <w:lvlJc w:val="right"/>
      <w:pPr>
        <w:ind w:left="2160" w:hanging="180"/>
      </w:pPr>
    </w:lvl>
    <w:lvl w:ilvl="3" w:tplc="84A410F8">
      <w:start w:val="1"/>
      <w:numFmt w:val="decimal"/>
      <w:lvlText w:val="%4."/>
      <w:lvlJc w:val="left"/>
      <w:pPr>
        <w:ind w:left="2880" w:hanging="360"/>
      </w:pPr>
    </w:lvl>
    <w:lvl w:ilvl="4" w:tplc="65DE7DC8">
      <w:start w:val="1"/>
      <w:numFmt w:val="lowerLetter"/>
      <w:lvlText w:val="%5."/>
      <w:lvlJc w:val="left"/>
      <w:pPr>
        <w:ind w:left="3600" w:hanging="360"/>
      </w:pPr>
    </w:lvl>
    <w:lvl w:ilvl="5" w:tplc="FBD6F63C">
      <w:start w:val="1"/>
      <w:numFmt w:val="lowerRoman"/>
      <w:lvlText w:val="%6."/>
      <w:lvlJc w:val="right"/>
      <w:pPr>
        <w:ind w:left="4320" w:hanging="180"/>
      </w:pPr>
    </w:lvl>
    <w:lvl w:ilvl="6" w:tplc="0E5667AA">
      <w:start w:val="1"/>
      <w:numFmt w:val="decimal"/>
      <w:lvlText w:val="%7."/>
      <w:lvlJc w:val="left"/>
      <w:pPr>
        <w:ind w:left="5040" w:hanging="360"/>
      </w:pPr>
    </w:lvl>
    <w:lvl w:ilvl="7" w:tplc="765C1F0E">
      <w:start w:val="1"/>
      <w:numFmt w:val="lowerLetter"/>
      <w:lvlText w:val="%8."/>
      <w:lvlJc w:val="left"/>
      <w:pPr>
        <w:ind w:left="5760" w:hanging="360"/>
      </w:pPr>
    </w:lvl>
    <w:lvl w:ilvl="8" w:tplc="D7BA88E0">
      <w:start w:val="1"/>
      <w:numFmt w:val="lowerRoman"/>
      <w:lvlText w:val="%9."/>
      <w:lvlJc w:val="right"/>
      <w:pPr>
        <w:ind w:left="6480" w:hanging="180"/>
      </w:pPr>
    </w:lvl>
  </w:abstractNum>
  <w:abstractNum w:abstractNumId="43" w15:restartNumberingAfterBreak="0">
    <w:nsid w:val="6C1A7EB6"/>
    <w:multiLevelType w:val="multilevel"/>
    <w:tmpl w:val="B8FAF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D011225"/>
    <w:multiLevelType w:val="multilevel"/>
    <w:tmpl w:val="6C6C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7E3983"/>
    <w:multiLevelType w:val="multilevel"/>
    <w:tmpl w:val="3376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26605B3"/>
    <w:multiLevelType w:val="multilevel"/>
    <w:tmpl w:val="84A8A768"/>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287069E"/>
    <w:multiLevelType w:val="multilevel"/>
    <w:tmpl w:val="F104E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31F3FA9"/>
    <w:multiLevelType w:val="hybridMultilevel"/>
    <w:tmpl w:val="FD509F12"/>
    <w:lvl w:ilvl="0" w:tplc="DF0A2662">
      <w:start w:val="1"/>
      <w:numFmt w:val="decimal"/>
      <w:lvlText w:val="%1."/>
      <w:lvlJc w:val="left"/>
      <w:pPr>
        <w:ind w:left="720" w:hanging="360"/>
      </w:pPr>
    </w:lvl>
    <w:lvl w:ilvl="1" w:tplc="060660A8">
      <w:start w:val="1"/>
      <w:numFmt w:val="lowerLetter"/>
      <w:lvlText w:val="%2."/>
      <w:lvlJc w:val="left"/>
      <w:pPr>
        <w:ind w:left="1440" w:hanging="360"/>
      </w:pPr>
    </w:lvl>
    <w:lvl w:ilvl="2" w:tplc="A69E6AFA">
      <w:start w:val="1"/>
      <w:numFmt w:val="lowerRoman"/>
      <w:lvlText w:val="%3."/>
      <w:lvlJc w:val="right"/>
      <w:pPr>
        <w:ind w:left="2160" w:hanging="180"/>
      </w:pPr>
    </w:lvl>
    <w:lvl w:ilvl="3" w:tplc="955C7994">
      <w:start w:val="1"/>
      <w:numFmt w:val="decimal"/>
      <w:lvlText w:val="%4."/>
      <w:lvlJc w:val="left"/>
      <w:pPr>
        <w:ind w:left="2880" w:hanging="360"/>
      </w:pPr>
    </w:lvl>
    <w:lvl w:ilvl="4" w:tplc="A4584A30">
      <w:start w:val="1"/>
      <w:numFmt w:val="lowerLetter"/>
      <w:lvlText w:val="%5."/>
      <w:lvlJc w:val="left"/>
      <w:pPr>
        <w:ind w:left="3600" w:hanging="360"/>
      </w:pPr>
    </w:lvl>
    <w:lvl w:ilvl="5" w:tplc="63FE5ECE">
      <w:start w:val="1"/>
      <w:numFmt w:val="lowerRoman"/>
      <w:lvlText w:val="%6."/>
      <w:lvlJc w:val="right"/>
      <w:pPr>
        <w:ind w:left="4320" w:hanging="180"/>
      </w:pPr>
    </w:lvl>
    <w:lvl w:ilvl="6" w:tplc="75ACCAE0">
      <w:start w:val="1"/>
      <w:numFmt w:val="decimal"/>
      <w:lvlText w:val="%7."/>
      <w:lvlJc w:val="left"/>
      <w:pPr>
        <w:ind w:left="5040" w:hanging="360"/>
      </w:pPr>
    </w:lvl>
    <w:lvl w:ilvl="7" w:tplc="AD24DDFC">
      <w:start w:val="1"/>
      <w:numFmt w:val="lowerLetter"/>
      <w:lvlText w:val="%8."/>
      <w:lvlJc w:val="left"/>
      <w:pPr>
        <w:ind w:left="5760" w:hanging="360"/>
      </w:pPr>
    </w:lvl>
    <w:lvl w:ilvl="8" w:tplc="C1E29876">
      <w:start w:val="1"/>
      <w:numFmt w:val="lowerRoman"/>
      <w:lvlText w:val="%9."/>
      <w:lvlJc w:val="right"/>
      <w:pPr>
        <w:ind w:left="6480" w:hanging="180"/>
      </w:pPr>
    </w:lvl>
  </w:abstractNum>
  <w:abstractNum w:abstractNumId="49" w15:restartNumberingAfterBreak="0">
    <w:nsid w:val="73641899"/>
    <w:multiLevelType w:val="multilevel"/>
    <w:tmpl w:val="CF2E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4F81464"/>
    <w:multiLevelType w:val="multilevel"/>
    <w:tmpl w:val="DD6C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74D758F"/>
    <w:multiLevelType w:val="hybridMultilevel"/>
    <w:tmpl w:val="B13859AA"/>
    <w:lvl w:ilvl="0" w:tplc="51F6BFE6">
      <w:start w:val="5"/>
      <w:numFmt w:val="decimal"/>
      <w:lvlText w:val="%1."/>
      <w:lvlJc w:val="left"/>
      <w:pPr>
        <w:ind w:left="720" w:hanging="360"/>
      </w:pPr>
    </w:lvl>
    <w:lvl w:ilvl="1" w:tplc="5A8AFD64">
      <w:start w:val="1"/>
      <w:numFmt w:val="lowerLetter"/>
      <w:lvlText w:val="%2."/>
      <w:lvlJc w:val="left"/>
      <w:pPr>
        <w:ind w:left="1440" w:hanging="360"/>
      </w:pPr>
    </w:lvl>
    <w:lvl w:ilvl="2" w:tplc="AF746412">
      <w:start w:val="1"/>
      <w:numFmt w:val="lowerRoman"/>
      <w:lvlText w:val="%3."/>
      <w:lvlJc w:val="right"/>
      <w:pPr>
        <w:ind w:left="2160" w:hanging="180"/>
      </w:pPr>
    </w:lvl>
    <w:lvl w:ilvl="3" w:tplc="8B6893D6">
      <w:start w:val="1"/>
      <w:numFmt w:val="decimal"/>
      <w:lvlText w:val="%4."/>
      <w:lvlJc w:val="left"/>
      <w:pPr>
        <w:ind w:left="2880" w:hanging="360"/>
      </w:pPr>
    </w:lvl>
    <w:lvl w:ilvl="4" w:tplc="0426638C">
      <w:start w:val="1"/>
      <w:numFmt w:val="lowerLetter"/>
      <w:lvlText w:val="%5."/>
      <w:lvlJc w:val="left"/>
      <w:pPr>
        <w:ind w:left="3600" w:hanging="360"/>
      </w:pPr>
    </w:lvl>
    <w:lvl w:ilvl="5" w:tplc="5B985380">
      <w:start w:val="1"/>
      <w:numFmt w:val="lowerRoman"/>
      <w:lvlText w:val="%6."/>
      <w:lvlJc w:val="right"/>
      <w:pPr>
        <w:ind w:left="4320" w:hanging="180"/>
      </w:pPr>
    </w:lvl>
    <w:lvl w:ilvl="6" w:tplc="E1C838EC">
      <w:start w:val="1"/>
      <w:numFmt w:val="decimal"/>
      <w:lvlText w:val="%7."/>
      <w:lvlJc w:val="left"/>
      <w:pPr>
        <w:ind w:left="5040" w:hanging="360"/>
      </w:pPr>
    </w:lvl>
    <w:lvl w:ilvl="7" w:tplc="0C42B78A">
      <w:start w:val="1"/>
      <w:numFmt w:val="lowerLetter"/>
      <w:lvlText w:val="%8."/>
      <w:lvlJc w:val="left"/>
      <w:pPr>
        <w:ind w:left="5760" w:hanging="360"/>
      </w:pPr>
    </w:lvl>
    <w:lvl w:ilvl="8" w:tplc="9982AAFC">
      <w:start w:val="1"/>
      <w:numFmt w:val="lowerRoman"/>
      <w:lvlText w:val="%9."/>
      <w:lvlJc w:val="right"/>
      <w:pPr>
        <w:ind w:left="6480" w:hanging="180"/>
      </w:pPr>
    </w:lvl>
  </w:abstractNum>
  <w:abstractNum w:abstractNumId="52" w15:restartNumberingAfterBreak="0">
    <w:nsid w:val="779D0E96"/>
    <w:multiLevelType w:val="multilevel"/>
    <w:tmpl w:val="51A24E8E"/>
    <w:lvl w:ilvl="0">
      <w:start w:val="1"/>
      <w:numFmt w:val="upp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8D438C8"/>
    <w:multiLevelType w:val="multilevel"/>
    <w:tmpl w:val="84A8A768"/>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C496C97"/>
    <w:multiLevelType w:val="hybridMultilevel"/>
    <w:tmpl w:val="AA32C7E0"/>
    <w:lvl w:ilvl="0" w:tplc="5AF28ACC">
      <w:start w:val="1"/>
      <w:numFmt w:val="decimal"/>
      <w:lvlText w:val="%1."/>
      <w:lvlJc w:val="left"/>
      <w:pPr>
        <w:ind w:left="720" w:hanging="360"/>
      </w:pPr>
    </w:lvl>
    <w:lvl w:ilvl="1" w:tplc="2586CF36">
      <w:start w:val="1"/>
      <w:numFmt w:val="lowerLetter"/>
      <w:lvlText w:val="%2."/>
      <w:lvlJc w:val="left"/>
      <w:pPr>
        <w:ind w:left="1440" w:hanging="360"/>
      </w:pPr>
    </w:lvl>
    <w:lvl w:ilvl="2" w:tplc="0A5E1200">
      <w:start w:val="1"/>
      <w:numFmt w:val="lowerRoman"/>
      <w:lvlText w:val="%3."/>
      <w:lvlJc w:val="right"/>
      <w:pPr>
        <w:ind w:left="2160" w:hanging="180"/>
      </w:pPr>
    </w:lvl>
    <w:lvl w:ilvl="3" w:tplc="EFD2FECC">
      <w:start w:val="1"/>
      <w:numFmt w:val="decimal"/>
      <w:lvlText w:val="%4."/>
      <w:lvlJc w:val="left"/>
      <w:pPr>
        <w:ind w:left="2880" w:hanging="360"/>
      </w:pPr>
    </w:lvl>
    <w:lvl w:ilvl="4" w:tplc="70F84706">
      <w:start w:val="1"/>
      <w:numFmt w:val="lowerLetter"/>
      <w:lvlText w:val="%5."/>
      <w:lvlJc w:val="left"/>
      <w:pPr>
        <w:ind w:left="3600" w:hanging="360"/>
      </w:pPr>
    </w:lvl>
    <w:lvl w:ilvl="5" w:tplc="133C4814">
      <w:start w:val="1"/>
      <w:numFmt w:val="lowerRoman"/>
      <w:lvlText w:val="%6."/>
      <w:lvlJc w:val="right"/>
      <w:pPr>
        <w:ind w:left="4320" w:hanging="180"/>
      </w:pPr>
    </w:lvl>
    <w:lvl w:ilvl="6" w:tplc="9894C9E2">
      <w:start w:val="1"/>
      <w:numFmt w:val="decimal"/>
      <w:lvlText w:val="%7."/>
      <w:lvlJc w:val="left"/>
      <w:pPr>
        <w:ind w:left="5040" w:hanging="360"/>
      </w:pPr>
    </w:lvl>
    <w:lvl w:ilvl="7" w:tplc="9690A2F6">
      <w:start w:val="1"/>
      <w:numFmt w:val="lowerLetter"/>
      <w:lvlText w:val="%8."/>
      <w:lvlJc w:val="left"/>
      <w:pPr>
        <w:ind w:left="5760" w:hanging="360"/>
      </w:pPr>
    </w:lvl>
    <w:lvl w:ilvl="8" w:tplc="57561010">
      <w:start w:val="1"/>
      <w:numFmt w:val="lowerRoman"/>
      <w:lvlText w:val="%9."/>
      <w:lvlJc w:val="right"/>
      <w:pPr>
        <w:ind w:left="6480" w:hanging="180"/>
      </w:pPr>
    </w:lvl>
  </w:abstractNum>
  <w:num w:numId="1" w16cid:durableId="1483545082">
    <w:abstractNumId w:val="41"/>
  </w:num>
  <w:num w:numId="2" w16cid:durableId="387920221">
    <w:abstractNumId w:val="8"/>
  </w:num>
  <w:num w:numId="3" w16cid:durableId="792939196">
    <w:abstractNumId w:val="37"/>
  </w:num>
  <w:num w:numId="4" w16cid:durableId="1182236230">
    <w:abstractNumId w:val="23"/>
  </w:num>
  <w:num w:numId="5" w16cid:durableId="439112381">
    <w:abstractNumId w:val="30"/>
  </w:num>
  <w:num w:numId="6" w16cid:durableId="335767362">
    <w:abstractNumId w:val="51"/>
  </w:num>
  <w:num w:numId="7" w16cid:durableId="1198464639">
    <w:abstractNumId w:val="40"/>
  </w:num>
  <w:num w:numId="8" w16cid:durableId="1128358192">
    <w:abstractNumId w:val="42"/>
  </w:num>
  <w:num w:numId="9" w16cid:durableId="1351683156">
    <w:abstractNumId w:val="21"/>
  </w:num>
  <w:num w:numId="10" w16cid:durableId="1342974621">
    <w:abstractNumId w:val="36"/>
  </w:num>
  <w:num w:numId="11" w16cid:durableId="277687234">
    <w:abstractNumId w:val="3"/>
  </w:num>
  <w:num w:numId="12" w16cid:durableId="1117527444">
    <w:abstractNumId w:val="29"/>
  </w:num>
  <w:num w:numId="13" w16cid:durableId="1876965468">
    <w:abstractNumId w:val="1"/>
  </w:num>
  <w:num w:numId="14" w16cid:durableId="297534101">
    <w:abstractNumId w:val="34"/>
  </w:num>
  <w:num w:numId="15" w16cid:durableId="905577385">
    <w:abstractNumId w:val="12"/>
  </w:num>
  <w:num w:numId="16" w16cid:durableId="1375547462">
    <w:abstractNumId w:val="48"/>
  </w:num>
  <w:num w:numId="17" w16cid:durableId="1073968498">
    <w:abstractNumId w:val="13"/>
  </w:num>
  <w:num w:numId="18" w16cid:durableId="43140663">
    <w:abstractNumId w:val="54"/>
  </w:num>
  <w:num w:numId="19" w16cid:durableId="232929125">
    <w:abstractNumId w:val="33"/>
  </w:num>
  <w:num w:numId="20" w16cid:durableId="1999725194">
    <w:abstractNumId w:val="4"/>
  </w:num>
  <w:num w:numId="21" w16cid:durableId="997225861">
    <w:abstractNumId w:val="19"/>
  </w:num>
  <w:num w:numId="22" w16cid:durableId="373698847">
    <w:abstractNumId w:val="20"/>
  </w:num>
  <w:num w:numId="23" w16cid:durableId="412239017">
    <w:abstractNumId w:val="49"/>
  </w:num>
  <w:num w:numId="24" w16cid:durableId="1327519072">
    <w:abstractNumId w:val="45"/>
  </w:num>
  <w:num w:numId="25" w16cid:durableId="1594122555">
    <w:abstractNumId w:val="2"/>
  </w:num>
  <w:num w:numId="26" w16cid:durableId="1539466309">
    <w:abstractNumId w:val="31"/>
  </w:num>
  <w:num w:numId="27" w16cid:durableId="329405867">
    <w:abstractNumId w:val="32"/>
  </w:num>
  <w:num w:numId="28" w16cid:durableId="1634369027">
    <w:abstractNumId w:val="39"/>
  </w:num>
  <w:num w:numId="29" w16cid:durableId="1361857940">
    <w:abstractNumId w:val="50"/>
  </w:num>
  <w:num w:numId="30" w16cid:durableId="2130666110">
    <w:abstractNumId w:val="35"/>
  </w:num>
  <w:num w:numId="31" w16cid:durableId="1884294633">
    <w:abstractNumId w:val="47"/>
  </w:num>
  <w:num w:numId="32" w16cid:durableId="1103527567">
    <w:abstractNumId w:val="46"/>
  </w:num>
  <w:num w:numId="33" w16cid:durableId="754983458">
    <w:abstractNumId w:val="17"/>
  </w:num>
  <w:num w:numId="34" w16cid:durableId="1695419840">
    <w:abstractNumId w:val="14"/>
  </w:num>
  <w:num w:numId="35" w16cid:durableId="2052068573">
    <w:abstractNumId w:val="7"/>
  </w:num>
  <w:num w:numId="36" w16cid:durableId="863250761">
    <w:abstractNumId w:val="10"/>
  </w:num>
  <w:num w:numId="37" w16cid:durableId="350882353">
    <w:abstractNumId w:val="28"/>
  </w:num>
  <w:num w:numId="38" w16cid:durableId="589654583">
    <w:abstractNumId w:val="9"/>
  </w:num>
  <w:num w:numId="39" w16cid:durableId="1249343550">
    <w:abstractNumId w:val="6"/>
  </w:num>
  <w:num w:numId="40" w16cid:durableId="2123307729">
    <w:abstractNumId w:val="11"/>
  </w:num>
  <w:num w:numId="41" w16cid:durableId="1604532163">
    <w:abstractNumId w:val="27"/>
  </w:num>
  <w:num w:numId="42" w16cid:durableId="840661306">
    <w:abstractNumId w:val="25"/>
  </w:num>
  <w:num w:numId="43" w16cid:durableId="1347705716">
    <w:abstractNumId w:val="44"/>
  </w:num>
  <w:num w:numId="44" w16cid:durableId="1979455997">
    <w:abstractNumId w:val="26"/>
  </w:num>
  <w:num w:numId="45" w16cid:durableId="887566338">
    <w:abstractNumId w:val="53"/>
  </w:num>
  <w:num w:numId="46" w16cid:durableId="1147433413">
    <w:abstractNumId w:val="24"/>
  </w:num>
  <w:num w:numId="47" w16cid:durableId="574555064">
    <w:abstractNumId w:val="38"/>
  </w:num>
  <w:num w:numId="48" w16cid:durableId="505636758">
    <w:abstractNumId w:val="43"/>
  </w:num>
  <w:num w:numId="49" w16cid:durableId="1833062525">
    <w:abstractNumId w:val="5"/>
  </w:num>
  <w:num w:numId="50" w16cid:durableId="1686398242">
    <w:abstractNumId w:val="22"/>
  </w:num>
  <w:num w:numId="51" w16cid:durableId="1930650547">
    <w:abstractNumId w:val="0"/>
  </w:num>
  <w:num w:numId="52" w16cid:durableId="753942154">
    <w:abstractNumId w:val="15"/>
  </w:num>
  <w:num w:numId="53" w16cid:durableId="1047531057">
    <w:abstractNumId w:val="52"/>
  </w:num>
  <w:num w:numId="54" w16cid:durableId="1985349933">
    <w:abstractNumId w:val="16"/>
  </w:num>
  <w:num w:numId="55" w16cid:durableId="283198662">
    <w:abstractNumId w:val="1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CD4"/>
    <w:rsid w:val="00000A52"/>
    <w:rsid w:val="00000FF2"/>
    <w:rsid w:val="000010C6"/>
    <w:rsid w:val="0000203F"/>
    <w:rsid w:val="0000217B"/>
    <w:rsid w:val="000025F3"/>
    <w:rsid w:val="0000266A"/>
    <w:rsid w:val="00003128"/>
    <w:rsid w:val="000036F2"/>
    <w:rsid w:val="00004393"/>
    <w:rsid w:val="000045BE"/>
    <w:rsid w:val="0000480E"/>
    <w:rsid w:val="00004C5C"/>
    <w:rsid w:val="0000563B"/>
    <w:rsid w:val="00005A54"/>
    <w:rsid w:val="000074CF"/>
    <w:rsid w:val="00007943"/>
    <w:rsid w:val="00010336"/>
    <w:rsid w:val="00010A5A"/>
    <w:rsid w:val="00010EF4"/>
    <w:rsid w:val="00011156"/>
    <w:rsid w:val="00011949"/>
    <w:rsid w:val="00011A59"/>
    <w:rsid w:val="00011A7F"/>
    <w:rsid w:val="00011F5D"/>
    <w:rsid w:val="00012428"/>
    <w:rsid w:val="0001352C"/>
    <w:rsid w:val="00013542"/>
    <w:rsid w:val="00013584"/>
    <w:rsid w:val="000137C5"/>
    <w:rsid w:val="00013AA1"/>
    <w:rsid w:val="000146B3"/>
    <w:rsid w:val="000146C5"/>
    <w:rsid w:val="000153DF"/>
    <w:rsid w:val="00015AC2"/>
    <w:rsid w:val="0001635D"/>
    <w:rsid w:val="000166B3"/>
    <w:rsid w:val="00016EDE"/>
    <w:rsid w:val="00017270"/>
    <w:rsid w:val="00017831"/>
    <w:rsid w:val="00017998"/>
    <w:rsid w:val="0002030D"/>
    <w:rsid w:val="0002098D"/>
    <w:rsid w:val="00020F1E"/>
    <w:rsid w:val="000215AF"/>
    <w:rsid w:val="0002187B"/>
    <w:rsid w:val="00022410"/>
    <w:rsid w:val="00022483"/>
    <w:rsid w:val="000234EA"/>
    <w:rsid w:val="00026E11"/>
    <w:rsid w:val="00027868"/>
    <w:rsid w:val="00030234"/>
    <w:rsid w:val="00030332"/>
    <w:rsid w:val="00030868"/>
    <w:rsid w:val="00030A8A"/>
    <w:rsid w:val="00030B01"/>
    <w:rsid w:val="00031475"/>
    <w:rsid w:val="00031535"/>
    <w:rsid w:val="0003153C"/>
    <w:rsid w:val="00032417"/>
    <w:rsid w:val="0003390F"/>
    <w:rsid w:val="00033A06"/>
    <w:rsid w:val="00035A5D"/>
    <w:rsid w:val="00035B7A"/>
    <w:rsid w:val="00035D8A"/>
    <w:rsid w:val="00035EF1"/>
    <w:rsid w:val="000368EF"/>
    <w:rsid w:val="0003782D"/>
    <w:rsid w:val="00040246"/>
    <w:rsid w:val="00040324"/>
    <w:rsid w:val="000410A1"/>
    <w:rsid w:val="00041620"/>
    <w:rsid w:val="00042694"/>
    <w:rsid w:val="00042AEF"/>
    <w:rsid w:val="00042CDE"/>
    <w:rsid w:val="00042DA1"/>
    <w:rsid w:val="000430D9"/>
    <w:rsid w:val="00043497"/>
    <w:rsid w:val="0004365D"/>
    <w:rsid w:val="00043C6C"/>
    <w:rsid w:val="00045018"/>
    <w:rsid w:val="00045898"/>
    <w:rsid w:val="00045A0B"/>
    <w:rsid w:val="00045D02"/>
    <w:rsid w:val="000463F0"/>
    <w:rsid w:val="00046944"/>
    <w:rsid w:val="00046BA1"/>
    <w:rsid w:val="00047401"/>
    <w:rsid w:val="0005015A"/>
    <w:rsid w:val="000524BD"/>
    <w:rsid w:val="0005261B"/>
    <w:rsid w:val="00052AE4"/>
    <w:rsid w:val="0005463B"/>
    <w:rsid w:val="00054ED4"/>
    <w:rsid w:val="00055F33"/>
    <w:rsid w:val="00055FC6"/>
    <w:rsid w:val="0005655F"/>
    <w:rsid w:val="00056731"/>
    <w:rsid w:val="00057D5A"/>
    <w:rsid w:val="00060437"/>
    <w:rsid w:val="00061BE6"/>
    <w:rsid w:val="00061EED"/>
    <w:rsid w:val="00062882"/>
    <w:rsid w:val="00063537"/>
    <w:rsid w:val="0006368F"/>
    <w:rsid w:val="0006455D"/>
    <w:rsid w:val="000651C0"/>
    <w:rsid w:val="00065C9D"/>
    <w:rsid w:val="00065CEC"/>
    <w:rsid w:val="000669E5"/>
    <w:rsid w:val="00066A9E"/>
    <w:rsid w:val="000718FE"/>
    <w:rsid w:val="00071B4D"/>
    <w:rsid w:val="0007271E"/>
    <w:rsid w:val="000734D6"/>
    <w:rsid w:val="00073859"/>
    <w:rsid w:val="00074235"/>
    <w:rsid w:val="000746B2"/>
    <w:rsid w:val="000749A2"/>
    <w:rsid w:val="00075696"/>
    <w:rsid w:val="00075885"/>
    <w:rsid w:val="00076792"/>
    <w:rsid w:val="00080004"/>
    <w:rsid w:val="000801D0"/>
    <w:rsid w:val="00080E96"/>
    <w:rsid w:val="00080F43"/>
    <w:rsid w:val="00080F93"/>
    <w:rsid w:val="0008191E"/>
    <w:rsid w:val="00081AF9"/>
    <w:rsid w:val="000826E0"/>
    <w:rsid w:val="000827BB"/>
    <w:rsid w:val="00082D3B"/>
    <w:rsid w:val="00083A6C"/>
    <w:rsid w:val="00083E1D"/>
    <w:rsid w:val="0008404A"/>
    <w:rsid w:val="00084325"/>
    <w:rsid w:val="00084660"/>
    <w:rsid w:val="00084930"/>
    <w:rsid w:val="00084ABF"/>
    <w:rsid w:val="000850EE"/>
    <w:rsid w:val="000857E9"/>
    <w:rsid w:val="00086893"/>
    <w:rsid w:val="0008737F"/>
    <w:rsid w:val="00087713"/>
    <w:rsid w:val="00087F5E"/>
    <w:rsid w:val="000903F9"/>
    <w:rsid w:val="00090A21"/>
    <w:rsid w:val="00090A6B"/>
    <w:rsid w:val="00090E65"/>
    <w:rsid w:val="00091157"/>
    <w:rsid w:val="000915FB"/>
    <w:rsid w:val="00092C18"/>
    <w:rsid w:val="00093B97"/>
    <w:rsid w:val="00093CCE"/>
    <w:rsid w:val="000947B9"/>
    <w:rsid w:val="00095005"/>
    <w:rsid w:val="00095192"/>
    <w:rsid w:val="00096179"/>
    <w:rsid w:val="00096697"/>
    <w:rsid w:val="00096FD6"/>
    <w:rsid w:val="000979CA"/>
    <w:rsid w:val="00097F03"/>
    <w:rsid w:val="000A073F"/>
    <w:rsid w:val="000A0C49"/>
    <w:rsid w:val="000A1E58"/>
    <w:rsid w:val="000A28FE"/>
    <w:rsid w:val="000A2BD6"/>
    <w:rsid w:val="000A3E0D"/>
    <w:rsid w:val="000A425D"/>
    <w:rsid w:val="000A47F3"/>
    <w:rsid w:val="000A48B0"/>
    <w:rsid w:val="000A4920"/>
    <w:rsid w:val="000A4B00"/>
    <w:rsid w:val="000A5A96"/>
    <w:rsid w:val="000A5D8D"/>
    <w:rsid w:val="000A646A"/>
    <w:rsid w:val="000A6F7C"/>
    <w:rsid w:val="000A703F"/>
    <w:rsid w:val="000A73AD"/>
    <w:rsid w:val="000A7804"/>
    <w:rsid w:val="000A79D2"/>
    <w:rsid w:val="000A7A02"/>
    <w:rsid w:val="000B0846"/>
    <w:rsid w:val="000B0D9A"/>
    <w:rsid w:val="000B0DA7"/>
    <w:rsid w:val="000B1B08"/>
    <w:rsid w:val="000B248C"/>
    <w:rsid w:val="000B2B06"/>
    <w:rsid w:val="000B2CA0"/>
    <w:rsid w:val="000B2E17"/>
    <w:rsid w:val="000B2E6A"/>
    <w:rsid w:val="000B2EC5"/>
    <w:rsid w:val="000B2F27"/>
    <w:rsid w:val="000B31B6"/>
    <w:rsid w:val="000B34DE"/>
    <w:rsid w:val="000B4022"/>
    <w:rsid w:val="000B4176"/>
    <w:rsid w:val="000B427D"/>
    <w:rsid w:val="000B4485"/>
    <w:rsid w:val="000B4C2E"/>
    <w:rsid w:val="000B54DD"/>
    <w:rsid w:val="000B5F98"/>
    <w:rsid w:val="000B709E"/>
    <w:rsid w:val="000B794C"/>
    <w:rsid w:val="000B7B2C"/>
    <w:rsid w:val="000C01C2"/>
    <w:rsid w:val="000C05AB"/>
    <w:rsid w:val="000C16B2"/>
    <w:rsid w:val="000C1965"/>
    <w:rsid w:val="000C2517"/>
    <w:rsid w:val="000C28CE"/>
    <w:rsid w:val="000C2933"/>
    <w:rsid w:val="000C2E43"/>
    <w:rsid w:val="000C3222"/>
    <w:rsid w:val="000C4150"/>
    <w:rsid w:val="000C41EB"/>
    <w:rsid w:val="000C4960"/>
    <w:rsid w:val="000C4EFE"/>
    <w:rsid w:val="000C4FB1"/>
    <w:rsid w:val="000C5311"/>
    <w:rsid w:val="000C5A36"/>
    <w:rsid w:val="000C63D9"/>
    <w:rsid w:val="000C6501"/>
    <w:rsid w:val="000C7187"/>
    <w:rsid w:val="000C7B4B"/>
    <w:rsid w:val="000D01F9"/>
    <w:rsid w:val="000D0A0C"/>
    <w:rsid w:val="000D1574"/>
    <w:rsid w:val="000D17B9"/>
    <w:rsid w:val="000D1D51"/>
    <w:rsid w:val="000D204A"/>
    <w:rsid w:val="000D2482"/>
    <w:rsid w:val="000D2E5A"/>
    <w:rsid w:val="000D2F7B"/>
    <w:rsid w:val="000D363F"/>
    <w:rsid w:val="000D36BD"/>
    <w:rsid w:val="000D3EEC"/>
    <w:rsid w:val="000D4921"/>
    <w:rsid w:val="000D4CFE"/>
    <w:rsid w:val="000D5B39"/>
    <w:rsid w:val="000D6209"/>
    <w:rsid w:val="000D64B0"/>
    <w:rsid w:val="000D7E43"/>
    <w:rsid w:val="000E0DC8"/>
    <w:rsid w:val="000E1124"/>
    <w:rsid w:val="000E115A"/>
    <w:rsid w:val="000E123D"/>
    <w:rsid w:val="000E19F1"/>
    <w:rsid w:val="000E24E5"/>
    <w:rsid w:val="000E263D"/>
    <w:rsid w:val="000E3AAC"/>
    <w:rsid w:val="000E3B04"/>
    <w:rsid w:val="000E4700"/>
    <w:rsid w:val="000E5CE3"/>
    <w:rsid w:val="000E63DD"/>
    <w:rsid w:val="000E6503"/>
    <w:rsid w:val="000E6685"/>
    <w:rsid w:val="000E6F50"/>
    <w:rsid w:val="000E7122"/>
    <w:rsid w:val="000F02F2"/>
    <w:rsid w:val="000F0B9B"/>
    <w:rsid w:val="000F13E2"/>
    <w:rsid w:val="000F1A49"/>
    <w:rsid w:val="000F201D"/>
    <w:rsid w:val="000F29AA"/>
    <w:rsid w:val="000F3490"/>
    <w:rsid w:val="000F3D00"/>
    <w:rsid w:val="000F4E1A"/>
    <w:rsid w:val="000F518A"/>
    <w:rsid w:val="000F5325"/>
    <w:rsid w:val="000F53DB"/>
    <w:rsid w:val="000F61A8"/>
    <w:rsid w:val="000F731F"/>
    <w:rsid w:val="000F7739"/>
    <w:rsid w:val="00100330"/>
    <w:rsid w:val="00100FE2"/>
    <w:rsid w:val="001011DD"/>
    <w:rsid w:val="001011F7"/>
    <w:rsid w:val="001016B8"/>
    <w:rsid w:val="001021A0"/>
    <w:rsid w:val="00102B55"/>
    <w:rsid w:val="00102E51"/>
    <w:rsid w:val="00104B50"/>
    <w:rsid w:val="00104E59"/>
    <w:rsid w:val="00104F65"/>
    <w:rsid w:val="00105582"/>
    <w:rsid w:val="0010575F"/>
    <w:rsid w:val="00105E5A"/>
    <w:rsid w:val="001066F8"/>
    <w:rsid w:val="00106788"/>
    <w:rsid w:val="00107A80"/>
    <w:rsid w:val="0011024C"/>
    <w:rsid w:val="00110B90"/>
    <w:rsid w:val="00110EF9"/>
    <w:rsid w:val="001110E7"/>
    <w:rsid w:val="0011146C"/>
    <w:rsid w:val="00111E03"/>
    <w:rsid w:val="001124A9"/>
    <w:rsid w:val="00112B35"/>
    <w:rsid w:val="0011334B"/>
    <w:rsid w:val="001133D8"/>
    <w:rsid w:val="001139AD"/>
    <w:rsid w:val="0011426F"/>
    <w:rsid w:val="00114750"/>
    <w:rsid w:val="00114994"/>
    <w:rsid w:val="00114BFF"/>
    <w:rsid w:val="00115030"/>
    <w:rsid w:val="001161D2"/>
    <w:rsid w:val="001168E5"/>
    <w:rsid w:val="001169CD"/>
    <w:rsid w:val="00116E8C"/>
    <w:rsid w:val="00120DD3"/>
    <w:rsid w:val="00122052"/>
    <w:rsid w:val="001229EC"/>
    <w:rsid w:val="00122F97"/>
    <w:rsid w:val="001232C4"/>
    <w:rsid w:val="00123440"/>
    <w:rsid w:val="00123F02"/>
    <w:rsid w:val="001245FF"/>
    <w:rsid w:val="00124719"/>
    <w:rsid w:val="00124FDD"/>
    <w:rsid w:val="00125546"/>
    <w:rsid w:val="00126204"/>
    <w:rsid w:val="0012642A"/>
    <w:rsid w:val="001266E0"/>
    <w:rsid w:val="00126763"/>
    <w:rsid w:val="00126805"/>
    <w:rsid w:val="00130070"/>
    <w:rsid w:val="0013021C"/>
    <w:rsid w:val="0013076D"/>
    <w:rsid w:val="00130BDD"/>
    <w:rsid w:val="00130EAE"/>
    <w:rsid w:val="00130F2E"/>
    <w:rsid w:val="00131045"/>
    <w:rsid w:val="001318A4"/>
    <w:rsid w:val="00131DDD"/>
    <w:rsid w:val="00132360"/>
    <w:rsid w:val="001327D5"/>
    <w:rsid w:val="001328A5"/>
    <w:rsid w:val="0013313D"/>
    <w:rsid w:val="001333AF"/>
    <w:rsid w:val="0013361A"/>
    <w:rsid w:val="00133876"/>
    <w:rsid w:val="00133A0D"/>
    <w:rsid w:val="00133ABC"/>
    <w:rsid w:val="00133ACF"/>
    <w:rsid w:val="00133D6B"/>
    <w:rsid w:val="00133E24"/>
    <w:rsid w:val="0013521F"/>
    <w:rsid w:val="00135675"/>
    <w:rsid w:val="00135765"/>
    <w:rsid w:val="00135E45"/>
    <w:rsid w:val="00136135"/>
    <w:rsid w:val="001364FA"/>
    <w:rsid w:val="00136F8F"/>
    <w:rsid w:val="00137414"/>
    <w:rsid w:val="00137ADE"/>
    <w:rsid w:val="00137BA0"/>
    <w:rsid w:val="00140962"/>
    <w:rsid w:val="00140CCE"/>
    <w:rsid w:val="00141691"/>
    <w:rsid w:val="001417B9"/>
    <w:rsid w:val="00141973"/>
    <w:rsid w:val="001426AF"/>
    <w:rsid w:val="00142BE1"/>
    <w:rsid w:val="00142EA5"/>
    <w:rsid w:val="00143278"/>
    <w:rsid w:val="001432C8"/>
    <w:rsid w:val="001434B4"/>
    <w:rsid w:val="00143D43"/>
    <w:rsid w:val="00144705"/>
    <w:rsid w:val="00144821"/>
    <w:rsid w:val="00144DEB"/>
    <w:rsid w:val="00145A4A"/>
    <w:rsid w:val="00146034"/>
    <w:rsid w:val="00146036"/>
    <w:rsid w:val="00146E52"/>
    <w:rsid w:val="0014702C"/>
    <w:rsid w:val="001474C1"/>
    <w:rsid w:val="0014776A"/>
    <w:rsid w:val="00150371"/>
    <w:rsid w:val="00150D41"/>
    <w:rsid w:val="00151371"/>
    <w:rsid w:val="001516CD"/>
    <w:rsid w:val="00151AFF"/>
    <w:rsid w:val="00152DA5"/>
    <w:rsid w:val="001530F1"/>
    <w:rsid w:val="00153708"/>
    <w:rsid w:val="0015380D"/>
    <w:rsid w:val="00153FAC"/>
    <w:rsid w:val="001548D8"/>
    <w:rsid w:val="001549E7"/>
    <w:rsid w:val="00154D62"/>
    <w:rsid w:val="001555A1"/>
    <w:rsid w:val="00155BEA"/>
    <w:rsid w:val="00156261"/>
    <w:rsid w:val="001570A6"/>
    <w:rsid w:val="00160673"/>
    <w:rsid w:val="0016072F"/>
    <w:rsid w:val="00160933"/>
    <w:rsid w:val="001617BB"/>
    <w:rsid w:val="00161BB3"/>
    <w:rsid w:val="001620B2"/>
    <w:rsid w:val="001627F2"/>
    <w:rsid w:val="001629DF"/>
    <w:rsid w:val="00162AE9"/>
    <w:rsid w:val="00163D36"/>
    <w:rsid w:val="0016403D"/>
    <w:rsid w:val="001640E7"/>
    <w:rsid w:val="00165136"/>
    <w:rsid w:val="00165352"/>
    <w:rsid w:val="00165C0B"/>
    <w:rsid w:val="0016644F"/>
    <w:rsid w:val="00166B8A"/>
    <w:rsid w:val="00167CD1"/>
    <w:rsid w:val="00170548"/>
    <w:rsid w:val="00171159"/>
    <w:rsid w:val="001717E4"/>
    <w:rsid w:val="00171A6F"/>
    <w:rsid w:val="00171AB5"/>
    <w:rsid w:val="00171D2D"/>
    <w:rsid w:val="00172140"/>
    <w:rsid w:val="00172C31"/>
    <w:rsid w:val="00172FF7"/>
    <w:rsid w:val="001734E2"/>
    <w:rsid w:val="001747A7"/>
    <w:rsid w:val="00174A9C"/>
    <w:rsid w:val="00175C87"/>
    <w:rsid w:val="00175FA3"/>
    <w:rsid w:val="0017652C"/>
    <w:rsid w:val="001774B6"/>
    <w:rsid w:val="00177590"/>
    <w:rsid w:val="00177CA5"/>
    <w:rsid w:val="00180F40"/>
    <w:rsid w:val="0018181E"/>
    <w:rsid w:val="00181AEA"/>
    <w:rsid w:val="001836F4"/>
    <w:rsid w:val="00183927"/>
    <w:rsid w:val="00184299"/>
    <w:rsid w:val="0018452B"/>
    <w:rsid w:val="00184766"/>
    <w:rsid w:val="0018591A"/>
    <w:rsid w:val="00186801"/>
    <w:rsid w:val="00186CD5"/>
    <w:rsid w:val="00186F1A"/>
    <w:rsid w:val="00187755"/>
    <w:rsid w:val="00187FAA"/>
    <w:rsid w:val="001901C8"/>
    <w:rsid w:val="001904C1"/>
    <w:rsid w:val="001906CD"/>
    <w:rsid w:val="0019093A"/>
    <w:rsid w:val="00190995"/>
    <w:rsid w:val="00190E69"/>
    <w:rsid w:val="001911BA"/>
    <w:rsid w:val="0019240E"/>
    <w:rsid w:val="00192E65"/>
    <w:rsid w:val="001931DA"/>
    <w:rsid w:val="001938A8"/>
    <w:rsid w:val="00193BBB"/>
    <w:rsid w:val="0019493D"/>
    <w:rsid w:val="001960E3"/>
    <w:rsid w:val="00196B66"/>
    <w:rsid w:val="00196D39"/>
    <w:rsid w:val="00196F30"/>
    <w:rsid w:val="00197CB2"/>
    <w:rsid w:val="001A024D"/>
    <w:rsid w:val="001A110C"/>
    <w:rsid w:val="001A1129"/>
    <w:rsid w:val="001A1E6F"/>
    <w:rsid w:val="001A1F5D"/>
    <w:rsid w:val="001A21B9"/>
    <w:rsid w:val="001A2574"/>
    <w:rsid w:val="001A2C12"/>
    <w:rsid w:val="001A452F"/>
    <w:rsid w:val="001A455D"/>
    <w:rsid w:val="001A46BE"/>
    <w:rsid w:val="001A46DD"/>
    <w:rsid w:val="001A5B29"/>
    <w:rsid w:val="001A5CB8"/>
    <w:rsid w:val="001A67D1"/>
    <w:rsid w:val="001A7349"/>
    <w:rsid w:val="001A73AF"/>
    <w:rsid w:val="001A7DB4"/>
    <w:rsid w:val="001B004E"/>
    <w:rsid w:val="001B0D7E"/>
    <w:rsid w:val="001B1111"/>
    <w:rsid w:val="001B1E03"/>
    <w:rsid w:val="001B23DD"/>
    <w:rsid w:val="001B2E97"/>
    <w:rsid w:val="001B2E9F"/>
    <w:rsid w:val="001B2EA8"/>
    <w:rsid w:val="001B34CB"/>
    <w:rsid w:val="001B4084"/>
    <w:rsid w:val="001B4CAE"/>
    <w:rsid w:val="001B52CE"/>
    <w:rsid w:val="001B5F5F"/>
    <w:rsid w:val="001B622A"/>
    <w:rsid w:val="001B6B96"/>
    <w:rsid w:val="001B7500"/>
    <w:rsid w:val="001C0213"/>
    <w:rsid w:val="001C048A"/>
    <w:rsid w:val="001C07C1"/>
    <w:rsid w:val="001C0FCD"/>
    <w:rsid w:val="001C13E4"/>
    <w:rsid w:val="001C19F7"/>
    <w:rsid w:val="001C213A"/>
    <w:rsid w:val="001C24D1"/>
    <w:rsid w:val="001C2D16"/>
    <w:rsid w:val="001C2D35"/>
    <w:rsid w:val="001C32AF"/>
    <w:rsid w:val="001C36C5"/>
    <w:rsid w:val="001C37F1"/>
    <w:rsid w:val="001C3CD5"/>
    <w:rsid w:val="001C3F67"/>
    <w:rsid w:val="001C4032"/>
    <w:rsid w:val="001C440F"/>
    <w:rsid w:val="001C4517"/>
    <w:rsid w:val="001C45A1"/>
    <w:rsid w:val="001C48A9"/>
    <w:rsid w:val="001C4BDB"/>
    <w:rsid w:val="001C4C24"/>
    <w:rsid w:val="001C4FFB"/>
    <w:rsid w:val="001C7455"/>
    <w:rsid w:val="001C77DE"/>
    <w:rsid w:val="001C7AC9"/>
    <w:rsid w:val="001C7D05"/>
    <w:rsid w:val="001C7D35"/>
    <w:rsid w:val="001D08B2"/>
    <w:rsid w:val="001D0D47"/>
    <w:rsid w:val="001D0FA4"/>
    <w:rsid w:val="001D1535"/>
    <w:rsid w:val="001D190E"/>
    <w:rsid w:val="001D1C57"/>
    <w:rsid w:val="001D1E03"/>
    <w:rsid w:val="001D1E44"/>
    <w:rsid w:val="001D2A64"/>
    <w:rsid w:val="001D2E33"/>
    <w:rsid w:val="001D464B"/>
    <w:rsid w:val="001D4BF1"/>
    <w:rsid w:val="001D5102"/>
    <w:rsid w:val="001D60AD"/>
    <w:rsid w:val="001D703E"/>
    <w:rsid w:val="001D7503"/>
    <w:rsid w:val="001D77D8"/>
    <w:rsid w:val="001D788E"/>
    <w:rsid w:val="001D78F8"/>
    <w:rsid w:val="001E0E11"/>
    <w:rsid w:val="001E1538"/>
    <w:rsid w:val="001E1C7E"/>
    <w:rsid w:val="001E1FDB"/>
    <w:rsid w:val="001E261D"/>
    <w:rsid w:val="001E3728"/>
    <w:rsid w:val="001E4852"/>
    <w:rsid w:val="001E5990"/>
    <w:rsid w:val="001E61A7"/>
    <w:rsid w:val="001E61B1"/>
    <w:rsid w:val="001E65D9"/>
    <w:rsid w:val="001E68CF"/>
    <w:rsid w:val="001E726E"/>
    <w:rsid w:val="001E7BA8"/>
    <w:rsid w:val="001F0504"/>
    <w:rsid w:val="001F0756"/>
    <w:rsid w:val="001F0871"/>
    <w:rsid w:val="001F0AF1"/>
    <w:rsid w:val="001F0F6F"/>
    <w:rsid w:val="001F1126"/>
    <w:rsid w:val="001F1A8E"/>
    <w:rsid w:val="001F1B04"/>
    <w:rsid w:val="001F2027"/>
    <w:rsid w:val="001F2073"/>
    <w:rsid w:val="001F3D0F"/>
    <w:rsid w:val="001F3FC6"/>
    <w:rsid w:val="001F51F6"/>
    <w:rsid w:val="001F58AB"/>
    <w:rsid w:val="001F5A66"/>
    <w:rsid w:val="001F7016"/>
    <w:rsid w:val="002000FD"/>
    <w:rsid w:val="002001C0"/>
    <w:rsid w:val="0020038E"/>
    <w:rsid w:val="00200D94"/>
    <w:rsid w:val="00200DAF"/>
    <w:rsid w:val="002010E7"/>
    <w:rsid w:val="00201833"/>
    <w:rsid w:val="002019C4"/>
    <w:rsid w:val="00201E2B"/>
    <w:rsid w:val="002023EB"/>
    <w:rsid w:val="00202539"/>
    <w:rsid w:val="00202590"/>
    <w:rsid w:val="002025B8"/>
    <w:rsid w:val="002025C0"/>
    <w:rsid w:val="0020348D"/>
    <w:rsid w:val="002036A5"/>
    <w:rsid w:val="00204689"/>
    <w:rsid w:val="00204B34"/>
    <w:rsid w:val="00204C8C"/>
    <w:rsid w:val="002056C2"/>
    <w:rsid w:val="002057AB"/>
    <w:rsid w:val="00205BE9"/>
    <w:rsid w:val="00205F17"/>
    <w:rsid w:val="00207250"/>
    <w:rsid w:val="002075A0"/>
    <w:rsid w:val="00207A95"/>
    <w:rsid w:val="00210127"/>
    <w:rsid w:val="002109AC"/>
    <w:rsid w:val="00210BA0"/>
    <w:rsid w:val="00210F02"/>
    <w:rsid w:val="00210F1E"/>
    <w:rsid w:val="00210F8D"/>
    <w:rsid w:val="00211053"/>
    <w:rsid w:val="0021110C"/>
    <w:rsid w:val="00211F2B"/>
    <w:rsid w:val="00212CED"/>
    <w:rsid w:val="00212DA5"/>
    <w:rsid w:val="00212EF3"/>
    <w:rsid w:val="002141B2"/>
    <w:rsid w:val="00215019"/>
    <w:rsid w:val="002157C8"/>
    <w:rsid w:val="00215C8D"/>
    <w:rsid w:val="00217D48"/>
    <w:rsid w:val="00220884"/>
    <w:rsid w:val="00220DAC"/>
    <w:rsid w:val="00221BDC"/>
    <w:rsid w:val="002226E3"/>
    <w:rsid w:val="002228C5"/>
    <w:rsid w:val="00222FE7"/>
    <w:rsid w:val="002230AA"/>
    <w:rsid w:val="002235A5"/>
    <w:rsid w:val="00223EEB"/>
    <w:rsid w:val="00224316"/>
    <w:rsid w:val="0022436E"/>
    <w:rsid w:val="00224BA2"/>
    <w:rsid w:val="00225402"/>
    <w:rsid w:val="00225B95"/>
    <w:rsid w:val="00226739"/>
    <w:rsid w:val="00226B89"/>
    <w:rsid w:val="002310E3"/>
    <w:rsid w:val="00232089"/>
    <w:rsid w:val="00233849"/>
    <w:rsid w:val="00233988"/>
    <w:rsid w:val="00233B49"/>
    <w:rsid w:val="00233FBC"/>
    <w:rsid w:val="00234BC3"/>
    <w:rsid w:val="00235061"/>
    <w:rsid w:val="0023566C"/>
    <w:rsid w:val="00235747"/>
    <w:rsid w:val="00235C33"/>
    <w:rsid w:val="00235CB5"/>
    <w:rsid w:val="00235EFC"/>
    <w:rsid w:val="002376B2"/>
    <w:rsid w:val="00237B81"/>
    <w:rsid w:val="00240126"/>
    <w:rsid w:val="002406F7"/>
    <w:rsid w:val="0024071C"/>
    <w:rsid w:val="002411CA"/>
    <w:rsid w:val="002417DE"/>
    <w:rsid w:val="00241B4F"/>
    <w:rsid w:val="00241DC3"/>
    <w:rsid w:val="00241DF6"/>
    <w:rsid w:val="00241F61"/>
    <w:rsid w:val="0024234D"/>
    <w:rsid w:val="002434B3"/>
    <w:rsid w:val="00243CC8"/>
    <w:rsid w:val="00244598"/>
    <w:rsid w:val="00244686"/>
    <w:rsid w:val="00244A0E"/>
    <w:rsid w:val="00244AB5"/>
    <w:rsid w:val="00245603"/>
    <w:rsid w:val="00245CDB"/>
    <w:rsid w:val="00245D27"/>
    <w:rsid w:val="0024635F"/>
    <w:rsid w:val="002467E1"/>
    <w:rsid w:val="00246862"/>
    <w:rsid w:val="00247039"/>
    <w:rsid w:val="002474B2"/>
    <w:rsid w:val="002474C4"/>
    <w:rsid w:val="00250915"/>
    <w:rsid w:val="00251150"/>
    <w:rsid w:val="002514DB"/>
    <w:rsid w:val="00251C0E"/>
    <w:rsid w:val="00251E1F"/>
    <w:rsid w:val="00252699"/>
    <w:rsid w:val="002526D6"/>
    <w:rsid w:val="00253D78"/>
    <w:rsid w:val="00253F17"/>
    <w:rsid w:val="00254468"/>
    <w:rsid w:val="00254CFF"/>
    <w:rsid w:val="002555F2"/>
    <w:rsid w:val="002556E5"/>
    <w:rsid w:val="00255D1D"/>
    <w:rsid w:val="00257A31"/>
    <w:rsid w:val="00257ABC"/>
    <w:rsid w:val="00260193"/>
    <w:rsid w:val="00260880"/>
    <w:rsid w:val="00260B5F"/>
    <w:rsid w:val="002610A8"/>
    <w:rsid w:val="002613BD"/>
    <w:rsid w:val="00261596"/>
    <w:rsid w:val="002621FE"/>
    <w:rsid w:val="0026237B"/>
    <w:rsid w:val="00262734"/>
    <w:rsid w:val="00262E7F"/>
    <w:rsid w:val="00263152"/>
    <w:rsid w:val="00263197"/>
    <w:rsid w:val="0026338A"/>
    <w:rsid w:val="002633D8"/>
    <w:rsid w:val="00263B09"/>
    <w:rsid w:val="00263FAA"/>
    <w:rsid w:val="00266301"/>
    <w:rsid w:val="002668FA"/>
    <w:rsid w:val="002670BB"/>
    <w:rsid w:val="00267567"/>
    <w:rsid w:val="00267659"/>
    <w:rsid w:val="00267A73"/>
    <w:rsid w:val="00267B23"/>
    <w:rsid w:val="0027071D"/>
    <w:rsid w:val="0027177D"/>
    <w:rsid w:val="00271A0F"/>
    <w:rsid w:val="00272541"/>
    <w:rsid w:val="00272A46"/>
    <w:rsid w:val="00273726"/>
    <w:rsid w:val="0027460C"/>
    <w:rsid w:val="00274D02"/>
    <w:rsid w:val="00275138"/>
    <w:rsid w:val="00275413"/>
    <w:rsid w:val="00275F20"/>
    <w:rsid w:val="0027634A"/>
    <w:rsid w:val="00276579"/>
    <w:rsid w:val="0027739C"/>
    <w:rsid w:val="002809F8"/>
    <w:rsid w:val="00280F25"/>
    <w:rsid w:val="00281376"/>
    <w:rsid w:val="0028194B"/>
    <w:rsid w:val="00281F6C"/>
    <w:rsid w:val="0028239C"/>
    <w:rsid w:val="002834A7"/>
    <w:rsid w:val="00283801"/>
    <w:rsid w:val="00283F14"/>
    <w:rsid w:val="00284378"/>
    <w:rsid w:val="002858B4"/>
    <w:rsid w:val="00285A38"/>
    <w:rsid w:val="002865EB"/>
    <w:rsid w:val="00287E1C"/>
    <w:rsid w:val="00291972"/>
    <w:rsid w:val="00291CB3"/>
    <w:rsid w:val="00291E06"/>
    <w:rsid w:val="00292001"/>
    <w:rsid w:val="0029220C"/>
    <w:rsid w:val="0029387D"/>
    <w:rsid w:val="00294035"/>
    <w:rsid w:val="0029404D"/>
    <w:rsid w:val="00294236"/>
    <w:rsid w:val="002945BA"/>
    <w:rsid w:val="002950AC"/>
    <w:rsid w:val="002954D8"/>
    <w:rsid w:val="0029662C"/>
    <w:rsid w:val="00296E94"/>
    <w:rsid w:val="00297668"/>
    <w:rsid w:val="0029771C"/>
    <w:rsid w:val="00297AEA"/>
    <w:rsid w:val="002A008B"/>
    <w:rsid w:val="002A0D47"/>
    <w:rsid w:val="002A14F9"/>
    <w:rsid w:val="002A2137"/>
    <w:rsid w:val="002A24C9"/>
    <w:rsid w:val="002A43C5"/>
    <w:rsid w:val="002A43F9"/>
    <w:rsid w:val="002A497D"/>
    <w:rsid w:val="002A499C"/>
    <w:rsid w:val="002A4E34"/>
    <w:rsid w:val="002A4ECC"/>
    <w:rsid w:val="002A53FB"/>
    <w:rsid w:val="002A5AEB"/>
    <w:rsid w:val="002A5BF9"/>
    <w:rsid w:val="002A5F26"/>
    <w:rsid w:val="002A6084"/>
    <w:rsid w:val="002A6D32"/>
    <w:rsid w:val="002A6F2B"/>
    <w:rsid w:val="002A73BF"/>
    <w:rsid w:val="002A7649"/>
    <w:rsid w:val="002B012E"/>
    <w:rsid w:val="002B0A24"/>
    <w:rsid w:val="002B10BC"/>
    <w:rsid w:val="002B1566"/>
    <w:rsid w:val="002B1A75"/>
    <w:rsid w:val="002B2CEF"/>
    <w:rsid w:val="002B3906"/>
    <w:rsid w:val="002B3DC4"/>
    <w:rsid w:val="002B3DC8"/>
    <w:rsid w:val="002B4F85"/>
    <w:rsid w:val="002B558A"/>
    <w:rsid w:val="002B5C57"/>
    <w:rsid w:val="002B62F9"/>
    <w:rsid w:val="002B6926"/>
    <w:rsid w:val="002B70EC"/>
    <w:rsid w:val="002B7201"/>
    <w:rsid w:val="002B72FD"/>
    <w:rsid w:val="002B746B"/>
    <w:rsid w:val="002B7AE9"/>
    <w:rsid w:val="002C05C1"/>
    <w:rsid w:val="002C07DC"/>
    <w:rsid w:val="002C10A8"/>
    <w:rsid w:val="002C1313"/>
    <w:rsid w:val="002C18E3"/>
    <w:rsid w:val="002C29C4"/>
    <w:rsid w:val="002C2BF3"/>
    <w:rsid w:val="002C2EB2"/>
    <w:rsid w:val="002C3302"/>
    <w:rsid w:val="002C3A67"/>
    <w:rsid w:val="002C3C49"/>
    <w:rsid w:val="002C432C"/>
    <w:rsid w:val="002C45E0"/>
    <w:rsid w:val="002C6739"/>
    <w:rsid w:val="002C696A"/>
    <w:rsid w:val="002C6CC1"/>
    <w:rsid w:val="002C6EE3"/>
    <w:rsid w:val="002C7058"/>
    <w:rsid w:val="002C7D83"/>
    <w:rsid w:val="002C7DAF"/>
    <w:rsid w:val="002D06B9"/>
    <w:rsid w:val="002D06D0"/>
    <w:rsid w:val="002D107C"/>
    <w:rsid w:val="002D184B"/>
    <w:rsid w:val="002D1CC5"/>
    <w:rsid w:val="002D28E6"/>
    <w:rsid w:val="002D2D94"/>
    <w:rsid w:val="002D353C"/>
    <w:rsid w:val="002D3AD0"/>
    <w:rsid w:val="002D4116"/>
    <w:rsid w:val="002D469D"/>
    <w:rsid w:val="002D46E2"/>
    <w:rsid w:val="002D5C07"/>
    <w:rsid w:val="002D5C69"/>
    <w:rsid w:val="002D630D"/>
    <w:rsid w:val="002D63FF"/>
    <w:rsid w:val="002E026E"/>
    <w:rsid w:val="002E053F"/>
    <w:rsid w:val="002E0F9E"/>
    <w:rsid w:val="002E1118"/>
    <w:rsid w:val="002E1359"/>
    <w:rsid w:val="002E15F1"/>
    <w:rsid w:val="002E1CB1"/>
    <w:rsid w:val="002E235D"/>
    <w:rsid w:val="002E2D7E"/>
    <w:rsid w:val="002E3FCC"/>
    <w:rsid w:val="002E4087"/>
    <w:rsid w:val="002E5530"/>
    <w:rsid w:val="002E620A"/>
    <w:rsid w:val="002E7165"/>
    <w:rsid w:val="002E7B4F"/>
    <w:rsid w:val="002F1032"/>
    <w:rsid w:val="002F1888"/>
    <w:rsid w:val="002F1CBE"/>
    <w:rsid w:val="002F201F"/>
    <w:rsid w:val="002F22CB"/>
    <w:rsid w:val="002F2F62"/>
    <w:rsid w:val="002F31A6"/>
    <w:rsid w:val="002F342F"/>
    <w:rsid w:val="002F4235"/>
    <w:rsid w:val="002F43B2"/>
    <w:rsid w:val="002F4F29"/>
    <w:rsid w:val="002F4F5E"/>
    <w:rsid w:val="002F5696"/>
    <w:rsid w:val="002F5AA0"/>
    <w:rsid w:val="002F65E0"/>
    <w:rsid w:val="002F675D"/>
    <w:rsid w:val="002F6947"/>
    <w:rsid w:val="00300204"/>
    <w:rsid w:val="003012FD"/>
    <w:rsid w:val="00301641"/>
    <w:rsid w:val="003022CE"/>
    <w:rsid w:val="00302D84"/>
    <w:rsid w:val="00302FE8"/>
    <w:rsid w:val="00303283"/>
    <w:rsid w:val="00305ADE"/>
    <w:rsid w:val="003065B2"/>
    <w:rsid w:val="00306A62"/>
    <w:rsid w:val="003070AB"/>
    <w:rsid w:val="003070FE"/>
    <w:rsid w:val="00307A2F"/>
    <w:rsid w:val="0031030F"/>
    <w:rsid w:val="003104CD"/>
    <w:rsid w:val="00311163"/>
    <w:rsid w:val="0031128C"/>
    <w:rsid w:val="00311905"/>
    <w:rsid w:val="00311938"/>
    <w:rsid w:val="00312194"/>
    <w:rsid w:val="00312395"/>
    <w:rsid w:val="0031384E"/>
    <w:rsid w:val="00313D14"/>
    <w:rsid w:val="003142BD"/>
    <w:rsid w:val="0031455A"/>
    <w:rsid w:val="00314A3A"/>
    <w:rsid w:val="00315741"/>
    <w:rsid w:val="00315BCC"/>
    <w:rsid w:val="00315EBF"/>
    <w:rsid w:val="003165F5"/>
    <w:rsid w:val="00316BC3"/>
    <w:rsid w:val="00317094"/>
    <w:rsid w:val="00317880"/>
    <w:rsid w:val="00320BFC"/>
    <w:rsid w:val="00320F55"/>
    <w:rsid w:val="00320FA3"/>
    <w:rsid w:val="0032118C"/>
    <w:rsid w:val="00321846"/>
    <w:rsid w:val="0032191A"/>
    <w:rsid w:val="00321D89"/>
    <w:rsid w:val="003223AE"/>
    <w:rsid w:val="003226D8"/>
    <w:rsid w:val="00323406"/>
    <w:rsid w:val="00323776"/>
    <w:rsid w:val="00323A22"/>
    <w:rsid w:val="00323FA7"/>
    <w:rsid w:val="003246AD"/>
    <w:rsid w:val="00324DDB"/>
    <w:rsid w:val="00325112"/>
    <w:rsid w:val="00325BC5"/>
    <w:rsid w:val="0032624E"/>
    <w:rsid w:val="00326677"/>
    <w:rsid w:val="00326AC8"/>
    <w:rsid w:val="00327170"/>
    <w:rsid w:val="003301C4"/>
    <w:rsid w:val="00331C9E"/>
    <w:rsid w:val="00332503"/>
    <w:rsid w:val="00332D55"/>
    <w:rsid w:val="0033319D"/>
    <w:rsid w:val="0033456F"/>
    <w:rsid w:val="00334C05"/>
    <w:rsid w:val="00334D9B"/>
    <w:rsid w:val="003364CC"/>
    <w:rsid w:val="003364DD"/>
    <w:rsid w:val="0033677D"/>
    <w:rsid w:val="00336A19"/>
    <w:rsid w:val="00336E6E"/>
    <w:rsid w:val="00337063"/>
    <w:rsid w:val="0033732A"/>
    <w:rsid w:val="00337566"/>
    <w:rsid w:val="00337862"/>
    <w:rsid w:val="00341066"/>
    <w:rsid w:val="0034151B"/>
    <w:rsid w:val="00342521"/>
    <w:rsid w:val="00342707"/>
    <w:rsid w:val="00342A4F"/>
    <w:rsid w:val="00342DA8"/>
    <w:rsid w:val="003436AB"/>
    <w:rsid w:val="00343C52"/>
    <w:rsid w:val="00344529"/>
    <w:rsid w:val="00344E22"/>
    <w:rsid w:val="003451F5"/>
    <w:rsid w:val="00345326"/>
    <w:rsid w:val="0034621E"/>
    <w:rsid w:val="003466B8"/>
    <w:rsid w:val="00346B60"/>
    <w:rsid w:val="00346B8C"/>
    <w:rsid w:val="00346FED"/>
    <w:rsid w:val="00347044"/>
    <w:rsid w:val="0034754E"/>
    <w:rsid w:val="00347DEB"/>
    <w:rsid w:val="00347F70"/>
    <w:rsid w:val="003502F2"/>
    <w:rsid w:val="0035074E"/>
    <w:rsid w:val="0035213E"/>
    <w:rsid w:val="0035262D"/>
    <w:rsid w:val="00352E9C"/>
    <w:rsid w:val="00353319"/>
    <w:rsid w:val="00353BE4"/>
    <w:rsid w:val="00353D22"/>
    <w:rsid w:val="00354135"/>
    <w:rsid w:val="0035585E"/>
    <w:rsid w:val="00355BFC"/>
    <w:rsid w:val="00356B45"/>
    <w:rsid w:val="0035752F"/>
    <w:rsid w:val="00357566"/>
    <w:rsid w:val="00357B7B"/>
    <w:rsid w:val="0036032A"/>
    <w:rsid w:val="00360FE3"/>
    <w:rsid w:val="0036196A"/>
    <w:rsid w:val="00362837"/>
    <w:rsid w:val="00363D4C"/>
    <w:rsid w:val="003642BF"/>
    <w:rsid w:val="00364C10"/>
    <w:rsid w:val="00364F7F"/>
    <w:rsid w:val="00364FD4"/>
    <w:rsid w:val="003650CB"/>
    <w:rsid w:val="00365261"/>
    <w:rsid w:val="00365E88"/>
    <w:rsid w:val="003664C9"/>
    <w:rsid w:val="00366A74"/>
    <w:rsid w:val="003672FA"/>
    <w:rsid w:val="00367319"/>
    <w:rsid w:val="00367625"/>
    <w:rsid w:val="00367884"/>
    <w:rsid w:val="00367C1B"/>
    <w:rsid w:val="003702CB"/>
    <w:rsid w:val="0037057D"/>
    <w:rsid w:val="003709B1"/>
    <w:rsid w:val="00371A0C"/>
    <w:rsid w:val="00371B2A"/>
    <w:rsid w:val="0037240F"/>
    <w:rsid w:val="0037323F"/>
    <w:rsid w:val="00373382"/>
    <w:rsid w:val="00373522"/>
    <w:rsid w:val="003737D1"/>
    <w:rsid w:val="0037388F"/>
    <w:rsid w:val="0037449E"/>
    <w:rsid w:val="003744E0"/>
    <w:rsid w:val="00374529"/>
    <w:rsid w:val="003749C1"/>
    <w:rsid w:val="00374A68"/>
    <w:rsid w:val="00374C7C"/>
    <w:rsid w:val="0037582C"/>
    <w:rsid w:val="00375AA3"/>
    <w:rsid w:val="00375D87"/>
    <w:rsid w:val="003767F4"/>
    <w:rsid w:val="00377764"/>
    <w:rsid w:val="00377C1C"/>
    <w:rsid w:val="00380A6E"/>
    <w:rsid w:val="00380C1F"/>
    <w:rsid w:val="00381315"/>
    <w:rsid w:val="003822C0"/>
    <w:rsid w:val="003829CA"/>
    <w:rsid w:val="00382F8A"/>
    <w:rsid w:val="003839F7"/>
    <w:rsid w:val="00383F00"/>
    <w:rsid w:val="003847B5"/>
    <w:rsid w:val="00384EB6"/>
    <w:rsid w:val="00386405"/>
    <w:rsid w:val="003868F4"/>
    <w:rsid w:val="00386DCA"/>
    <w:rsid w:val="00387099"/>
    <w:rsid w:val="003877DD"/>
    <w:rsid w:val="00390AA2"/>
    <w:rsid w:val="00390B85"/>
    <w:rsid w:val="00390F9B"/>
    <w:rsid w:val="003913F2"/>
    <w:rsid w:val="0039202C"/>
    <w:rsid w:val="00392236"/>
    <w:rsid w:val="0039237C"/>
    <w:rsid w:val="003927BB"/>
    <w:rsid w:val="00392AE7"/>
    <w:rsid w:val="00392B69"/>
    <w:rsid w:val="00392C1D"/>
    <w:rsid w:val="003938F6"/>
    <w:rsid w:val="00393C0A"/>
    <w:rsid w:val="0039408E"/>
    <w:rsid w:val="00394551"/>
    <w:rsid w:val="003946DC"/>
    <w:rsid w:val="00394876"/>
    <w:rsid w:val="00394ECB"/>
    <w:rsid w:val="00394F48"/>
    <w:rsid w:val="00395508"/>
    <w:rsid w:val="00395A30"/>
    <w:rsid w:val="00396690"/>
    <w:rsid w:val="00396959"/>
    <w:rsid w:val="00396AB1"/>
    <w:rsid w:val="00396BDD"/>
    <w:rsid w:val="00396C4A"/>
    <w:rsid w:val="00396C60"/>
    <w:rsid w:val="0039797A"/>
    <w:rsid w:val="003A06B0"/>
    <w:rsid w:val="003A0724"/>
    <w:rsid w:val="003A0798"/>
    <w:rsid w:val="003A0B54"/>
    <w:rsid w:val="003A0B97"/>
    <w:rsid w:val="003A0CE4"/>
    <w:rsid w:val="003A13E8"/>
    <w:rsid w:val="003A1A79"/>
    <w:rsid w:val="003A2DDD"/>
    <w:rsid w:val="003A3679"/>
    <w:rsid w:val="003A39FE"/>
    <w:rsid w:val="003A3A4A"/>
    <w:rsid w:val="003A3C98"/>
    <w:rsid w:val="003A3EE2"/>
    <w:rsid w:val="003A3EFB"/>
    <w:rsid w:val="003A4369"/>
    <w:rsid w:val="003A4C1F"/>
    <w:rsid w:val="003A4CFD"/>
    <w:rsid w:val="003A521D"/>
    <w:rsid w:val="003A553C"/>
    <w:rsid w:val="003A59AC"/>
    <w:rsid w:val="003A5D05"/>
    <w:rsid w:val="003A607B"/>
    <w:rsid w:val="003A628A"/>
    <w:rsid w:val="003A683A"/>
    <w:rsid w:val="003A7747"/>
    <w:rsid w:val="003B082B"/>
    <w:rsid w:val="003B14B0"/>
    <w:rsid w:val="003B1C0A"/>
    <w:rsid w:val="003B2830"/>
    <w:rsid w:val="003B3556"/>
    <w:rsid w:val="003B3778"/>
    <w:rsid w:val="003B3D09"/>
    <w:rsid w:val="003B5194"/>
    <w:rsid w:val="003B5A9C"/>
    <w:rsid w:val="003B5B10"/>
    <w:rsid w:val="003B5C91"/>
    <w:rsid w:val="003B5D1B"/>
    <w:rsid w:val="003B5DFA"/>
    <w:rsid w:val="003B621C"/>
    <w:rsid w:val="003B6AB9"/>
    <w:rsid w:val="003B72D0"/>
    <w:rsid w:val="003B7D8D"/>
    <w:rsid w:val="003C0203"/>
    <w:rsid w:val="003C10CA"/>
    <w:rsid w:val="003C11C3"/>
    <w:rsid w:val="003C1606"/>
    <w:rsid w:val="003C1E11"/>
    <w:rsid w:val="003C251A"/>
    <w:rsid w:val="003C278B"/>
    <w:rsid w:val="003C2B70"/>
    <w:rsid w:val="003C2C92"/>
    <w:rsid w:val="003C307B"/>
    <w:rsid w:val="003C33B5"/>
    <w:rsid w:val="003C36B4"/>
    <w:rsid w:val="003C3F5C"/>
    <w:rsid w:val="003C4D83"/>
    <w:rsid w:val="003C5470"/>
    <w:rsid w:val="003C579A"/>
    <w:rsid w:val="003C71BF"/>
    <w:rsid w:val="003C7303"/>
    <w:rsid w:val="003C758B"/>
    <w:rsid w:val="003C7A50"/>
    <w:rsid w:val="003D0058"/>
    <w:rsid w:val="003D02E2"/>
    <w:rsid w:val="003D0E99"/>
    <w:rsid w:val="003D15BB"/>
    <w:rsid w:val="003D2000"/>
    <w:rsid w:val="003D2F36"/>
    <w:rsid w:val="003D32B8"/>
    <w:rsid w:val="003D4A07"/>
    <w:rsid w:val="003D4BA0"/>
    <w:rsid w:val="003D4CE9"/>
    <w:rsid w:val="003D5157"/>
    <w:rsid w:val="003D51E3"/>
    <w:rsid w:val="003D542C"/>
    <w:rsid w:val="003D78B9"/>
    <w:rsid w:val="003E0C8D"/>
    <w:rsid w:val="003E0E70"/>
    <w:rsid w:val="003E123D"/>
    <w:rsid w:val="003E240F"/>
    <w:rsid w:val="003E270E"/>
    <w:rsid w:val="003E275E"/>
    <w:rsid w:val="003E44BF"/>
    <w:rsid w:val="003E4EF5"/>
    <w:rsid w:val="003E77EA"/>
    <w:rsid w:val="003E78AA"/>
    <w:rsid w:val="003E7A42"/>
    <w:rsid w:val="003F001E"/>
    <w:rsid w:val="003F04EE"/>
    <w:rsid w:val="003F1183"/>
    <w:rsid w:val="003F12F0"/>
    <w:rsid w:val="003F180F"/>
    <w:rsid w:val="003F1BAD"/>
    <w:rsid w:val="003F22DB"/>
    <w:rsid w:val="003F2EF6"/>
    <w:rsid w:val="003F301E"/>
    <w:rsid w:val="003F34AA"/>
    <w:rsid w:val="003F39C4"/>
    <w:rsid w:val="003F5031"/>
    <w:rsid w:val="003F5666"/>
    <w:rsid w:val="003F56DD"/>
    <w:rsid w:val="003F57AD"/>
    <w:rsid w:val="003F6602"/>
    <w:rsid w:val="003F6D3F"/>
    <w:rsid w:val="003F70C7"/>
    <w:rsid w:val="003F76EB"/>
    <w:rsid w:val="003F77AA"/>
    <w:rsid w:val="003F7BAB"/>
    <w:rsid w:val="00400711"/>
    <w:rsid w:val="00400E71"/>
    <w:rsid w:val="004012F5"/>
    <w:rsid w:val="004016F5"/>
    <w:rsid w:val="004018CB"/>
    <w:rsid w:val="004021E9"/>
    <w:rsid w:val="004023C9"/>
    <w:rsid w:val="00402442"/>
    <w:rsid w:val="00402658"/>
    <w:rsid w:val="0040269D"/>
    <w:rsid w:val="00403038"/>
    <w:rsid w:val="00403224"/>
    <w:rsid w:val="00403D1C"/>
    <w:rsid w:val="0040490E"/>
    <w:rsid w:val="00404FAA"/>
    <w:rsid w:val="0040596B"/>
    <w:rsid w:val="0040637A"/>
    <w:rsid w:val="0040696E"/>
    <w:rsid w:val="00406BFC"/>
    <w:rsid w:val="00406DF4"/>
    <w:rsid w:val="00407233"/>
    <w:rsid w:val="00407B0F"/>
    <w:rsid w:val="00407E4B"/>
    <w:rsid w:val="004104A4"/>
    <w:rsid w:val="00410B7E"/>
    <w:rsid w:val="00410D44"/>
    <w:rsid w:val="004118BF"/>
    <w:rsid w:val="004124CC"/>
    <w:rsid w:val="004132E8"/>
    <w:rsid w:val="004137AF"/>
    <w:rsid w:val="00413F30"/>
    <w:rsid w:val="00414916"/>
    <w:rsid w:val="004149C1"/>
    <w:rsid w:val="00414E31"/>
    <w:rsid w:val="0041539C"/>
    <w:rsid w:val="00415637"/>
    <w:rsid w:val="0041584B"/>
    <w:rsid w:val="00416315"/>
    <w:rsid w:val="0041673D"/>
    <w:rsid w:val="004168FD"/>
    <w:rsid w:val="00416EA2"/>
    <w:rsid w:val="00416EE1"/>
    <w:rsid w:val="004172B5"/>
    <w:rsid w:val="0041731A"/>
    <w:rsid w:val="00420236"/>
    <w:rsid w:val="004208EA"/>
    <w:rsid w:val="00420EF1"/>
    <w:rsid w:val="00420F9E"/>
    <w:rsid w:val="00421723"/>
    <w:rsid w:val="0042172B"/>
    <w:rsid w:val="00421A2F"/>
    <w:rsid w:val="00421A4A"/>
    <w:rsid w:val="00422057"/>
    <w:rsid w:val="004244EE"/>
    <w:rsid w:val="0042468F"/>
    <w:rsid w:val="0042480E"/>
    <w:rsid w:val="004253B3"/>
    <w:rsid w:val="00426521"/>
    <w:rsid w:val="0042705D"/>
    <w:rsid w:val="0042718F"/>
    <w:rsid w:val="0042722B"/>
    <w:rsid w:val="00427351"/>
    <w:rsid w:val="0042786A"/>
    <w:rsid w:val="004278B4"/>
    <w:rsid w:val="00427E67"/>
    <w:rsid w:val="0043002D"/>
    <w:rsid w:val="0043098E"/>
    <w:rsid w:val="004309B7"/>
    <w:rsid w:val="00430BEE"/>
    <w:rsid w:val="00431AD6"/>
    <w:rsid w:val="004323AC"/>
    <w:rsid w:val="004324A2"/>
    <w:rsid w:val="0043292A"/>
    <w:rsid w:val="00432BAA"/>
    <w:rsid w:val="00432EB8"/>
    <w:rsid w:val="00433142"/>
    <w:rsid w:val="004332AA"/>
    <w:rsid w:val="0043405F"/>
    <w:rsid w:val="004344EE"/>
    <w:rsid w:val="004345FF"/>
    <w:rsid w:val="00434E4B"/>
    <w:rsid w:val="004366D8"/>
    <w:rsid w:val="00436C37"/>
    <w:rsid w:val="00437C77"/>
    <w:rsid w:val="00440A59"/>
    <w:rsid w:val="0044105D"/>
    <w:rsid w:val="0044144C"/>
    <w:rsid w:val="004414FF"/>
    <w:rsid w:val="00441771"/>
    <w:rsid w:val="0044243F"/>
    <w:rsid w:val="00442551"/>
    <w:rsid w:val="004425EB"/>
    <w:rsid w:val="00442AF3"/>
    <w:rsid w:val="00443565"/>
    <w:rsid w:val="0044364B"/>
    <w:rsid w:val="00443CC1"/>
    <w:rsid w:val="00444729"/>
    <w:rsid w:val="00444AEF"/>
    <w:rsid w:val="00445A17"/>
    <w:rsid w:val="00445E3E"/>
    <w:rsid w:val="00446267"/>
    <w:rsid w:val="00446C8B"/>
    <w:rsid w:val="004472B7"/>
    <w:rsid w:val="00450710"/>
    <w:rsid w:val="004509C2"/>
    <w:rsid w:val="00450A9D"/>
    <w:rsid w:val="00451357"/>
    <w:rsid w:val="0045135D"/>
    <w:rsid w:val="00451610"/>
    <w:rsid w:val="00452574"/>
    <w:rsid w:val="00452964"/>
    <w:rsid w:val="004536E8"/>
    <w:rsid w:val="00453871"/>
    <w:rsid w:val="00453CCF"/>
    <w:rsid w:val="004543A4"/>
    <w:rsid w:val="004550A2"/>
    <w:rsid w:val="00455256"/>
    <w:rsid w:val="00455EAB"/>
    <w:rsid w:val="00456409"/>
    <w:rsid w:val="00456628"/>
    <w:rsid w:val="00457324"/>
    <w:rsid w:val="00461B3C"/>
    <w:rsid w:val="00461F6A"/>
    <w:rsid w:val="004628A2"/>
    <w:rsid w:val="00462934"/>
    <w:rsid w:val="00463280"/>
    <w:rsid w:val="004640DF"/>
    <w:rsid w:val="004642E4"/>
    <w:rsid w:val="0046456F"/>
    <w:rsid w:val="00464DDB"/>
    <w:rsid w:val="00465164"/>
    <w:rsid w:val="004657A6"/>
    <w:rsid w:val="00465B77"/>
    <w:rsid w:val="00466178"/>
    <w:rsid w:val="00466226"/>
    <w:rsid w:val="004668C4"/>
    <w:rsid w:val="004703C7"/>
    <w:rsid w:val="00470A9A"/>
    <w:rsid w:val="00470B2A"/>
    <w:rsid w:val="00470D84"/>
    <w:rsid w:val="00470DA5"/>
    <w:rsid w:val="004712D8"/>
    <w:rsid w:val="00471914"/>
    <w:rsid w:val="004723B3"/>
    <w:rsid w:val="00472E89"/>
    <w:rsid w:val="00473474"/>
    <w:rsid w:val="00473D77"/>
    <w:rsid w:val="004741F9"/>
    <w:rsid w:val="00474B2B"/>
    <w:rsid w:val="00474E73"/>
    <w:rsid w:val="004751DF"/>
    <w:rsid w:val="0047549A"/>
    <w:rsid w:val="0047782E"/>
    <w:rsid w:val="0048001E"/>
    <w:rsid w:val="00480FD3"/>
    <w:rsid w:val="00481E9D"/>
    <w:rsid w:val="00482311"/>
    <w:rsid w:val="00482B4A"/>
    <w:rsid w:val="0048355B"/>
    <w:rsid w:val="00483950"/>
    <w:rsid w:val="00483D77"/>
    <w:rsid w:val="004841FF"/>
    <w:rsid w:val="00484327"/>
    <w:rsid w:val="0048749B"/>
    <w:rsid w:val="0048782C"/>
    <w:rsid w:val="00490E25"/>
    <w:rsid w:val="0049212D"/>
    <w:rsid w:val="0049281A"/>
    <w:rsid w:val="00493029"/>
    <w:rsid w:val="00493122"/>
    <w:rsid w:val="0049342A"/>
    <w:rsid w:val="00493504"/>
    <w:rsid w:val="00493620"/>
    <w:rsid w:val="00495142"/>
    <w:rsid w:val="00495186"/>
    <w:rsid w:val="00495599"/>
    <w:rsid w:val="00495A5B"/>
    <w:rsid w:val="00495B00"/>
    <w:rsid w:val="00495CFA"/>
    <w:rsid w:val="004960FA"/>
    <w:rsid w:val="00496EFF"/>
    <w:rsid w:val="00497398"/>
    <w:rsid w:val="004977CA"/>
    <w:rsid w:val="004A0078"/>
    <w:rsid w:val="004A0486"/>
    <w:rsid w:val="004A0C21"/>
    <w:rsid w:val="004A0CF6"/>
    <w:rsid w:val="004A13D2"/>
    <w:rsid w:val="004A1B3A"/>
    <w:rsid w:val="004A2C3C"/>
    <w:rsid w:val="004A3E8C"/>
    <w:rsid w:val="004A41CA"/>
    <w:rsid w:val="004A43EB"/>
    <w:rsid w:val="004A491A"/>
    <w:rsid w:val="004A4EFF"/>
    <w:rsid w:val="004A63DC"/>
    <w:rsid w:val="004A6835"/>
    <w:rsid w:val="004A6999"/>
    <w:rsid w:val="004A6AAA"/>
    <w:rsid w:val="004A6F36"/>
    <w:rsid w:val="004A7527"/>
    <w:rsid w:val="004B07D1"/>
    <w:rsid w:val="004B0914"/>
    <w:rsid w:val="004B14BA"/>
    <w:rsid w:val="004B1A1A"/>
    <w:rsid w:val="004B1C20"/>
    <w:rsid w:val="004B1DA9"/>
    <w:rsid w:val="004B210D"/>
    <w:rsid w:val="004B3195"/>
    <w:rsid w:val="004B3D3C"/>
    <w:rsid w:val="004B3DD1"/>
    <w:rsid w:val="004B424E"/>
    <w:rsid w:val="004B4D54"/>
    <w:rsid w:val="004B4E40"/>
    <w:rsid w:val="004B5099"/>
    <w:rsid w:val="004B596A"/>
    <w:rsid w:val="004B631F"/>
    <w:rsid w:val="004B6419"/>
    <w:rsid w:val="004B644F"/>
    <w:rsid w:val="004B64FA"/>
    <w:rsid w:val="004B7275"/>
    <w:rsid w:val="004B7440"/>
    <w:rsid w:val="004B75F8"/>
    <w:rsid w:val="004B7DDF"/>
    <w:rsid w:val="004C06F1"/>
    <w:rsid w:val="004C0A7E"/>
    <w:rsid w:val="004C1B5D"/>
    <w:rsid w:val="004C211D"/>
    <w:rsid w:val="004C281B"/>
    <w:rsid w:val="004C2A43"/>
    <w:rsid w:val="004C3A05"/>
    <w:rsid w:val="004C4048"/>
    <w:rsid w:val="004C4460"/>
    <w:rsid w:val="004C44B0"/>
    <w:rsid w:val="004C5324"/>
    <w:rsid w:val="004C6B07"/>
    <w:rsid w:val="004C7DDB"/>
    <w:rsid w:val="004D1870"/>
    <w:rsid w:val="004D1A25"/>
    <w:rsid w:val="004D1DC0"/>
    <w:rsid w:val="004D2078"/>
    <w:rsid w:val="004D22BB"/>
    <w:rsid w:val="004D23BA"/>
    <w:rsid w:val="004D24B1"/>
    <w:rsid w:val="004D269A"/>
    <w:rsid w:val="004D26C2"/>
    <w:rsid w:val="004D2C0F"/>
    <w:rsid w:val="004D3494"/>
    <w:rsid w:val="004D37BA"/>
    <w:rsid w:val="004D3A51"/>
    <w:rsid w:val="004D438F"/>
    <w:rsid w:val="004D530E"/>
    <w:rsid w:val="004D536E"/>
    <w:rsid w:val="004D5EE3"/>
    <w:rsid w:val="004D6467"/>
    <w:rsid w:val="004D6C35"/>
    <w:rsid w:val="004D6CC0"/>
    <w:rsid w:val="004E0830"/>
    <w:rsid w:val="004E0905"/>
    <w:rsid w:val="004E0A92"/>
    <w:rsid w:val="004E0E30"/>
    <w:rsid w:val="004E104B"/>
    <w:rsid w:val="004E10FA"/>
    <w:rsid w:val="004E1324"/>
    <w:rsid w:val="004E167F"/>
    <w:rsid w:val="004E1C10"/>
    <w:rsid w:val="004E1C8B"/>
    <w:rsid w:val="004E1F35"/>
    <w:rsid w:val="004E1FB9"/>
    <w:rsid w:val="004E271D"/>
    <w:rsid w:val="004E2F33"/>
    <w:rsid w:val="004E2F4A"/>
    <w:rsid w:val="004E31CE"/>
    <w:rsid w:val="004E31F0"/>
    <w:rsid w:val="004E3327"/>
    <w:rsid w:val="004E3726"/>
    <w:rsid w:val="004E38F3"/>
    <w:rsid w:val="004E3A4F"/>
    <w:rsid w:val="004E3ADF"/>
    <w:rsid w:val="004E4B46"/>
    <w:rsid w:val="004E4C0E"/>
    <w:rsid w:val="004E4E95"/>
    <w:rsid w:val="004E55D5"/>
    <w:rsid w:val="004E56D0"/>
    <w:rsid w:val="004E5F68"/>
    <w:rsid w:val="004E62A5"/>
    <w:rsid w:val="004E65E6"/>
    <w:rsid w:val="004E6667"/>
    <w:rsid w:val="004E6EE2"/>
    <w:rsid w:val="004E6F94"/>
    <w:rsid w:val="004E7A7F"/>
    <w:rsid w:val="004E7E4A"/>
    <w:rsid w:val="004F02C0"/>
    <w:rsid w:val="004F0663"/>
    <w:rsid w:val="004F0FF1"/>
    <w:rsid w:val="004F115C"/>
    <w:rsid w:val="004F14F4"/>
    <w:rsid w:val="004F1CB5"/>
    <w:rsid w:val="004F1D3F"/>
    <w:rsid w:val="004F250D"/>
    <w:rsid w:val="004F271E"/>
    <w:rsid w:val="004F2A39"/>
    <w:rsid w:val="004F340B"/>
    <w:rsid w:val="004F3E35"/>
    <w:rsid w:val="004F4283"/>
    <w:rsid w:val="004F48DA"/>
    <w:rsid w:val="004F4CB8"/>
    <w:rsid w:val="004F4F23"/>
    <w:rsid w:val="004F4F39"/>
    <w:rsid w:val="004F5216"/>
    <w:rsid w:val="004F60CD"/>
    <w:rsid w:val="004F6470"/>
    <w:rsid w:val="004F6A6D"/>
    <w:rsid w:val="004F6D43"/>
    <w:rsid w:val="004F74A8"/>
    <w:rsid w:val="0050065E"/>
    <w:rsid w:val="0050098E"/>
    <w:rsid w:val="00500CD6"/>
    <w:rsid w:val="00500E9F"/>
    <w:rsid w:val="00502A2B"/>
    <w:rsid w:val="005030EC"/>
    <w:rsid w:val="00503324"/>
    <w:rsid w:val="005033D9"/>
    <w:rsid w:val="00504556"/>
    <w:rsid w:val="00504628"/>
    <w:rsid w:val="00505013"/>
    <w:rsid w:val="00505CA8"/>
    <w:rsid w:val="00506A1A"/>
    <w:rsid w:val="00507203"/>
    <w:rsid w:val="005100D6"/>
    <w:rsid w:val="00511E6B"/>
    <w:rsid w:val="00511F9E"/>
    <w:rsid w:val="00512AA2"/>
    <w:rsid w:val="00512ACA"/>
    <w:rsid w:val="00512D59"/>
    <w:rsid w:val="00512E56"/>
    <w:rsid w:val="00512FA6"/>
    <w:rsid w:val="005136D3"/>
    <w:rsid w:val="0051382F"/>
    <w:rsid w:val="0051387E"/>
    <w:rsid w:val="00515520"/>
    <w:rsid w:val="0051571A"/>
    <w:rsid w:val="00516393"/>
    <w:rsid w:val="0051740D"/>
    <w:rsid w:val="0051772C"/>
    <w:rsid w:val="00517CE8"/>
    <w:rsid w:val="0052014F"/>
    <w:rsid w:val="005205F5"/>
    <w:rsid w:val="00520964"/>
    <w:rsid w:val="005211C3"/>
    <w:rsid w:val="0052126E"/>
    <w:rsid w:val="00521731"/>
    <w:rsid w:val="00522CF0"/>
    <w:rsid w:val="005236F3"/>
    <w:rsid w:val="00523D46"/>
    <w:rsid w:val="0052419B"/>
    <w:rsid w:val="005245CC"/>
    <w:rsid w:val="00524945"/>
    <w:rsid w:val="00524E72"/>
    <w:rsid w:val="0052508C"/>
    <w:rsid w:val="005256A9"/>
    <w:rsid w:val="00525A60"/>
    <w:rsid w:val="00525CB6"/>
    <w:rsid w:val="00525E5A"/>
    <w:rsid w:val="0052602D"/>
    <w:rsid w:val="005265B5"/>
    <w:rsid w:val="0052731D"/>
    <w:rsid w:val="005273D2"/>
    <w:rsid w:val="00527777"/>
    <w:rsid w:val="005303EB"/>
    <w:rsid w:val="005306DD"/>
    <w:rsid w:val="0053095D"/>
    <w:rsid w:val="00530A19"/>
    <w:rsid w:val="00531ABB"/>
    <w:rsid w:val="00532C87"/>
    <w:rsid w:val="00532C8E"/>
    <w:rsid w:val="0053387A"/>
    <w:rsid w:val="00533FF3"/>
    <w:rsid w:val="00534622"/>
    <w:rsid w:val="005350F5"/>
    <w:rsid w:val="00535A09"/>
    <w:rsid w:val="00535E18"/>
    <w:rsid w:val="0053600B"/>
    <w:rsid w:val="0053604B"/>
    <w:rsid w:val="005363E5"/>
    <w:rsid w:val="00536919"/>
    <w:rsid w:val="00536C46"/>
    <w:rsid w:val="00536EB1"/>
    <w:rsid w:val="00537785"/>
    <w:rsid w:val="005379A2"/>
    <w:rsid w:val="00537AFE"/>
    <w:rsid w:val="00540600"/>
    <w:rsid w:val="00540D47"/>
    <w:rsid w:val="00540E7C"/>
    <w:rsid w:val="005416DB"/>
    <w:rsid w:val="00542887"/>
    <w:rsid w:val="00542BD7"/>
    <w:rsid w:val="00543C6C"/>
    <w:rsid w:val="00544040"/>
    <w:rsid w:val="005441B0"/>
    <w:rsid w:val="0054489D"/>
    <w:rsid w:val="00544900"/>
    <w:rsid w:val="005450FA"/>
    <w:rsid w:val="00546B5B"/>
    <w:rsid w:val="00550A26"/>
    <w:rsid w:val="005510AF"/>
    <w:rsid w:val="0055118D"/>
    <w:rsid w:val="005539E5"/>
    <w:rsid w:val="00553DCE"/>
    <w:rsid w:val="00553EF7"/>
    <w:rsid w:val="005543E7"/>
    <w:rsid w:val="00555779"/>
    <w:rsid w:val="00555A50"/>
    <w:rsid w:val="00555B05"/>
    <w:rsid w:val="00556F81"/>
    <w:rsid w:val="005574ED"/>
    <w:rsid w:val="005576E7"/>
    <w:rsid w:val="00557814"/>
    <w:rsid w:val="005607BC"/>
    <w:rsid w:val="00560B46"/>
    <w:rsid w:val="00561696"/>
    <w:rsid w:val="00561B95"/>
    <w:rsid w:val="00561E5A"/>
    <w:rsid w:val="0056291A"/>
    <w:rsid w:val="00562C33"/>
    <w:rsid w:val="00563034"/>
    <w:rsid w:val="00563C3F"/>
    <w:rsid w:val="00563EF9"/>
    <w:rsid w:val="00564394"/>
    <w:rsid w:val="00565260"/>
    <w:rsid w:val="00565490"/>
    <w:rsid w:val="00566369"/>
    <w:rsid w:val="005671BF"/>
    <w:rsid w:val="0056744C"/>
    <w:rsid w:val="00567F98"/>
    <w:rsid w:val="005708BF"/>
    <w:rsid w:val="005709B8"/>
    <w:rsid w:val="00570E76"/>
    <w:rsid w:val="0057108E"/>
    <w:rsid w:val="00571995"/>
    <w:rsid w:val="00571E3D"/>
    <w:rsid w:val="00571EFF"/>
    <w:rsid w:val="0057218B"/>
    <w:rsid w:val="00572890"/>
    <w:rsid w:val="005728C4"/>
    <w:rsid w:val="00573254"/>
    <w:rsid w:val="00573D26"/>
    <w:rsid w:val="00573FF4"/>
    <w:rsid w:val="005743F2"/>
    <w:rsid w:val="00575323"/>
    <w:rsid w:val="00575441"/>
    <w:rsid w:val="00575C0A"/>
    <w:rsid w:val="00576CDE"/>
    <w:rsid w:val="00580085"/>
    <w:rsid w:val="005803B0"/>
    <w:rsid w:val="00580A52"/>
    <w:rsid w:val="00582259"/>
    <w:rsid w:val="00582ACB"/>
    <w:rsid w:val="00583AF3"/>
    <w:rsid w:val="00583F64"/>
    <w:rsid w:val="0058400B"/>
    <w:rsid w:val="00584354"/>
    <w:rsid w:val="00584E1B"/>
    <w:rsid w:val="0058553E"/>
    <w:rsid w:val="005859DD"/>
    <w:rsid w:val="00585CAC"/>
    <w:rsid w:val="00586024"/>
    <w:rsid w:val="00586189"/>
    <w:rsid w:val="005861AA"/>
    <w:rsid w:val="005861C9"/>
    <w:rsid w:val="00586B06"/>
    <w:rsid w:val="005876BE"/>
    <w:rsid w:val="00587A0C"/>
    <w:rsid w:val="00590063"/>
    <w:rsid w:val="00590E80"/>
    <w:rsid w:val="00591286"/>
    <w:rsid w:val="00591807"/>
    <w:rsid w:val="00592266"/>
    <w:rsid w:val="005928B6"/>
    <w:rsid w:val="00592C77"/>
    <w:rsid w:val="00592DE9"/>
    <w:rsid w:val="005936E4"/>
    <w:rsid w:val="00594089"/>
    <w:rsid w:val="0059528E"/>
    <w:rsid w:val="0059548B"/>
    <w:rsid w:val="005956B4"/>
    <w:rsid w:val="005957BF"/>
    <w:rsid w:val="00596525"/>
    <w:rsid w:val="00597246"/>
    <w:rsid w:val="00597B8D"/>
    <w:rsid w:val="00597CC8"/>
    <w:rsid w:val="005A01CF"/>
    <w:rsid w:val="005A022D"/>
    <w:rsid w:val="005A02FB"/>
    <w:rsid w:val="005A06F6"/>
    <w:rsid w:val="005A0850"/>
    <w:rsid w:val="005A0A20"/>
    <w:rsid w:val="005A1010"/>
    <w:rsid w:val="005A1325"/>
    <w:rsid w:val="005A1AC5"/>
    <w:rsid w:val="005A2538"/>
    <w:rsid w:val="005A2AA0"/>
    <w:rsid w:val="005A3063"/>
    <w:rsid w:val="005A49B3"/>
    <w:rsid w:val="005A5274"/>
    <w:rsid w:val="005A5698"/>
    <w:rsid w:val="005A5A35"/>
    <w:rsid w:val="005A5AD6"/>
    <w:rsid w:val="005A5C87"/>
    <w:rsid w:val="005A612E"/>
    <w:rsid w:val="005A6479"/>
    <w:rsid w:val="005A7600"/>
    <w:rsid w:val="005A7A0B"/>
    <w:rsid w:val="005A7B11"/>
    <w:rsid w:val="005B0AD6"/>
    <w:rsid w:val="005B0FF2"/>
    <w:rsid w:val="005B1160"/>
    <w:rsid w:val="005B1875"/>
    <w:rsid w:val="005B1C0A"/>
    <w:rsid w:val="005B2106"/>
    <w:rsid w:val="005B28F4"/>
    <w:rsid w:val="005B2911"/>
    <w:rsid w:val="005B4D30"/>
    <w:rsid w:val="005B5161"/>
    <w:rsid w:val="005B57A7"/>
    <w:rsid w:val="005B5DB7"/>
    <w:rsid w:val="005B6382"/>
    <w:rsid w:val="005B659C"/>
    <w:rsid w:val="005B6687"/>
    <w:rsid w:val="005C051B"/>
    <w:rsid w:val="005C0A38"/>
    <w:rsid w:val="005C110B"/>
    <w:rsid w:val="005C151E"/>
    <w:rsid w:val="005C1E0F"/>
    <w:rsid w:val="005C2194"/>
    <w:rsid w:val="005C29F0"/>
    <w:rsid w:val="005C2FEF"/>
    <w:rsid w:val="005C4223"/>
    <w:rsid w:val="005C5278"/>
    <w:rsid w:val="005C5CFF"/>
    <w:rsid w:val="005C60DE"/>
    <w:rsid w:val="005C6337"/>
    <w:rsid w:val="005C6572"/>
    <w:rsid w:val="005C795A"/>
    <w:rsid w:val="005C7BFB"/>
    <w:rsid w:val="005D016B"/>
    <w:rsid w:val="005D05A1"/>
    <w:rsid w:val="005D09BE"/>
    <w:rsid w:val="005D0AC6"/>
    <w:rsid w:val="005D0B2B"/>
    <w:rsid w:val="005D1573"/>
    <w:rsid w:val="005D1813"/>
    <w:rsid w:val="005D1FB0"/>
    <w:rsid w:val="005D2363"/>
    <w:rsid w:val="005D2400"/>
    <w:rsid w:val="005D265B"/>
    <w:rsid w:val="005D386F"/>
    <w:rsid w:val="005D4315"/>
    <w:rsid w:val="005D531A"/>
    <w:rsid w:val="005D6CEF"/>
    <w:rsid w:val="005D76E7"/>
    <w:rsid w:val="005D7B90"/>
    <w:rsid w:val="005D7BC2"/>
    <w:rsid w:val="005D7C7C"/>
    <w:rsid w:val="005D7D3B"/>
    <w:rsid w:val="005D7F5A"/>
    <w:rsid w:val="005D7FD3"/>
    <w:rsid w:val="005E06E4"/>
    <w:rsid w:val="005E1B82"/>
    <w:rsid w:val="005E2222"/>
    <w:rsid w:val="005E24B8"/>
    <w:rsid w:val="005E261C"/>
    <w:rsid w:val="005E3C3B"/>
    <w:rsid w:val="005E3F12"/>
    <w:rsid w:val="005E3FCA"/>
    <w:rsid w:val="005E4DB6"/>
    <w:rsid w:val="005E507B"/>
    <w:rsid w:val="005E5495"/>
    <w:rsid w:val="005E5672"/>
    <w:rsid w:val="005E5AA1"/>
    <w:rsid w:val="005E5B04"/>
    <w:rsid w:val="005E5B9E"/>
    <w:rsid w:val="005E5EAC"/>
    <w:rsid w:val="005E698C"/>
    <w:rsid w:val="005E7057"/>
    <w:rsid w:val="005E745D"/>
    <w:rsid w:val="005E7DE3"/>
    <w:rsid w:val="005E7EE6"/>
    <w:rsid w:val="005F045F"/>
    <w:rsid w:val="005F0976"/>
    <w:rsid w:val="005F1440"/>
    <w:rsid w:val="005F14A1"/>
    <w:rsid w:val="005F19C2"/>
    <w:rsid w:val="005F27BB"/>
    <w:rsid w:val="005F2ABC"/>
    <w:rsid w:val="005F3112"/>
    <w:rsid w:val="005F3182"/>
    <w:rsid w:val="005F4A3E"/>
    <w:rsid w:val="005F5492"/>
    <w:rsid w:val="005F5CAA"/>
    <w:rsid w:val="005F60D6"/>
    <w:rsid w:val="005F6269"/>
    <w:rsid w:val="005F63C8"/>
    <w:rsid w:val="005F683B"/>
    <w:rsid w:val="005F70C6"/>
    <w:rsid w:val="0060060E"/>
    <w:rsid w:val="00600D09"/>
    <w:rsid w:val="00601C23"/>
    <w:rsid w:val="00601F5B"/>
    <w:rsid w:val="00602A8D"/>
    <w:rsid w:val="006031B8"/>
    <w:rsid w:val="00603A5F"/>
    <w:rsid w:val="0060438C"/>
    <w:rsid w:val="00604824"/>
    <w:rsid w:val="006048EF"/>
    <w:rsid w:val="00604AD3"/>
    <w:rsid w:val="0060546D"/>
    <w:rsid w:val="006059F7"/>
    <w:rsid w:val="00605AF1"/>
    <w:rsid w:val="00606CBC"/>
    <w:rsid w:val="00607E4D"/>
    <w:rsid w:val="00607EF4"/>
    <w:rsid w:val="00610108"/>
    <w:rsid w:val="006104FB"/>
    <w:rsid w:val="00610B73"/>
    <w:rsid w:val="00610C15"/>
    <w:rsid w:val="00610EC4"/>
    <w:rsid w:val="00611719"/>
    <w:rsid w:val="006134FB"/>
    <w:rsid w:val="006135DF"/>
    <w:rsid w:val="00613765"/>
    <w:rsid w:val="0061392D"/>
    <w:rsid w:val="0061466F"/>
    <w:rsid w:val="00614CF5"/>
    <w:rsid w:val="0061532F"/>
    <w:rsid w:val="00615353"/>
    <w:rsid w:val="006163B3"/>
    <w:rsid w:val="006165CD"/>
    <w:rsid w:val="006166AC"/>
    <w:rsid w:val="00616B0D"/>
    <w:rsid w:val="00617585"/>
    <w:rsid w:val="00617A06"/>
    <w:rsid w:val="00617E5E"/>
    <w:rsid w:val="00620586"/>
    <w:rsid w:val="00620B8A"/>
    <w:rsid w:val="00620B92"/>
    <w:rsid w:val="0062159F"/>
    <w:rsid w:val="006218F8"/>
    <w:rsid w:val="00621948"/>
    <w:rsid w:val="00622D25"/>
    <w:rsid w:val="00623112"/>
    <w:rsid w:val="00623501"/>
    <w:rsid w:val="00623513"/>
    <w:rsid w:val="00624250"/>
    <w:rsid w:val="0062451A"/>
    <w:rsid w:val="00624A40"/>
    <w:rsid w:val="00624D65"/>
    <w:rsid w:val="00625463"/>
    <w:rsid w:val="00625D2B"/>
    <w:rsid w:val="006261CC"/>
    <w:rsid w:val="00626819"/>
    <w:rsid w:val="00627C91"/>
    <w:rsid w:val="00627F55"/>
    <w:rsid w:val="006303F2"/>
    <w:rsid w:val="006305F6"/>
    <w:rsid w:val="00630F54"/>
    <w:rsid w:val="00632D11"/>
    <w:rsid w:val="006331B2"/>
    <w:rsid w:val="006332E2"/>
    <w:rsid w:val="00633869"/>
    <w:rsid w:val="006340F5"/>
    <w:rsid w:val="0063443D"/>
    <w:rsid w:val="00634762"/>
    <w:rsid w:val="0063485D"/>
    <w:rsid w:val="00634FDF"/>
    <w:rsid w:val="006350B7"/>
    <w:rsid w:val="0063537B"/>
    <w:rsid w:val="0063608E"/>
    <w:rsid w:val="00637301"/>
    <w:rsid w:val="006377FF"/>
    <w:rsid w:val="00640E3D"/>
    <w:rsid w:val="006412A8"/>
    <w:rsid w:val="0064190D"/>
    <w:rsid w:val="00641D7D"/>
    <w:rsid w:val="00642274"/>
    <w:rsid w:val="00642CCC"/>
    <w:rsid w:val="006435E7"/>
    <w:rsid w:val="00643BF5"/>
    <w:rsid w:val="00644A16"/>
    <w:rsid w:val="00644BB2"/>
    <w:rsid w:val="00644C50"/>
    <w:rsid w:val="00645402"/>
    <w:rsid w:val="00645BD8"/>
    <w:rsid w:val="0064737D"/>
    <w:rsid w:val="0064777F"/>
    <w:rsid w:val="0064785D"/>
    <w:rsid w:val="0065001F"/>
    <w:rsid w:val="0065005D"/>
    <w:rsid w:val="006501D2"/>
    <w:rsid w:val="00650DCF"/>
    <w:rsid w:val="00651387"/>
    <w:rsid w:val="00651457"/>
    <w:rsid w:val="006516F4"/>
    <w:rsid w:val="006524EF"/>
    <w:rsid w:val="0065263E"/>
    <w:rsid w:val="00653383"/>
    <w:rsid w:val="00653B39"/>
    <w:rsid w:val="00653D40"/>
    <w:rsid w:val="00653E0E"/>
    <w:rsid w:val="0065457D"/>
    <w:rsid w:val="0065537A"/>
    <w:rsid w:val="0065549A"/>
    <w:rsid w:val="00655D5C"/>
    <w:rsid w:val="006562F5"/>
    <w:rsid w:val="00657F2B"/>
    <w:rsid w:val="00657F85"/>
    <w:rsid w:val="006603DA"/>
    <w:rsid w:val="00660867"/>
    <w:rsid w:val="0066094F"/>
    <w:rsid w:val="00661349"/>
    <w:rsid w:val="00661890"/>
    <w:rsid w:val="00661AEA"/>
    <w:rsid w:val="006622C5"/>
    <w:rsid w:val="006627C4"/>
    <w:rsid w:val="00662FFA"/>
    <w:rsid w:val="0066325D"/>
    <w:rsid w:val="006635AE"/>
    <w:rsid w:val="00663E1B"/>
    <w:rsid w:val="00663E66"/>
    <w:rsid w:val="0066480B"/>
    <w:rsid w:val="00664F4A"/>
    <w:rsid w:val="0066558E"/>
    <w:rsid w:val="00666F2E"/>
    <w:rsid w:val="006672A5"/>
    <w:rsid w:val="00667B19"/>
    <w:rsid w:val="0067020D"/>
    <w:rsid w:val="0067050D"/>
    <w:rsid w:val="00670BD6"/>
    <w:rsid w:val="006714E0"/>
    <w:rsid w:val="00671956"/>
    <w:rsid w:val="006723DD"/>
    <w:rsid w:val="00673A00"/>
    <w:rsid w:val="00675091"/>
    <w:rsid w:val="00675269"/>
    <w:rsid w:val="00675763"/>
    <w:rsid w:val="00675A56"/>
    <w:rsid w:val="00675C82"/>
    <w:rsid w:val="00676205"/>
    <w:rsid w:val="00676983"/>
    <w:rsid w:val="00676BD5"/>
    <w:rsid w:val="00676D72"/>
    <w:rsid w:val="00676F43"/>
    <w:rsid w:val="00677B8B"/>
    <w:rsid w:val="00677DCE"/>
    <w:rsid w:val="00681121"/>
    <w:rsid w:val="006811A4"/>
    <w:rsid w:val="006821D6"/>
    <w:rsid w:val="006831AD"/>
    <w:rsid w:val="006834D4"/>
    <w:rsid w:val="00683503"/>
    <w:rsid w:val="006838A5"/>
    <w:rsid w:val="00683D6F"/>
    <w:rsid w:val="00684159"/>
    <w:rsid w:val="00684DC2"/>
    <w:rsid w:val="00685011"/>
    <w:rsid w:val="00687196"/>
    <w:rsid w:val="006873CF"/>
    <w:rsid w:val="00690231"/>
    <w:rsid w:val="00690EEE"/>
    <w:rsid w:val="00691045"/>
    <w:rsid w:val="00691737"/>
    <w:rsid w:val="00691D26"/>
    <w:rsid w:val="00691FE2"/>
    <w:rsid w:val="00692457"/>
    <w:rsid w:val="00692EEF"/>
    <w:rsid w:val="006932D9"/>
    <w:rsid w:val="006938F9"/>
    <w:rsid w:val="00693940"/>
    <w:rsid w:val="00693C3B"/>
    <w:rsid w:val="00693CE6"/>
    <w:rsid w:val="0069414E"/>
    <w:rsid w:val="006942B7"/>
    <w:rsid w:val="00694320"/>
    <w:rsid w:val="00694545"/>
    <w:rsid w:val="00695390"/>
    <w:rsid w:val="006967E3"/>
    <w:rsid w:val="0069712C"/>
    <w:rsid w:val="00697266"/>
    <w:rsid w:val="0069796A"/>
    <w:rsid w:val="006A0A0B"/>
    <w:rsid w:val="006A0C8D"/>
    <w:rsid w:val="006A171A"/>
    <w:rsid w:val="006A17E5"/>
    <w:rsid w:val="006A1A4D"/>
    <w:rsid w:val="006A1AB1"/>
    <w:rsid w:val="006A1E98"/>
    <w:rsid w:val="006A1F9F"/>
    <w:rsid w:val="006A3562"/>
    <w:rsid w:val="006A3604"/>
    <w:rsid w:val="006A3667"/>
    <w:rsid w:val="006A4308"/>
    <w:rsid w:val="006A4FB7"/>
    <w:rsid w:val="006A5177"/>
    <w:rsid w:val="006A518E"/>
    <w:rsid w:val="006A5380"/>
    <w:rsid w:val="006A58D2"/>
    <w:rsid w:val="006A59DA"/>
    <w:rsid w:val="006A5AC5"/>
    <w:rsid w:val="006A675A"/>
    <w:rsid w:val="006A7159"/>
    <w:rsid w:val="006B00B3"/>
    <w:rsid w:val="006B0201"/>
    <w:rsid w:val="006B050C"/>
    <w:rsid w:val="006B0C48"/>
    <w:rsid w:val="006B0EB3"/>
    <w:rsid w:val="006B1025"/>
    <w:rsid w:val="006B28EF"/>
    <w:rsid w:val="006B32E3"/>
    <w:rsid w:val="006B408D"/>
    <w:rsid w:val="006B48D9"/>
    <w:rsid w:val="006B515A"/>
    <w:rsid w:val="006B5CCB"/>
    <w:rsid w:val="006B5D50"/>
    <w:rsid w:val="006B6F73"/>
    <w:rsid w:val="006B6FCC"/>
    <w:rsid w:val="006B75E8"/>
    <w:rsid w:val="006B7E68"/>
    <w:rsid w:val="006B7FEA"/>
    <w:rsid w:val="006C11D0"/>
    <w:rsid w:val="006C1728"/>
    <w:rsid w:val="006C1F44"/>
    <w:rsid w:val="006C2511"/>
    <w:rsid w:val="006C2822"/>
    <w:rsid w:val="006C28C2"/>
    <w:rsid w:val="006C3B32"/>
    <w:rsid w:val="006C3C05"/>
    <w:rsid w:val="006C3D58"/>
    <w:rsid w:val="006C3E26"/>
    <w:rsid w:val="006C403C"/>
    <w:rsid w:val="006C469B"/>
    <w:rsid w:val="006C4801"/>
    <w:rsid w:val="006C4A08"/>
    <w:rsid w:val="006C4CB5"/>
    <w:rsid w:val="006C4E26"/>
    <w:rsid w:val="006C57CF"/>
    <w:rsid w:val="006C66B4"/>
    <w:rsid w:val="006C6AA7"/>
    <w:rsid w:val="006C7123"/>
    <w:rsid w:val="006C7D50"/>
    <w:rsid w:val="006D1047"/>
    <w:rsid w:val="006D14E6"/>
    <w:rsid w:val="006D163B"/>
    <w:rsid w:val="006D1C17"/>
    <w:rsid w:val="006D26B6"/>
    <w:rsid w:val="006D29F6"/>
    <w:rsid w:val="006D2E8D"/>
    <w:rsid w:val="006D332F"/>
    <w:rsid w:val="006D3A7D"/>
    <w:rsid w:val="006D3EAE"/>
    <w:rsid w:val="006D433A"/>
    <w:rsid w:val="006D547A"/>
    <w:rsid w:val="006D6771"/>
    <w:rsid w:val="006D752E"/>
    <w:rsid w:val="006D7990"/>
    <w:rsid w:val="006D7F01"/>
    <w:rsid w:val="006E018C"/>
    <w:rsid w:val="006E077C"/>
    <w:rsid w:val="006E0FDA"/>
    <w:rsid w:val="006E121E"/>
    <w:rsid w:val="006E17B0"/>
    <w:rsid w:val="006E1B49"/>
    <w:rsid w:val="006E1D7B"/>
    <w:rsid w:val="006E21A5"/>
    <w:rsid w:val="006E2B9B"/>
    <w:rsid w:val="006E319F"/>
    <w:rsid w:val="006E3556"/>
    <w:rsid w:val="006E3A46"/>
    <w:rsid w:val="006E3C63"/>
    <w:rsid w:val="006E4741"/>
    <w:rsid w:val="006E5B26"/>
    <w:rsid w:val="006E7354"/>
    <w:rsid w:val="006E7DDE"/>
    <w:rsid w:val="006F02E8"/>
    <w:rsid w:val="006F06D2"/>
    <w:rsid w:val="006F0FF9"/>
    <w:rsid w:val="006F1664"/>
    <w:rsid w:val="006F1BD9"/>
    <w:rsid w:val="006F2C92"/>
    <w:rsid w:val="006F350D"/>
    <w:rsid w:val="006F3AA6"/>
    <w:rsid w:val="006F3B42"/>
    <w:rsid w:val="006F3F95"/>
    <w:rsid w:val="006F412C"/>
    <w:rsid w:val="006F417D"/>
    <w:rsid w:val="006F4565"/>
    <w:rsid w:val="006F47AD"/>
    <w:rsid w:val="006F4DD5"/>
    <w:rsid w:val="006F5562"/>
    <w:rsid w:val="006F579A"/>
    <w:rsid w:val="006F623B"/>
    <w:rsid w:val="006F72DE"/>
    <w:rsid w:val="00700F7B"/>
    <w:rsid w:val="0070157D"/>
    <w:rsid w:val="0070183E"/>
    <w:rsid w:val="007018D0"/>
    <w:rsid w:val="00701C95"/>
    <w:rsid w:val="00702995"/>
    <w:rsid w:val="00702DDD"/>
    <w:rsid w:val="0070410F"/>
    <w:rsid w:val="00704817"/>
    <w:rsid w:val="007048CE"/>
    <w:rsid w:val="00704DE1"/>
    <w:rsid w:val="00705B14"/>
    <w:rsid w:val="00705B6B"/>
    <w:rsid w:val="00706AB7"/>
    <w:rsid w:val="00706BE7"/>
    <w:rsid w:val="00707597"/>
    <w:rsid w:val="00707DE2"/>
    <w:rsid w:val="00710796"/>
    <w:rsid w:val="00710D28"/>
    <w:rsid w:val="007119B9"/>
    <w:rsid w:val="00711E1C"/>
    <w:rsid w:val="0071279E"/>
    <w:rsid w:val="007131CF"/>
    <w:rsid w:val="007134E1"/>
    <w:rsid w:val="00714652"/>
    <w:rsid w:val="00714970"/>
    <w:rsid w:val="00715A0A"/>
    <w:rsid w:val="00715DD5"/>
    <w:rsid w:val="00716060"/>
    <w:rsid w:val="007167CE"/>
    <w:rsid w:val="00716E34"/>
    <w:rsid w:val="007174FD"/>
    <w:rsid w:val="00717529"/>
    <w:rsid w:val="007176F2"/>
    <w:rsid w:val="007178AD"/>
    <w:rsid w:val="00720896"/>
    <w:rsid w:val="007208C1"/>
    <w:rsid w:val="007210AB"/>
    <w:rsid w:val="00721D28"/>
    <w:rsid w:val="00721E0A"/>
    <w:rsid w:val="007226D7"/>
    <w:rsid w:val="00722AFF"/>
    <w:rsid w:val="00722CA7"/>
    <w:rsid w:val="00723368"/>
    <w:rsid w:val="00726B92"/>
    <w:rsid w:val="00727360"/>
    <w:rsid w:val="007277F0"/>
    <w:rsid w:val="0072790C"/>
    <w:rsid w:val="00727F4F"/>
    <w:rsid w:val="00730B53"/>
    <w:rsid w:val="00730B7C"/>
    <w:rsid w:val="00731717"/>
    <w:rsid w:val="00731BF0"/>
    <w:rsid w:val="00732013"/>
    <w:rsid w:val="007320F7"/>
    <w:rsid w:val="007323C6"/>
    <w:rsid w:val="0073256A"/>
    <w:rsid w:val="0073435E"/>
    <w:rsid w:val="007348BF"/>
    <w:rsid w:val="0073620A"/>
    <w:rsid w:val="007369A4"/>
    <w:rsid w:val="00736B26"/>
    <w:rsid w:val="00736D20"/>
    <w:rsid w:val="00737CBB"/>
    <w:rsid w:val="00740250"/>
    <w:rsid w:val="00740A61"/>
    <w:rsid w:val="00740AAD"/>
    <w:rsid w:val="00740D24"/>
    <w:rsid w:val="007410B4"/>
    <w:rsid w:val="00741738"/>
    <w:rsid w:val="007422AD"/>
    <w:rsid w:val="007423F3"/>
    <w:rsid w:val="00742E6E"/>
    <w:rsid w:val="00743924"/>
    <w:rsid w:val="007440C3"/>
    <w:rsid w:val="00744BC6"/>
    <w:rsid w:val="00745B94"/>
    <w:rsid w:val="00745C76"/>
    <w:rsid w:val="0074652D"/>
    <w:rsid w:val="007469CA"/>
    <w:rsid w:val="00746A17"/>
    <w:rsid w:val="00746A7A"/>
    <w:rsid w:val="00747675"/>
    <w:rsid w:val="007501C9"/>
    <w:rsid w:val="007512DE"/>
    <w:rsid w:val="00751359"/>
    <w:rsid w:val="00751361"/>
    <w:rsid w:val="00751432"/>
    <w:rsid w:val="007519A6"/>
    <w:rsid w:val="00751E34"/>
    <w:rsid w:val="00751E5A"/>
    <w:rsid w:val="00751E67"/>
    <w:rsid w:val="00751F13"/>
    <w:rsid w:val="0075205B"/>
    <w:rsid w:val="007520CA"/>
    <w:rsid w:val="0075316C"/>
    <w:rsid w:val="00753509"/>
    <w:rsid w:val="00754AA7"/>
    <w:rsid w:val="0075506D"/>
    <w:rsid w:val="00755108"/>
    <w:rsid w:val="00756235"/>
    <w:rsid w:val="007571B3"/>
    <w:rsid w:val="00757D39"/>
    <w:rsid w:val="0076011C"/>
    <w:rsid w:val="007608C4"/>
    <w:rsid w:val="00760D6C"/>
    <w:rsid w:val="00760FFC"/>
    <w:rsid w:val="007610A0"/>
    <w:rsid w:val="00761FF5"/>
    <w:rsid w:val="00762F9C"/>
    <w:rsid w:val="00764057"/>
    <w:rsid w:val="00764311"/>
    <w:rsid w:val="00765024"/>
    <w:rsid w:val="00765A1D"/>
    <w:rsid w:val="0076622B"/>
    <w:rsid w:val="007667AB"/>
    <w:rsid w:val="00767B43"/>
    <w:rsid w:val="00767B83"/>
    <w:rsid w:val="00767ED6"/>
    <w:rsid w:val="0077037B"/>
    <w:rsid w:val="00770AEB"/>
    <w:rsid w:val="00771300"/>
    <w:rsid w:val="0077215B"/>
    <w:rsid w:val="00772C12"/>
    <w:rsid w:val="007731E4"/>
    <w:rsid w:val="00773F22"/>
    <w:rsid w:val="00773F29"/>
    <w:rsid w:val="007744A2"/>
    <w:rsid w:val="00774845"/>
    <w:rsid w:val="00774ACB"/>
    <w:rsid w:val="00774F96"/>
    <w:rsid w:val="00775481"/>
    <w:rsid w:val="00775814"/>
    <w:rsid w:val="00775C16"/>
    <w:rsid w:val="00775E04"/>
    <w:rsid w:val="0077630D"/>
    <w:rsid w:val="00776581"/>
    <w:rsid w:val="00776936"/>
    <w:rsid w:val="00777138"/>
    <w:rsid w:val="007771F2"/>
    <w:rsid w:val="00780822"/>
    <w:rsid w:val="0078142A"/>
    <w:rsid w:val="00781BE7"/>
    <w:rsid w:val="007826A0"/>
    <w:rsid w:val="00782710"/>
    <w:rsid w:val="00782B0E"/>
    <w:rsid w:val="00782FDB"/>
    <w:rsid w:val="007830DE"/>
    <w:rsid w:val="0078365C"/>
    <w:rsid w:val="00783AF2"/>
    <w:rsid w:val="0078452F"/>
    <w:rsid w:val="00784A24"/>
    <w:rsid w:val="00784D75"/>
    <w:rsid w:val="00785165"/>
    <w:rsid w:val="007859D9"/>
    <w:rsid w:val="00785C26"/>
    <w:rsid w:val="00786A8F"/>
    <w:rsid w:val="00786CD4"/>
    <w:rsid w:val="00786DB5"/>
    <w:rsid w:val="00787AE2"/>
    <w:rsid w:val="00790056"/>
    <w:rsid w:val="0079028A"/>
    <w:rsid w:val="007908EE"/>
    <w:rsid w:val="00790A40"/>
    <w:rsid w:val="00791886"/>
    <w:rsid w:val="00791EA6"/>
    <w:rsid w:val="00792138"/>
    <w:rsid w:val="00792749"/>
    <w:rsid w:val="00792759"/>
    <w:rsid w:val="00792A47"/>
    <w:rsid w:val="00792A56"/>
    <w:rsid w:val="00792B55"/>
    <w:rsid w:val="00792F0A"/>
    <w:rsid w:val="00793170"/>
    <w:rsid w:val="007933EE"/>
    <w:rsid w:val="00793629"/>
    <w:rsid w:val="00793DAB"/>
    <w:rsid w:val="00794577"/>
    <w:rsid w:val="0079464C"/>
    <w:rsid w:val="00794727"/>
    <w:rsid w:val="00794DD9"/>
    <w:rsid w:val="00794E70"/>
    <w:rsid w:val="007959C2"/>
    <w:rsid w:val="00795C05"/>
    <w:rsid w:val="00795F5B"/>
    <w:rsid w:val="00795F7C"/>
    <w:rsid w:val="00797348"/>
    <w:rsid w:val="00797565"/>
    <w:rsid w:val="00797A26"/>
    <w:rsid w:val="00797F8E"/>
    <w:rsid w:val="007A0C4D"/>
    <w:rsid w:val="007A0DF8"/>
    <w:rsid w:val="007A2C43"/>
    <w:rsid w:val="007A316A"/>
    <w:rsid w:val="007A3AC5"/>
    <w:rsid w:val="007A3C8F"/>
    <w:rsid w:val="007A483C"/>
    <w:rsid w:val="007A631C"/>
    <w:rsid w:val="007A6604"/>
    <w:rsid w:val="007A7446"/>
    <w:rsid w:val="007A78F3"/>
    <w:rsid w:val="007A7C99"/>
    <w:rsid w:val="007B0222"/>
    <w:rsid w:val="007B08E5"/>
    <w:rsid w:val="007B1EAC"/>
    <w:rsid w:val="007B2018"/>
    <w:rsid w:val="007B28DB"/>
    <w:rsid w:val="007B38EC"/>
    <w:rsid w:val="007B3DAC"/>
    <w:rsid w:val="007B3DF7"/>
    <w:rsid w:val="007B3EB6"/>
    <w:rsid w:val="007B471E"/>
    <w:rsid w:val="007B5137"/>
    <w:rsid w:val="007B69FE"/>
    <w:rsid w:val="007C0135"/>
    <w:rsid w:val="007C0755"/>
    <w:rsid w:val="007C133D"/>
    <w:rsid w:val="007C1402"/>
    <w:rsid w:val="007C1C5B"/>
    <w:rsid w:val="007C1D6A"/>
    <w:rsid w:val="007C2208"/>
    <w:rsid w:val="007C245A"/>
    <w:rsid w:val="007C2CD0"/>
    <w:rsid w:val="007C2D11"/>
    <w:rsid w:val="007C3911"/>
    <w:rsid w:val="007C3B7D"/>
    <w:rsid w:val="007C42B8"/>
    <w:rsid w:val="007C4532"/>
    <w:rsid w:val="007C46D4"/>
    <w:rsid w:val="007C4BF3"/>
    <w:rsid w:val="007C5068"/>
    <w:rsid w:val="007C53E3"/>
    <w:rsid w:val="007C62E7"/>
    <w:rsid w:val="007C6791"/>
    <w:rsid w:val="007C6C6A"/>
    <w:rsid w:val="007D05AF"/>
    <w:rsid w:val="007D0732"/>
    <w:rsid w:val="007D19A0"/>
    <w:rsid w:val="007D2CB9"/>
    <w:rsid w:val="007D3635"/>
    <w:rsid w:val="007D3969"/>
    <w:rsid w:val="007D4A45"/>
    <w:rsid w:val="007D4C30"/>
    <w:rsid w:val="007D4CEE"/>
    <w:rsid w:val="007D4DAA"/>
    <w:rsid w:val="007D53E0"/>
    <w:rsid w:val="007D55A0"/>
    <w:rsid w:val="007D5987"/>
    <w:rsid w:val="007D7D5C"/>
    <w:rsid w:val="007E1455"/>
    <w:rsid w:val="007E18D6"/>
    <w:rsid w:val="007E1A82"/>
    <w:rsid w:val="007E1B2A"/>
    <w:rsid w:val="007E1CB4"/>
    <w:rsid w:val="007E21AD"/>
    <w:rsid w:val="007E21B9"/>
    <w:rsid w:val="007E243C"/>
    <w:rsid w:val="007E2D3E"/>
    <w:rsid w:val="007E34BC"/>
    <w:rsid w:val="007E3AE9"/>
    <w:rsid w:val="007E40EC"/>
    <w:rsid w:val="007E5672"/>
    <w:rsid w:val="007E5A17"/>
    <w:rsid w:val="007E5D2F"/>
    <w:rsid w:val="007E641E"/>
    <w:rsid w:val="007E7511"/>
    <w:rsid w:val="007E7AA9"/>
    <w:rsid w:val="007F011D"/>
    <w:rsid w:val="007F05D5"/>
    <w:rsid w:val="007F0818"/>
    <w:rsid w:val="007F1169"/>
    <w:rsid w:val="007F1350"/>
    <w:rsid w:val="007F1364"/>
    <w:rsid w:val="007F208D"/>
    <w:rsid w:val="007F23B3"/>
    <w:rsid w:val="007F2848"/>
    <w:rsid w:val="007F2D2E"/>
    <w:rsid w:val="007F3242"/>
    <w:rsid w:val="007F3E31"/>
    <w:rsid w:val="007F42FA"/>
    <w:rsid w:val="007F43BE"/>
    <w:rsid w:val="007F4524"/>
    <w:rsid w:val="007F462A"/>
    <w:rsid w:val="007F4EB0"/>
    <w:rsid w:val="007F512B"/>
    <w:rsid w:val="007F553C"/>
    <w:rsid w:val="007F5CBB"/>
    <w:rsid w:val="007F655F"/>
    <w:rsid w:val="007F6EEB"/>
    <w:rsid w:val="007F7DE4"/>
    <w:rsid w:val="007F7F91"/>
    <w:rsid w:val="00800360"/>
    <w:rsid w:val="008007E4"/>
    <w:rsid w:val="00800A2E"/>
    <w:rsid w:val="00801613"/>
    <w:rsid w:val="00801EB9"/>
    <w:rsid w:val="008022A3"/>
    <w:rsid w:val="008029A7"/>
    <w:rsid w:val="00802A25"/>
    <w:rsid w:val="008034E7"/>
    <w:rsid w:val="00804156"/>
    <w:rsid w:val="00804EE5"/>
    <w:rsid w:val="00804F9E"/>
    <w:rsid w:val="00805C6F"/>
    <w:rsid w:val="008067D2"/>
    <w:rsid w:val="0080710D"/>
    <w:rsid w:val="00807121"/>
    <w:rsid w:val="00807B5E"/>
    <w:rsid w:val="00807F6C"/>
    <w:rsid w:val="00810306"/>
    <w:rsid w:val="0081030D"/>
    <w:rsid w:val="00811BDA"/>
    <w:rsid w:val="00812434"/>
    <w:rsid w:val="00812D35"/>
    <w:rsid w:val="00812EF4"/>
    <w:rsid w:val="0081321F"/>
    <w:rsid w:val="0081331A"/>
    <w:rsid w:val="008133D3"/>
    <w:rsid w:val="00813AFB"/>
    <w:rsid w:val="0081404D"/>
    <w:rsid w:val="008141F5"/>
    <w:rsid w:val="00814D2B"/>
    <w:rsid w:val="008167F7"/>
    <w:rsid w:val="00817B69"/>
    <w:rsid w:val="00817DB2"/>
    <w:rsid w:val="0082005B"/>
    <w:rsid w:val="008201FA"/>
    <w:rsid w:val="008202AA"/>
    <w:rsid w:val="008205EA"/>
    <w:rsid w:val="00821FB7"/>
    <w:rsid w:val="00822DBE"/>
    <w:rsid w:val="00822EF5"/>
    <w:rsid w:val="00824F6D"/>
    <w:rsid w:val="00825ED9"/>
    <w:rsid w:val="008268C7"/>
    <w:rsid w:val="00826B81"/>
    <w:rsid w:val="00827041"/>
    <w:rsid w:val="00827269"/>
    <w:rsid w:val="008272E3"/>
    <w:rsid w:val="008279B0"/>
    <w:rsid w:val="00827D9D"/>
    <w:rsid w:val="008316FE"/>
    <w:rsid w:val="008321B1"/>
    <w:rsid w:val="00832423"/>
    <w:rsid w:val="0083287F"/>
    <w:rsid w:val="00832A33"/>
    <w:rsid w:val="00832C39"/>
    <w:rsid w:val="00833174"/>
    <w:rsid w:val="00833404"/>
    <w:rsid w:val="008334C0"/>
    <w:rsid w:val="008336B7"/>
    <w:rsid w:val="0083392F"/>
    <w:rsid w:val="00833A61"/>
    <w:rsid w:val="00834875"/>
    <w:rsid w:val="00835437"/>
    <w:rsid w:val="00835752"/>
    <w:rsid w:val="00835B38"/>
    <w:rsid w:val="00836048"/>
    <w:rsid w:val="00836407"/>
    <w:rsid w:val="00836639"/>
    <w:rsid w:val="00836B67"/>
    <w:rsid w:val="00836D64"/>
    <w:rsid w:val="008371C6"/>
    <w:rsid w:val="00837595"/>
    <w:rsid w:val="00837DC6"/>
    <w:rsid w:val="00840CAA"/>
    <w:rsid w:val="0084141F"/>
    <w:rsid w:val="008426F2"/>
    <w:rsid w:val="00842D30"/>
    <w:rsid w:val="00842FC0"/>
    <w:rsid w:val="008433A2"/>
    <w:rsid w:val="00843B6A"/>
    <w:rsid w:val="008445B9"/>
    <w:rsid w:val="00845092"/>
    <w:rsid w:val="00845329"/>
    <w:rsid w:val="00846C4C"/>
    <w:rsid w:val="0084707C"/>
    <w:rsid w:val="008472F7"/>
    <w:rsid w:val="008473F4"/>
    <w:rsid w:val="00849398"/>
    <w:rsid w:val="0085025C"/>
    <w:rsid w:val="00850606"/>
    <w:rsid w:val="00850962"/>
    <w:rsid w:val="00850E35"/>
    <w:rsid w:val="00851536"/>
    <w:rsid w:val="0085181B"/>
    <w:rsid w:val="00851D1A"/>
    <w:rsid w:val="00852028"/>
    <w:rsid w:val="008532A1"/>
    <w:rsid w:val="0085370D"/>
    <w:rsid w:val="00853EC1"/>
    <w:rsid w:val="0085475D"/>
    <w:rsid w:val="0085518D"/>
    <w:rsid w:val="008552AE"/>
    <w:rsid w:val="00855F1A"/>
    <w:rsid w:val="00856C5B"/>
    <w:rsid w:val="00856D08"/>
    <w:rsid w:val="0085791B"/>
    <w:rsid w:val="00857D65"/>
    <w:rsid w:val="00860222"/>
    <w:rsid w:val="008605BF"/>
    <w:rsid w:val="00860D01"/>
    <w:rsid w:val="008613A7"/>
    <w:rsid w:val="00861B36"/>
    <w:rsid w:val="00861E3B"/>
    <w:rsid w:val="008630ED"/>
    <w:rsid w:val="00863A71"/>
    <w:rsid w:val="00863A98"/>
    <w:rsid w:val="008644C6"/>
    <w:rsid w:val="00865212"/>
    <w:rsid w:val="00865565"/>
    <w:rsid w:val="00866134"/>
    <w:rsid w:val="00866507"/>
    <w:rsid w:val="00866A73"/>
    <w:rsid w:val="00866C57"/>
    <w:rsid w:val="00866F24"/>
    <w:rsid w:val="00867028"/>
    <w:rsid w:val="00870803"/>
    <w:rsid w:val="00871345"/>
    <w:rsid w:val="008716C3"/>
    <w:rsid w:val="00871E0D"/>
    <w:rsid w:val="00873D23"/>
    <w:rsid w:val="0087478E"/>
    <w:rsid w:val="00874D8D"/>
    <w:rsid w:val="00875912"/>
    <w:rsid w:val="0087636B"/>
    <w:rsid w:val="00876DE6"/>
    <w:rsid w:val="008772F2"/>
    <w:rsid w:val="008801B9"/>
    <w:rsid w:val="00880649"/>
    <w:rsid w:val="00880C1E"/>
    <w:rsid w:val="00881AEB"/>
    <w:rsid w:val="008823BA"/>
    <w:rsid w:val="00882C5B"/>
    <w:rsid w:val="0088335C"/>
    <w:rsid w:val="00883A5D"/>
    <w:rsid w:val="00883CCB"/>
    <w:rsid w:val="00883FCD"/>
    <w:rsid w:val="00884938"/>
    <w:rsid w:val="00884F8F"/>
    <w:rsid w:val="008855B6"/>
    <w:rsid w:val="0088616B"/>
    <w:rsid w:val="008865E3"/>
    <w:rsid w:val="00886E82"/>
    <w:rsid w:val="00887370"/>
    <w:rsid w:val="0088748C"/>
    <w:rsid w:val="008909C8"/>
    <w:rsid w:val="00890C61"/>
    <w:rsid w:val="00890D72"/>
    <w:rsid w:val="00891ECB"/>
    <w:rsid w:val="008926B0"/>
    <w:rsid w:val="00892BE4"/>
    <w:rsid w:val="00892CC5"/>
    <w:rsid w:val="00893030"/>
    <w:rsid w:val="00893380"/>
    <w:rsid w:val="0089345B"/>
    <w:rsid w:val="0089382F"/>
    <w:rsid w:val="00893C91"/>
    <w:rsid w:val="00893DD5"/>
    <w:rsid w:val="00894467"/>
    <w:rsid w:val="00895524"/>
    <w:rsid w:val="008955D0"/>
    <w:rsid w:val="008969A4"/>
    <w:rsid w:val="008970DB"/>
    <w:rsid w:val="00897BAF"/>
    <w:rsid w:val="008A00FB"/>
    <w:rsid w:val="008A07D8"/>
    <w:rsid w:val="008A0812"/>
    <w:rsid w:val="008A084C"/>
    <w:rsid w:val="008A0BBF"/>
    <w:rsid w:val="008A0D24"/>
    <w:rsid w:val="008A0FD7"/>
    <w:rsid w:val="008A195C"/>
    <w:rsid w:val="008A218B"/>
    <w:rsid w:val="008A21D3"/>
    <w:rsid w:val="008A28B9"/>
    <w:rsid w:val="008A3A5E"/>
    <w:rsid w:val="008A3B71"/>
    <w:rsid w:val="008A4105"/>
    <w:rsid w:val="008A46AC"/>
    <w:rsid w:val="008A4CB7"/>
    <w:rsid w:val="008A4E27"/>
    <w:rsid w:val="008A524F"/>
    <w:rsid w:val="008A53A5"/>
    <w:rsid w:val="008A58B3"/>
    <w:rsid w:val="008A5E65"/>
    <w:rsid w:val="008A5EB3"/>
    <w:rsid w:val="008A62C7"/>
    <w:rsid w:val="008A6BD6"/>
    <w:rsid w:val="008A6D65"/>
    <w:rsid w:val="008A7675"/>
    <w:rsid w:val="008B0CB0"/>
    <w:rsid w:val="008B1AE7"/>
    <w:rsid w:val="008B1B0B"/>
    <w:rsid w:val="008B2217"/>
    <w:rsid w:val="008B3C33"/>
    <w:rsid w:val="008B3F6E"/>
    <w:rsid w:val="008B4143"/>
    <w:rsid w:val="008B4500"/>
    <w:rsid w:val="008B49E6"/>
    <w:rsid w:val="008B6369"/>
    <w:rsid w:val="008B6372"/>
    <w:rsid w:val="008B641A"/>
    <w:rsid w:val="008B6EEF"/>
    <w:rsid w:val="008B726B"/>
    <w:rsid w:val="008B7272"/>
    <w:rsid w:val="008B795F"/>
    <w:rsid w:val="008B7DF4"/>
    <w:rsid w:val="008C218A"/>
    <w:rsid w:val="008C28BC"/>
    <w:rsid w:val="008C2BE8"/>
    <w:rsid w:val="008C2ED8"/>
    <w:rsid w:val="008C3638"/>
    <w:rsid w:val="008C3907"/>
    <w:rsid w:val="008C3918"/>
    <w:rsid w:val="008C3A72"/>
    <w:rsid w:val="008C3C47"/>
    <w:rsid w:val="008C47AD"/>
    <w:rsid w:val="008C51BE"/>
    <w:rsid w:val="008C54DC"/>
    <w:rsid w:val="008C5629"/>
    <w:rsid w:val="008C5821"/>
    <w:rsid w:val="008C5B65"/>
    <w:rsid w:val="008C5F03"/>
    <w:rsid w:val="008C5F09"/>
    <w:rsid w:val="008C7575"/>
    <w:rsid w:val="008C7599"/>
    <w:rsid w:val="008C7FC3"/>
    <w:rsid w:val="008D00CD"/>
    <w:rsid w:val="008D09B8"/>
    <w:rsid w:val="008D0D57"/>
    <w:rsid w:val="008D134E"/>
    <w:rsid w:val="008D17B9"/>
    <w:rsid w:val="008D22EA"/>
    <w:rsid w:val="008D2772"/>
    <w:rsid w:val="008D27B4"/>
    <w:rsid w:val="008D320A"/>
    <w:rsid w:val="008D3DE3"/>
    <w:rsid w:val="008D4AA5"/>
    <w:rsid w:val="008D4DEB"/>
    <w:rsid w:val="008D5256"/>
    <w:rsid w:val="008D5730"/>
    <w:rsid w:val="008D5D2A"/>
    <w:rsid w:val="008D5DC2"/>
    <w:rsid w:val="008D6011"/>
    <w:rsid w:val="008D63B5"/>
    <w:rsid w:val="008D63BC"/>
    <w:rsid w:val="008D6851"/>
    <w:rsid w:val="008D6AC7"/>
    <w:rsid w:val="008D6EED"/>
    <w:rsid w:val="008D6F99"/>
    <w:rsid w:val="008D7460"/>
    <w:rsid w:val="008D7BA1"/>
    <w:rsid w:val="008D7E0E"/>
    <w:rsid w:val="008D7F88"/>
    <w:rsid w:val="008E06C4"/>
    <w:rsid w:val="008E0A87"/>
    <w:rsid w:val="008E13BA"/>
    <w:rsid w:val="008E1523"/>
    <w:rsid w:val="008E1F51"/>
    <w:rsid w:val="008E1FA6"/>
    <w:rsid w:val="008E2048"/>
    <w:rsid w:val="008E4158"/>
    <w:rsid w:val="008E447C"/>
    <w:rsid w:val="008E44B3"/>
    <w:rsid w:val="008E55DB"/>
    <w:rsid w:val="008E587C"/>
    <w:rsid w:val="008E5C3D"/>
    <w:rsid w:val="008E6920"/>
    <w:rsid w:val="008E6F47"/>
    <w:rsid w:val="008E719F"/>
    <w:rsid w:val="008E733F"/>
    <w:rsid w:val="008E7B3E"/>
    <w:rsid w:val="008E7BDE"/>
    <w:rsid w:val="008F01F0"/>
    <w:rsid w:val="008F0DC1"/>
    <w:rsid w:val="008F0FDE"/>
    <w:rsid w:val="008F1385"/>
    <w:rsid w:val="008F14CD"/>
    <w:rsid w:val="008F1989"/>
    <w:rsid w:val="008F1C18"/>
    <w:rsid w:val="008F1DF3"/>
    <w:rsid w:val="008F1F7C"/>
    <w:rsid w:val="008F2DE5"/>
    <w:rsid w:val="008F4174"/>
    <w:rsid w:val="008F57C4"/>
    <w:rsid w:val="008F5901"/>
    <w:rsid w:val="008F5DF7"/>
    <w:rsid w:val="008F6304"/>
    <w:rsid w:val="008F679D"/>
    <w:rsid w:val="008F77FC"/>
    <w:rsid w:val="008F7C9F"/>
    <w:rsid w:val="0090092D"/>
    <w:rsid w:val="00900FCA"/>
    <w:rsid w:val="0090239F"/>
    <w:rsid w:val="00902599"/>
    <w:rsid w:val="009029B4"/>
    <w:rsid w:val="00902A3E"/>
    <w:rsid w:val="00902BEA"/>
    <w:rsid w:val="00903553"/>
    <w:rsid w:val="0090475C"/>
    <w:rsid w:val="009048D3"/>
    <w:rsid w:val="00904C91"/>
    <w:rsid w:val="00905C45"/>
    <w:rsid w:val="00906669"/>
    <w:rsid w:val="00906809"/>
    <w:rsid w:val="009068EF"/>
    <w:rsid w:val="00906A52"/>
    <w:rsid w:val="009077AD"/>
    <w:rsid w:val="00907986"/>
    <w:rsid w:val="00907AC8"/>
    <w:rsid w:val="00907C97"/>
    <w:rsid w:val="00910B82"/>
    <w:rsid w:val="00911D95"/>
    <w:rsid w:val="00912742"/>
    <w:rsid w:val="00912BCD"/>
    <w:rsid w:val="009131DE"/>
    <w:rsid w:val="0091364D"/>
    <w:rsid w:val="0091420E"/>
    <w:rsid w:val="009145A9"/>
    <w:rsid w:val="00914CD5"/>
    <w:rsid w:val="00914D03"/>
    <w:rsid w:val="00914EFF"/>
    <w:rsid w:val="009153E5"/>
    <w:rsid w:val="00915478"/>
    <w:rsid w:val="00915DA7"/>
    <w:rsid w:val="0091634E"/>
    <w:rsid w:val="0091657E"/>
    <w:rsid w:val="00916F89"/>
    <w:rsid w:val="00921707"/>
    <w:rsid w:val="00921750"/>
    <w:rsid w:val="0092190F"/>
    <w:rsid w:val="00921E16"/>
    <w:rsid w:val="00922000"/>
    <w:rsid w:val="0092288A"/>
    <w:rsid w:val="00922CAF"/>
    <w:rsid w:val="00923079"/>
    <w:rsid w:val="009234BD"/>
    <w:rsid w:val="009238DF"/>
    <w:rsid w:val="00923A7A"/>
    <w:rsid w:val="00925117"/>
    <w:rsid w:val="00925665"/>
    <w:rsid w:val="009256BE"/>
    <w:rsid w:val="009258D2"/>
    <w:rsid w:val="00925DA6"/>
    <w:rsid w:val="0092644E"/>
    <w:rsid w:val="00926917"/>
    <w:rsid w:val="00926F8D"/>
    <w:rsid w:val="009272A8"/>
    <w:rsid w:val="00930079"/>
    <w:rsid w:val="00930B37"/>
    <w:rsid w:val="00930E5F"/>
    <w:rsid w:val="0093102E"/>
    <w:rsid w:val="0093158B"/>
    <w:rsid w:val="00931E0A"/>
    <w:rsid w:val="00932764"/>
    <w:rsid w:val="00932E8F"/>
    <w:rsid w:val="00934237"/>
    <w:rsid w:val="0093479A"/>
    <w:rsid w:val="0093593A"/>
    <w:rsid w:val="00935CAB"/>
    <w:rsid w:val="0093675C"/>
    <w:rsid w:val="009368AD"/>
    <w:rsid w:val="009371F5"/>
    <w:rsid w:val="00937548"/>
    <w:rsid w:val="00937B6C"/>
    <w:rsid w:val="0094034B"/>
    <w:rsid w:val="00940987"/>
    <w:rsid w:val="0094178E"/>
    <w:rsid w:val="00941926"/>
    <w:rsid w:val="00942495"/>
    <w:rsid w:val="00942816"/>
    <w:rsid w:val="00942989"/>
    <w:rsid w:val="00942F11"/>
    <w:rsid w:val="009444E8"/>
    <w:rsid w:val="00946B09"/>
    <w:rsid w:val="00946CBA"/>
    <w:rsid w:val="00947954"/>
    <w:rsid w:val="00947A49"/>
    <w:rsid w:val="00950A61"/>
    <w:rsid w:val="00950D83"/>
    <w:rsid w:val="00950D8D"/>
    <w:rsid w:val="00950F64"/>
    <w:rsid w:val="00951970"/>
    <w:rsid w:val="00952942"/>
    <w:rsid w:val="00952C2D"/>
    <w:rsid w:val="00953DC1"/>
    <w:rsid w:val="00954071"/>
    <w:rsid w:val="009540C2"/>
    <w:rsid w:val="00954AF7"/>
    <w:rsid w:val="00954F70"/>
    <w:rsid w:val="0095533D"/>
    <w:rsid w:val="009556AC"/>
    <w:rsid w:val="00955B44"/>
    <w:rsid w:val="0095723E"/>
    <w:rsid w:val="009572B3"/>
    <w:rsid w:val="009575F8"/>
    <w:rsid w:val="009578EC"/>
    <w:rsid w:val="00957D6F"/>
    <w:rsid w:val="009602A1"/>
    <w:rsid w:val="009604FB"/>
    <w:rsid w:val="00960963"/>
    <w:rsid w:val="00960B7D"/>
    <w:rsid w:val="009610B3"/>
    <w:rsid w:val="009618E2"/>
    <w:rsid w:val="0096223A"/>
    <w:rsid w:val="009622AD"/>
    <w:rsid w:val="00962658"/>
    <w:rsid w:val="00963466"/>
    <w:rsid w:val="00963D62"/>
    <w:rsid w:val="009644FA"/>
    <w:rsid w:val="00964609"/>
    <w:rsid w:val="009648CA"/>
    <w:rsid w:val="00964B77"/>
    <w:rsid w:val="00964C24"/>
    <w:rsid w:val="00965B81"/>
    <w:rsid w:val="00965BE5"/>
    <w:rsid w:val="009664FD"/>
    <w:rsid w:val="009665BA"/>
    <w:rsid w:val="00967347"/>
    <w:rsid w:val="009678BE"/>
    <w:rsid w:val="00967E20"/>
    <w:rsid w:val="00967F7F"/>
    <w:rsid w:val="00970106"/>
    <w:rsid w:val="00970470"/>
    <w:rsid w:val="009707A0"/>
    <w:rsid w:val="00970B20"/>
    <w:rsid w:val="00970F9F"/>
    <w:rsid w:val="009711C0"/>
    <w:rsid w:val="009713DF"/>
    <w:rsid w:val="00972144"/>
    <w:rsid w:val="0097341A"/>
    <w:rsid w:val="00973E97"/>
    <w:rsid w:val="00974417"/>
    <w:rsid w:val="0097488A"/>
    <w:rsid w:val="00974B89"/>
    <w:rsid w:val="0097519D"/>
    <w:rsid w:val="00976710"/>
    <w:rsid w:val="009774C1"/>
    <w:rsid w:val="00977C43"/>
    <w:rsid w:val="00980637"/>
    <w:rsid w:val="009807E4"/>
    <w:rsid w:val="009809AA"/>
    <w:rsid w:val="00980BD3"/>
    <w:rsid w:val="009815BA"/>
    <w:rsid w:val="00981B08"/>
    <w:rsid w:val="0098317E"/>
    <w:rsid w:val="0098342D"/>
    <w:rsid w:val="0098475E"/>
    <w:rsid w:val="009856A5"/>
    <w:rsid w:val="009860B2"/>
    <w:rsid w:val="009860D2"/>
    <w:rsid w:val="0098636A"/>
    <w:rsid w:val="00986AA5"/>
    <w:rsid w:val="00986B93"/>
    <w:rsid w:val="00987D2A"/>
    <w:rsid w:val="00991283"/>
    <w:rsid w:val="00991D3F"/>
    <w:rsid w:val="00991D84"/>
    <w:rsid w:val="00992491"/>
    <w:rsid w:val="00993275"/>
    <w:rsid w:val="00993CA9"/>
    <w:rsid w:val="009940AA"/>
    <w:rsid w:val="009947C6"/>
    <w:rsid w:val="009947D0"/>
    <w:rsid w:val="00994A00"/>
    <w:rsid w:val="00994FD2"/>
    <w:rsid w:val="00995C44"/>
    <w:rsid w:val="00995E91"/>
    <w:rsid w:val="00996F1B"/>
    <w:rsid w:val="0099780B"/>
    <w:rsid w:val="00997AF7"/>
    <w:rsid w:val="00997CB4"/>
    <w:rsid w:val="00997FCF"/>
    <w:rsid w:val="009A15A4"/>
    <w:rsid w:val="009A18D9"/>
    <w:rsid w:val="009A207F"/>
    <w:rsid w:val="009A328D"/>
    <w:rsid w:val="009A3561"/>
    <w:rsid w:val="009A3E95"/>
    <w:rsid w:val="009A4A92"/>
    <w:rsid w:val="009A5D7C"/>
    <w:rsid w:val="009A5FDB"/>
    <w:rsid w:val="009A6469"/>
    <w:rsid w:val="009A648A"/>
    <w:rsid w:val="009A7A19"/>
    <w:rsid w:val="009A7AB8"/>
    <w:rsid w:val="009B0339"/>
    <w:rsid w:val="009B0460"/>
    <w:rsid w:val="009B17ED"/>
    <w:rsid w:val="009B26AC"/>
    <w:rsid w:val="009B2AB8"/>
    <w:rsid w:val="009B2C1F"/>
    <w:rsid w:val="009B3011"/>
    <w:rsid w:val="009B30AE"/>
    <w:rsid w:val="009B3767"/>
    <w:rsid w:val="009B442B"/>
    <w:rsid w:val="009B455D"/>
    <w:rsid w:val="009B4F5F"/>
    <w:rsid w:val="009B52AA"/>
    <w:rsid w:val="009B5DE3"/>
    <w:rsid w:val="009B7515"/>
    <w:rsid w:val="009B76C0"/>
    <w:rsid w:val="009B795B"/>
    <w:rsid w:val="009B7FF0"/>
    <w:rsid w:val="009C14FE"/>
    <w:rsid w:val="009C15A1"/>
    <w:rsid w:val="009C1664"/>
    <w:rsid w:val="009C1CD1"/>
    <w:rsid w:val="009C268B"/>
    <w:rsid w:val="009C27B4"/>
    <w:rsid w:val="009C41FD"/>
    <w:rsid w:val="009C4606"/>
    <w:rsid w:val="009C5056"/>
    <w:rsid w:val="009C5C65"/>
    <w:rsid w:val="009C5C74"/>
    <w:rsid w:val="009C5DEE"/>
    <w:rsid w:val="009C5E9A"/>
    <w:rsid w:val="009C600B"/>
    <w:rsid w:val="009C6044"/>
    <w:rsid w:val="009C68A6"/>
    <w:rsid w:val="009D0529"/>
    <w:rsid w:val="009D06C5"/>
    <w:rsid w:val="009D078D"/>
    <w:rsid w:val="009D0E44"/>
    <w:rsid w:val="009D0F7B"/>
    <w:rsid w:val="009D1305"/>
    <w:rsid w:val="009D16BA"/>
    <w:rsid w:val="009D1D70"/>
    <w:rsid w:val="009D21D5"/>
    <w:rsid w:val="009D286B"/>
    <w:rsid w:val="009D327A"/>
    <w:rsid w:val="009D35F7"/>
    <w:rsid w:val="009D38A5"/>
    <w:rsid w:val="009D3C67"/>
    <w:rsid w:val="009D40D4"/>
    <w:rsid w:val="009D4C87"/>
    <w:rsid w:val="009D5A81"/>
    <w:rsid w:val="009D5B6A"/>
    <w:rsid w:val="009D6522"/>
    <w:rsid w:val="009D68BD"/>
    <w:rsid w:val="009D72B7"/>
    <w:rsid w:val="009D736C"/>
    <w:rsid w:val="009D7CDC"/>
    <w:rsid w:val="009E2BB3"/>
    <w:rsid w:val="009E2CA7"/>
    <w:rsid w:val="009E2F90"/>
    <w:rsid w:val="009E356A"/>
    <w:rsid w:val="009E4572"/>
    <w:rsid w:val="009E4822"/>
    <w:rsid w:val="009E5078"/>
    <w:rsid w:val="009E52A3"/>
    <w:rsid w:val="009E5A86"/>
    <w:rsid w:val="009E5D38"/>
    <w:rsid w:val="009E6189"/>
    <w:rsid w:val="009E61D7"/>
    <w:rsid w:val="009E624E"/>
    <w:rsid w:val="009E64AD"/>
    <w:rsid w:val="009E654E"/>
    <w:rsid w:val="009E6832"/>
    <w:rsid w:val="009E7786"/>
    <w:rsid w:val="009F0232"/>
    <w:rsid w:val="009F05DB"/>
    <w:rsid w:val="009F079B"/>
    <w:rsid w:val="009F0FC4"/>
    <w:rsid w:val="009F130C"/>
    <w:rsid w:val="009F1C34"/>
    <w:rsid w:val="009F2400"/>
    <w:rsid w:val="009F2DBC"/>
    <w:rsid w:val="009F4052"/>
    <w:rsid w:val="009F4845"/>
    <w:rsid w:val="009F4B83"/>
    <w:rsid w:val="009F5274"/>
    <w:rsid w:val="009F5754"/>
    <w:rsid w:val="009F71A3"/>
    <w:rsid w:val="009F7512"/>
    <w:rsid w:val="00A00071"/>
    <w:rsid w:val="00A0087C"/>
    <w:rsid w:val="00A00B71"/>
    <w:rsid w:val="00A00E43"/>
    <w:rsid w:val="00A00F44"/>
    <w:rsid w:val="00A015EC"/>
    <w:rsid w:val="00A016CC"/>
    <w:rsid w:val="00A0184B"/>
    <w:rsid w:val="00A02A04"/>
    <w:rsid w:val="00A02B9B"/>
    <w:rsid w:val="00A03019"/>
    <w:rsid w:val="00A034DB"/>
    <w:rsid w:val="00A03AC4"/>
    <w:rsid w:val="00A03B76"/>
    <w:rsid w:val="00A03F50"/>
    <w:rsid w:val="00A0432E"/>
    <w:rsid w:val="00A04794"/>
    <w:rsid w:val="00A04F27"/>
    <w:rsid w:val="00A04F78"/>
    <w:rsid w:val="00A0568A"/>
    <w:rsid w:val="00A060BE"/>
    <w:rsid w:val="00A061A1"/>
    <w:rsid w:val="00A06961"/>
    <w:rsid w:val="00A06FEB"/>
    <w:rsid w:val="00A070EA"/>
    <w:rsid w:val="00A073BA"/>
    <w:rsid w:val="00A075A5"/>
    <w:rsid w:val="00A07A52"/>
    <w:rsid w:val="00A07BD5"/>
    <w:rsid w:val="00A10E2F"/>
    <w:rsid w:val="00A1109B"/>
    <w:rsid w:val="00A111E4"/>
    <w:rsid w:val="00A11672"/>
    <w:rsid w:val="00A117B4"/>
    <w:rsid w:val="00A11836"/>
    <w:rsid w:val="00A11CAE"/>
    <w:rsid w:val="00A12325"/>
    <w:rsid w:val="00A12694"/>
    <w:rsid w:val="00A1378E"/>
    <w:rsid w:val="00A138C0"/>
    <w:rsid w:val="00A13E5A"/>
    <w:rsid w:val="00A13FC4"/>
    <w:rsid w:val="00A14191"/>
    <w:rsid w:val="00A144FB"/>
    <w:rsid w:val="00A14A3F"/>
    <w:rsid w:val="00A14E01"/>
    <w:rsid w:val="00A15565"/>
    <w:rsid w:val="00A1577F"/>
    <w:rsid w:val="00A158EA"/>
    <w:rsid w:val="00A1590F"/>
    <w:rsid w:val="00A16105"/>
    <w:rsid w:val="00A16836"/>
    <w:rsid w:val="00A205BE"/>
    <w:rsid w:val="00A212A9"/>
    <w:rsid w:val="00A219E2"/>
    <w:rsid w:val="00A228A0"/>
    <w:rsid w:val="00A22FDD"/>
    <w:rsid w:val="00A23318"/>
    <w:rsid w:val="00A23BCC"/>
    <w:rsid w:val="00A24E74"/>
    <w:rsid w:val="00A2524F"/>
    <w:rsid w:val="00A25596"/>
    <w:rsid w:val="00A25762"/>
    <w:rsid w:val="00A259EF"/>
    <w:rsid w:val="00A26208"/>
    <w:rsid w:val="00A2641D"/>
    <w:rsid w:val="00A268A3"/>
    <w:rsid w:val="00A26933"/>
    <w:rsid w:val="00A275BB"/>
    <w:rsid w:val="00A27C68"/>
    <w:rsid w:val="00A3032E"/>
    <w:rsid w:val="00A3091F"/>
    <w:rsid w:val="00A30B68"/>
    <w:rsid w:val="00A30E73"/>
    <w:rsid w:val="00A316D3"/>
    <w:rsid w:val="00A31A3F"/>
    <w:rsid w:val="00A32EEC"/>
    <w:rsid w:val="00A33088"/>
    <w:rsid w:val="00A336BA"/>
    <w:rsid w:val="00A33C1D"/>
    <w:rsid w:val="00A342F9"/>
    <w:rsid w:val="00A3630D"/>
    <w:rsid w:val="00A369AC"/>
    <w:rsid w:val="00A36B3E"/>
    <w:rsid w:val="00A36F5B"/>
    <w:rsid w:val="00A370F5"/>
    <w:rsid w:val="00A37372"/>
    <w:rsid w:val="00A37667"/>
    <w:rsid w:val="00A37B09"/>
    <w:rsid w:val="00A37D73"/>
    <w:rsid w:val="00A37DFA"/>
    <w:rsid w:val="00A40383"/>
    <w:rsid w:val="00A40569"/>
    <w:rsid w:val="00A40E26"/>
    <w:rsid w:val="00A414F7"/>
    <w:rsid w:val="00A41AA4"/>
    <w:rsid w:val="00A421E4"/>
    <w:rsid w:val="00A42310"/>
    <w:rsid w:val="00A42695"/>
    <w:rsid w:val="00A4287E"/>
    <w:rsid w:val="00A42B34"/>
    <w:rsid w:val="00A42DFD"/>
    <w:rsid w:val="00A43407"/>
    <w:rsid w:val="00A4343A"/>
    <w:rsid w:val="00A43710"/>
    <w:rsid w:val="00A438B4"/>
    <w:rsid w:val="00A43C4A"/>
    <w:rsid w:val="00A450C7"/>
    <w:rsid w:val="00A45AF2"/>
    <w:rsid w:val="00A45B89"/>
    <w:rsid w:val="00A4617E"/>
    <w:rsid w:val="00A4653A"/>
    <w:rsid w:val="00A465E3"/>
    <w:rsid w:val="00A47883"/>
    <w:rsid w:val="00A47D1C"/>
    <w:rsid w:val="00A5061E"/>
    <w:rsid w:val="00A5073E"/>
    <w:rsid w:val="00A508DC"/>
    <w:rsid w:val="00A514FE"/>
    <w:rsid w:val="00A51A84"/>
    <w:rsid w:val="00A51C16"/>
    <w:rsid w:val="00A52587"/>
    <w:rsid w:val="00A52ABB"/>
    <w:rsid w:val="00A53CD6"/>
    <w:rsid w:val="00A54122"/>
    <w:rsid w:val="00A543DD"/>
    <w:rsid w:val="00A5454A"/>
    <w:rsid w:val="00A54B95"/>
    <w:rsid w:val="00A5586A"/>
    <w:rsid w:val="00A55AD4"/>
    <w:rsid w:val="00A55D6C"/>
    <w:rsid w:val="00A571F2"/>
    <w:rsid w:val="00A57794"/>
    <w:rsid w:val="00A57911"/>
    <w:rsid w:val="00A57C7D"/>
    <w:rsid w:val="00A60DA8"/>
    <w:rsid w:val="00A610D9"/>
    <w:rsid w:val="00A61A3C"/>
    <w:rsid w:val="00A61A8D"/>
    <w:rsid w:val="00A62155"/>
    <w:rsid w:val="00A62A62"/>
    <w:rsid w:val="00A63FEA"/>
    <w:rsid w:val="00A6513B"/>
    <w:rsid w:val="00A651DD"/>
    <w:rsid w:val="00A652FC"/>
    <w:rsid w:val="00A656CA"/>
    <w:rsid w:val="00A65DC9"/>
    <w:rsid w:val="00A66B30"/>
    <w:rsid w:val="00A66F01"/>
    <w:rsid w:val="00A67404"/>
    <w:rsid w:val="00A67B43"/>
    <w:rsid w:val="00A67D43"/>
    <w:rsid w:val="00A7089A"/>
    <w:rsid w:val="00A70E8C"/>
    <w:rsid w:val="00A7169C"/>
    <w:rsid w:val="00A716FA"/>
    <w:rsid w:val="00A71787"/>
    <w:rsid w:val="00A722EC"/>
    <w:rsid w:val="00A7294A"/>
    <w:rsid w:val="00A72C99"/>
    <w:rsid w:val="00A72DFC"/>
    <w:rsid w:val="00A730B8"/>
    <w:rsid w:val="00A73356"/>
    <w:rsid w:val="00A735C3"/>
    <w:rsid w:val="00A739B9"/>
    <w:rsid w:val="00A739BF"/>
    <w:rsid w:val="00A743E0"/>
    <w:rsid w:val="00A744F1"/>
    <w:rsid w:val="00A748CD"/>
    <w:rsid w:val="00A74C7D"/>
    <w:rsid w:val="00A75E91"/>
    <w:rsid w:val="00A76168"/>
    <w:rsid w:val="00A7681B"/>
    <w:rsid w:val="00A7685C"/>
    <w:rsid w:val="00A76FE5"/>
    <w:rsid w:val="00A76FF7"/>
    <w:rsid w:val="00A77A2C"/>
    <w:rsid w:val="00A80214"/>
    <w:rsid w:val="00A81988"/>
    <w:rsid w:val="00A83041"/>
    <w:rsid w:val="00A8386E"/>
    <w:rsid w:val="00A83AD0"/>
    <w:rsid w:val="00A83B0F"/>
    <w:rsid w:val="00A83DDB"/>
    <w:rsid w:val="00A867E6"/>
    <w:rsid w:val="00A873E4"/>
    <w:rsid w:val="00A875F6"/>
    <w:rsid w:val="00A8764B"/>
    <w:rsid w:val="00A87A99"/>
    <w:rsid w:val="00A87AE7"/>
    <w:rsid w:val="00A87B02"/>
    <w:rsid w:val="00A87EB4"/>
    <w:rsid w:val="00A908A9"/>
    <w:rsid w:val="00A90FB2"/>
    <w:rsid w:val="00A92C21"/>
    <w:rsid w:val="00A92FA3"/>
    <w:rsid w:val="00A9307C"/>
    <w:rsid w:val="00A93420"/>
    <w:rsid w:val="00A93B12"/>
    <w:rsid w:val="00A93C41"/>
    <w:rsid w:val="00A93D9C"/>
    <w:rsid w:val="00A93DA7"/>
    <w:rsid w:val="00A93E6A"/>
    <w:rsid w:val="00A943D0"/>
    <w:rsid w:val="00A947E0"/>
    <w:rsid w:val="00A94F93"/>
    <w:rsid w:val="00A95060"/>
    <w:rsid w:val="00A95B19"/>
    <w:rsid w:val="00A96B6C"/>
    <w:rsid w:val="00A975D5"/>
    <w:rsid w:val="00A977DF"/>
    <w:rsid w:val="00AA0356"/>
    <w:rsid w:val="00AA0A6B"/>
    <w:rsid w:val="00AA1289"/>
    <w:rsid w:val="00AA152F"/>
    <w:rsid w:val="00AA228E"/>
    <w:rsid w:val="00AA22A1"/>
    <w:rsid w:val="00AA23CA"/>
    <w:rsid w:val="00AA2AC9"/>
    <w:rsid w:val="00AA2DFA"/>
    <w:rsid w:val="00AA3CA5"/>
    <w:rsid w:val="00AA437F"/>
    <w:rsid w:val="00AA489D"/>
    <w:rsid w:val="00AA4A10"/>
    <w:rsid w:val="00AA4CDE"/>
    <w:rsid w:val="00AA5055"/>
    <w:rsid w:val="00AA53C1"/>
    <w:rsid w:val="00AA55B4"/>
    <w:rsid w:val="00AA5B3C"/>
    <w:rsid w:val="00AA66DE"/>
    <w:rsid w:val="00AB02E5"/>
    <w:rsid w:val="00AB1A37"/>
    <w:rsid w:val="00AB1D50"/>
    <w:rsid w:val="00AB1F40"/>
    <w:rsid w:val="00AB2354"/>
    <w:rsid w:val="00AB2829"/>
    <w:rsid w:val="00AB4898"/>
    <w:rsid w:val="00AB4ECF"/>
    <w:rsid w:val="00AB5673"/>
    <w:rsid w:val="00AB56A8"/>
    <w:rsid w:val="00AB56AD"/>
    <w:rsid w:val="00AB5C79"/>
    <w:rsid w:val="00AB600A"/>
    <w:rsid w:val="00AB68AA"/>
    <w:rsid w:val="00AB7675"/>
    <w:rsid w:val="00AC0539"/>
    <w:rsid w:val="00AC102E"/>
    <w:rsid w:val="00AC13B7"/>
    <w:rsid w:val="00AC1991"/>
    <w:rsid w:val="00AC1C91"/>
    <w:rsid w:val="00AC1EBE"/>
    <w:rsid w:val="00AC2073"/>
    <w:rsid w:val="00AC261B"/>
    <w:rsid w:val="00AC2A61"/>
    <w:rsid w:val="00AC3871"/>
    <w:rsid w:val="00AC3E92"/>
    <w:rsid w:val="00AC40C9"/>
    <w:rsid w:val="00AC4589"/>
    <w:rsid w:val="00AC54B3"/>
    <w:rsid w:val="00AC5883"/>
    <w:rsid w:val="00AC5C95"/>
    <w:rsid w:val="00AC635D"/>
    <w:rsid w:val="00AC64A9"/>
    <w:rsid w:val="00AC6709"/>
    <w:rsid w:val="00AC67D2"/>
    <w:rsid w:val="00AC6A73"/>
    <w:rsid w:val="00AC742D"/>
    <w:rsid w:val="00AC7F42"/>
    <w:rsid w:val="00AD1739"/>
    <w:rsid w:val="00AD1F87"/>
    <w:rsid w:val="00AD2ADD"/>
    <w:rsid w:val="00AD31AD"/>
    <w:rsid w:val="00AD3330"/>
    <w:rsid w:val="00AD3506"/>
    <w:rsid w:val="00AD3674"/>
    <w:rsid w:val="00AD37C4"/>
    <w:rsid w:val="00AD3FC1"/>
    <w:rsid w:val="00AD41E2"/>
    <w:rsid w:val="00AD5364"/>
    <w:rsid w:val="00AD607D"/>
    <w:rsid w:val="00AD65A7"/>
    <w:rsid w:val="00AD662D"/>
    <w:rsid w:val="00AD6ED8"/>
    <w:rsid w:val="00AD7326"/>
    <w:rsid w:val="00AD785F"/>
    <w:rsid w:val="00AD797E"/>
    <w:rsid w:val="00AE0BF7"/>
    <w:rsid w:val="00AE17EE"/>
    <w:rsid w:val="00AE1CF4"/>
    <w:rsid w:val="00AE1D4E"/>
    <w:rsid w:val="00AE1D95"/>
    <w:rsid w:val="00AE22C6"/>
    <w:rsid w:val="00AE2AF2"/>
    <w:rsid w:val="00AE2C95"/>
    <w:rsid w:val="00AE335D"/>
    <w:rsid w:val="00AE4157"/>
    <w:rsid w:val="00AE4D34"/>
    <w:rsid w:val="00AE5745"/>
    <w:rsid w:val="00AE5A81"/>
    <w:rsid w:val="00AE6894"/>
    <w:rsid w:val="00AE6A4D"/>
    <w:rsid w:val="00AE6A4E"/>
    <w:rsid w:val="00AE6C9A"/>
    <w:rsid w:val="00AE72B9"/>
    <w:rsid w:val="00AE7464"/>
    <w:rsid w:val="00AE7E83"/>
    <w:rsid w:val="00AF00B6"/>
    <w:rsid w:val="00AF01A4"/>
    <w:rsid w:val="00AF0213"/>
    <w:rsid w:val="00AF022D"/>
    <w:rsid w:val="00AF0480"/>
    <w:rsid w:val="00AF0C6E"/>
    <w:rsid w:val="00AF1331"/>
    <w:rsid w:val="00AF249F"/>
    <w:rsid w:val="00AF2924"/>
    <w:rsid w:val="00AF36B0"/>
    <w:rsid w:val="00AF451F"/>
    <w:rsid w:val="00AF46F0"/>
    <w:rsid w:val="00AF4BE6"/>
    <w:rsid w:val="00AF5E50"/>
    <w:rsid w:val="00AF680B"/>
    <w:rsid w:val="00AF7005"/>
    <w:rsid w:val="00AF7169"/>
    <w:rsid w:val="00AF74A9"/>
    <w:rsid w:val="00AF7733"/>
    <w:rsid w:val="00B00CE9"/>
    <w:rsid w:val="00B018F6"/>
    <w:rsid w:val="00B01DF3"/>
    <w:rsid w:val="00B026E9"/>
    <w:rsid w:val="00B02D69"/>
    <w:rsid w:val="00B02DBF"/>
    <w:rsid w:val="00B03368"/>
    <w:rsid w:val="00B03743"/>
    <w:rsid w:val="00B03D3D"/>
    <w:rsid w:val="00B0482A"/>
    <w:rsid w:val="00B04B9C"/>
    <w:rsid w:val="00B05504"/>
    <w:rsid w:val="00B057B3"/>
    <w:rsid w:val="00B06197"/>
    <w:rsid w:val="00B064BC"/>
    <w:rsid w:val="00B06722"/>
    <w:rsid w:val="00B06FA4"/>
    <w:rsid w:val="00B07135"/>
    <w:rsid w:val="00B0749E"/>
    <w:rsid w:val="00B07BA0"/>
    <w:rsid w:val="00B10082"/>
    <w:rsid w:val="00B113E7"/>
    <w:rsid w:val="00B11914"/>
    <w:rsid w:val="00B12346"/>
    <w:rsid w:val="00B1235B"/>
    <w:rsid w:val="00B12875"/>
    <w:rsid w:val="00B12EA9"/>
    <w:rsid w:val="00B1353F"/>
    <w:rsid w:val="00B13959"/>
    <w:rsid w:val="00B13BB9"/>
    <w:rsid w:val="00B13D4A"/>
    <w:rsid w:val="00B14841"/>
    <w:rsid w:val="00B14FC6"/>
    <w:rsid w:val="00B1538F"/>
    <w:rsid w:val="00B154A4"/>
    <w:rsid w:val="00B15B16"/>
    <w:rsid w:val="00B15E53"/>
    <w:rsid w:val="00B162B2"/>
    <w:rsid w:val="00B166D6"/>
    <w:rsid w:val="00B168DD"/>
    <w:rsid w:val="00B16B15"/>
    <w:rsid w:val="00B16D2A"/>
    <w:rsid w:val="00B170D5"/>
    <w:rsid w:val="00B201CC"/>
    <w:rsid w:val="00B203C1"/>
    <w:rsid w:val="00B21880"/>
    <w:rsid w:val="00B22F5A"/>
    <w:rsid w:val="00B2446D"/>
    <w:rsid w:val="00B245A5"/>
    <w:rsid w:val="00B24A9E"/>
    <w:rsid w:val="00B24F28"/>
    <w:rsid w:val="00B25D15"/>
    <w:rsid w:val="00B262DE"/>
    <w:rsid w:val="00B26745"/>
    <w:rsid w:val="00B267C7"/>
    <w:rsid w:val="00B27267"/>
    <w:rsid w:val="00B272B4"/>
    <w:rsid w:val="00B27335"/>
    <w:rsid w:val="00B27694"/>
    <w:rsid w:val="00B305D2"/>
    <w:rsid w:val="00B31006"/>
    <w:rsid w:val="00B3194D"/>
    <w:rsid w:val="00B31BC2"/>
    <w:rsid w:val="00B3283C"/>
    <w:rsid w:val="00B32A6D"/>
    <w:rsid w:val="00B3358A"/>
    <w:rsid w:val="00B3361E"/>
    <w:rsid w:val="00B33656"/>
    <w:rsid w:val="00B33A57"/>
    <w:rsid w:val="00B33DA0"/>
    <w:rsid w:val="00B33FB5"/>
    <w:rsid w:val="00B341AF"/>
    <w:rsid w:val="00B3512D"/>
    <w:rsid w:val="00B362DF"/>
    <w:rsid w:val="00B36329"/>
    <w:rsid w:val="00B36877"/>
    <w:rsid w:val="00B3793A"/>
    <w:rsid w:val="00B408A2"/>
    <w:rsid w:val="00B408D9"/>
    <w:rsid w:val="00B410C9"/>
    <w:rsid w:val="00B410F7"/>
    <w:rsid w:val="00B41615"/>
    <w:rsid w:val="00B4305C"/>
    <w:rsid w:val="00B447DE"/>
    <w:rsid w:val="00B4485D"/>
    <w:rsid w:val="00B44A7A"/>
    <w:rsid w:val="00B45423"/>
    <w:rsid w:val="00B45BE7"/>
    <w:rsid w:val="00B45BFB"/>
    <w:rsid w:val="00B46019"/>
    <w:rsid w:val="00B46067"/>
    <w:rsid w:val="00B4670B"/>
    <w:rsid w:val="00B4673A"/>
    <w:rsid w:val="00B47C4B"/>
    <w:rsid w:val="00B50378"/>
    <w:rsid w:val="00B51D30"/>
    <w:rsid w:val="00B51D76"/>
    <w:rsid w:val="00B53B2D"/>
    <w:rsid w:val="00B554B7"/>
    <w:rsid w:val="00B556D2"/>
    <w:rsid w:val="00B5595C"/>
    <w:rsid w:val="00B55EF6"/>
    <w:rsid w:val="00B5766A"/>
    <w:rsid w:val="00B604EC"/>
    <w:rsid w:val="00B60A51"/>
    <w:rsid w:val="00B613DE"/>
    <w:rsid w:val="00B61D96"/>
    <w:rsid w:val="00B61F74"/>
    <w:rsid w:val="00B6250E"/>
    <w:rsid w:val="00B62C17"/>
    <w:rsid w:val="00B62D6C"/>
    <w:rsid w:val="00B62D9C"/>
    <w:rsid w:val="00B63106"/>
    <w:rsid w:val="00B634DC"/>
    <w:rsid w:val="00B64091"/>
    <w:rsid w:val="00B6482F"/>
    <w:rsid w:val="00B65E3F"/>
    <w:rsid w:val="00B66078"/>
    <w:rsid w:val="00B678B2"/>
    <w:rsid w:val="00B70636"/>
    <w:rsid w:val="00B70689"/>
    <w:rsid w:val="00B70940"/>
    <w:rsid w:val="00B71F24"/>
    <w:rsid w:val="00B727CE"/>
    <w:rsid w:val="00B72932"/>
    <w:rsid w:val="00B73411"/>
    <w:rsid w:val="00B735AD"/>
    <w:rsid w:val="00B736C7"/>
    <w:rsid w:val="00B73879"/>
    <w:rsid w:val="00B749A5"/>
    <w:rsid w:val="00B749A8"/>
    <w:rsid w:val="00B74FAE"/>
    <w:rsid w:val="00B75350"/>
    <w:rsid w:val="00B768D2"/>
    <w:rsid w:val="00B76FC8"/>
    <w:rsid w:val="00B778E6"/>
    <w:rsid w:val="00B800D1"/>
    <w:rsid w:val="00B80590"/>
    <w:rsid w:val="00B806B9"/>
    <w:rsid w:val="00B8085B"/>
    <w:rsid w:val="00B821EF"/>
    <w:rsid w:val="00B82A4B"/>
    <w:rsid w:val="00B83D9C"/>
    <w:rsid w:val="00B84588"/>
    <w:rsid w:val="00B84AE8"/>
    <w:rsid w:val="00B84EF0"/>
    <w:rsid w:val="00B8559A"/>
    <w:rsid w:val="00B85AC5"/>
    <w:rsid w:val="00B85BA1"/>
    <w:rsid w:val="00B86B7D"/>
    <w:rsid w:val="00B86FA0"/>
    <w:rsid w:val="00B87406"/>
    <w:rsid w:val="00B87B70"/>
    <w:rsid w:val="00B90712"/>
    <w:rsid w:val="00B90943"/>
    <w:rsid w:val="00B90CC8"/>
    <w:rsid w:val="00B90D25"/>
    <w:rsid w:val="00B90FB6"/>
    <w:rsid w:val="00B914FF"/>
    <w:rsid w:val="00B91606"/>
    <w:rsid w:val="00B92AF5"/>
    <w:rsid w:val="00B92D6C"/>
    <w:rsid w:val="00B93CE7"/>
    <w:rsid w:val="00B9405B"/>
    <w:rsid w:val="00B95585"/>
    <w:rsid w:val="00B9698D"/>
    <w:rsid w:val="00B96AAE"/>
    <w:rsid w:val="00B976F4"/>
    <w:rsid w:val="00BA0163"/>
    <w:rsid w:val="00BA01D3"/>
    <w:rsid w:val="00BA06CC"/>
    <w:rsid w:val="00BA09CB"/>
    <w:rsid w:val="00BA0AE7"/>
    <w:rsid w:val="00BA16E2"/>
    <w:rsid w:val="00BA18E3"/>
    <w:rsid w:val="00BA1929"/>
    <w:rsid w:val="00BA1A82"/>
    <w:rsid w:val="00BA1BDF"/>
    <w:rsid w:val="00BA1C3B"/>
    <w:rsid w:val="00BA283E"/>
    <w:rsid w:val="00BA3061"/>
    <w:rsid w:val="00BA3926"/>
    <w:rsid w:val="00BA3DF1"/>
    <w:rsid w:val="00BA5156"/>
    <w:rsid w:val="00BA52FD"/>
    <w:rsid w:val="00BA59EB"/>
    <w:rsid w:val="00BA5AF8"/>
    <w:rsid w:val="00BA5FBF"/>
    <w:rsid w:val="00BA5FC3"/>
    <w:rsid w:val="00BA72B3"/>
    <w:rsid w:val="00BA7454"/>
    <w:rsid w:val="00BA773C"/>
    <w:rsid w:val="00BA7B68"/>
    <w:rsid w:val="00BB0159"/>
    <w:rsid w:val="00BB02ED"/>
    <w:rsid w:val="00BB0C3E"/>
    <w:rsid w:val="00BB0ED7"/>
    <w:rsid w:val="00BB17B5"/>
    <w:rsid w:val="00BB192E"/>
    <w:rsid w:val="00BB2286"/>
    <w:rsid w:val="00BB245F"/>
    <w:rsid w:val="00BB291F"/>
    <w:rsid w:val="00BB2A5C"/>
    <w:rsid w:val="00BB2E5E"/>
    <w:rsid w:val="00BB3023"/>
    <w:rsid w:val="00BB3554"/>
    <w:rsid w:val="00BB382D"/>
    <w:rsid w:val="00BB4304"/>
    <w:rsid w:val="00BB48F2"/>
    <w:rsid w:val="00BB5561"/>
    <w:rsid w:val="00BB55AE"/>
    <w:rsid w:val="00BB6634"/>
    <w:rsid w:val="00BB6C5E"/>
    <w:rsid w:val="00BB6C6C"/>
    <w:rsid w:val="00BB7AF1"/>
    <w:rsid w:val="00BC02E8"/>
    <w:rsid w:val="00BC059B"/>
    <w:rsid w:val="00BC06B1"/>
    <w:rsid w:val="00BC08ED"/>
    <w:rsid w:val="00BC0B91"/>
    <w:rsid w:val="00BC184A"/>
    <w:rsid w:val="00BC1AD2"/>
    <w:rsid w:val="00BC2B37"/>
    <w:rsid w:val="00BC5179"/>
    <w:rsid w:val="00BC663A"/>
    <w:rsid w:val="00BC6D8C"/>
    <w:rsid w:val="00BC6F36"/>
    <w:rsid w:val="00BC7798"/>
    <w:rsid w:val="00BC78C4"/>
    <w:rsid w:val="00BC79B6"/>
    <w:rsid w:val="00BD077E"/>
    <w:rsid w:val="00BD2B13"/>
    <w:rsid w:val="00BD336D"/>
    <w:rsid w:val="00BD3EEA"/>
    <w:rsid w:val="00BD44A0"/>
    <w:rsid w:val="00BD4CB6"/>
    <w:rsid w:val="00BD5192"/>
    <w:rsid w:val="00BD5394"/>
    <w:rsid w:val="00BD5C9C"/>
    <w:rsid w:val="00BD6ACE"/>
    <w:rsid w:val="00BD74DC"/>
    <w:rsid w:val="00BD7BDB"/>
    <w:rsid w:val="00BD7C99"/>
    <w:rsid w:val="00BD7DCC"/>
    <w:rsid w:val="00BE0A75"/>
    <w:rsid w:val="00BE2559"/>
    <w:rsid w:val="00BE3D7D"/>
    <w:rsid w:val="00BE4835"/>
    <w:rsid w:val="00BE4836"/>
    <w:rsid w:val="00BE56E4"/>
    <w:rsid w:val="00BE56F1"/>
    <w:rsid w:val="00BE5CA8"/>
    <w:rsid w:val="00BE6673"/>
    <w:rsid w:val="00BE6E83"/>
    <w:rsid w:val="00BE79DF"/>
    <w:rsid w:val="00BF03C7"/>
    <w:rsid w:val="00BF0613"/>
    <w:rsid w:val="00BF13AD"/>
    <w:rsid w:val="00BF3098"/>
    <w:rsid w:val="00BF54A8"/>
    <w:rsid w:val="00BF556B"/>
    <w:rsid w:val="00BF5CBE"/>
    <w:rsid w:val="00BF61ED"/>
    <w:rsid w:val="00BF6E7E"/>
    <w:rsid w:val="00C0038C"/>
    <w:rsid w:val="00C013FC"/>
    <w:rsid w:val="00C01626"/>
    <w:rsid w:val="00C01FD4"/>
    <w:rsid w:val="00C0290F"/>
    <w:rsid w:val="00C04803"/>
    <w:rsid w:val="00C04E33"/>
    <w:rsid w:val="00C04F2F"/>
    <w:rsid w:val="00C05533"/>
    <w:rsid w:val="00C05E82"/>
    <w:rsid w:val="00C067F4"/>
    <w:rsid w:val="00C069CC"/>
    <w:rsid w:val="00C06CAE"/>
    <w:rsid w:val="00C100A7"/>
    <w:rsid w:val="00C105C4"/>
    <w:rsid w:val="00C11E64"/>
    <w:rsid w:val="00C120FA"/>
    <w:rsid w:val="00C12B9F"/>
    <w:rsid w:val="00C134CC"/>
    <w:rsid w:val="00C143F3"/>
    <w:rsid w:val="00C1442D"/>
    <w:rsid w:val="00C15680"/>
    <w:rsid w:val="00C1576D"/>
    <w:rsid w:val="00C15B11"/>
    <w:rsid w:val="00C15C03"/>
    <w:rsid w:val="00C15E32"/>
    <w:rsid w:val="00C168B9"/>
    <w:rsid w:val="00C16AA2"/>
    <w:rsid w:val="00C16F25"/>
    <w:rsid w:val="00C16F6E"/>
    <w:rsid w:val="00C17379"/>
    <w:rsid w:val="00C17B19"/>
    <w:rsid w:val="00C2070E"/>
    <w:rsid w:val="00C2160B"/>
    <w:rsid w:val="00C22A8D"/>
    <w:rsid w:val="00C23F7E"/>
    <w:rsid w:val="00C24713"/>
    <w:rsid w:val="00C24A86"/>
    <w:rsid w:val="00C24A89"/>
    <w:rsid w:val="00C25999"/>
    <w:rsid w:val="00C25DEB"/>
    <w:rsid w:val="00C26D97"/>
    <w:rsid w:val="00C2723C"/>
    <w:rsid w:val="00C2771E"/>
    <w:rsid w:val="00C27D27"/>
    <w:rsid w:val="00C3034F"/>
    <w:rsid w:val="00C324BF"/>
    <w:rsid w:val="00C327C8"/>
    <w:rsid w:val="00C32B99"/>
    <w:rsid w:val="00C32B9B"/>
    <w:rsid w:val="00C333EE"/>
    <w:rsid w:val="00C34B07"/>
    <w:rsid w:val="00C362F1"/>
    <w:rsid w:val="00C36F60"/>
    <w:rsid w:val="00C402F5"/>
    <w:rsid w:val="00C406D7"/>
    <w:rsid w:val="00C40F4B"/>
    <w:rsid w:val="00C42202"/>
    <w:rsid w:val="00C4251C"/>
    <w:rsid w:val="00C42A28"/>
    <w:rsid w:val="00C42B7A"/>
    <w:rsid w:val="00C42C54"/>
    <w:rsid w:val="00C434AE"/>
    <w:rsid w:val="00C44E4A"/>
    <w:rsid w:val="00C45F0B"/>
    <w:rsid w:val="00C45FEB"/>
    <w:rsid w:val="00C464BE"/>
    <w:rsid w:val="00C4692D"/>
    <w:rsid w:val="00C4797B"/>
    <w:rsid w:val="00C500CB"/>
    <w:rsid w:val="00C504F2"/>
    <w:rsid w:val="00C5253B"/>
    <w:rsid w:val="00C526AC"/>
    <w:rsid w:val="00C52E04"/>
    <w:rsid w:val="00C53A82"/>
    <w:rsid w:val="00C53A83"/>
    <w:rsid w:val="00C53F0A"/>
    <w:rsid w:val="00C54460"/>
    <w:rsid w:val="00C5482B"/>
    <w:rsid w:val="00C55BB1"/>
    <w:rsid w:val="00C5607D"/>
    <w:rsid w:val="00C56A85"/>
    <w:rsid w:val="00C5780D"/>
    <w:rsid w:val="00C57AB1"/>
    <w:rsid w:val="00C60069"/>
    <w:rsid w:val="00C60B88"/>
    <w:rsid w:val="00C613E4"/>
    <w:rsid w:val="00C61519"/>
    <w:rsid w:val="00C62541"/>
    <w:rsid w:val="00C630BD"/>
    <w:rsid w:val="00C63A2D"/>
    <w:rsid w:val="00C63F94"/>
    <w:rsid w:val="00C6423C"/>
    <w:rsid w:val="00C6429D"/>
    <w:rsid w:val="00C64C5D"/>
    <w:rsid w:val="00C66286"/>
    <w:rsid w:val="00C6629A"/>
    <w:rsid w:val="00C66312"/>
    <w:rsid w:val="00C66589"/>
    <w:rsid w:val="00C66DF6"/>
    <w:rsid w:val="00C674AF"/>
    <w:rsid w:val="00C7018E"/>
    <w:rsid w:val="00C706DB"/>
    <w:rsid w:val="00C70C4E"/>
    <w:rsid w:val="00C7109F"/>
    <w:rsid w:val="00C71264"/>
    <w:rsid w:val="00C71439"/>
    <w:rsid w:val="00C71584"/>
    <w:rsid w:val="00C7192A"/>
    <w:rsid w:val="00C72FA1"/>
    <w:rsid w:val="00C732BF"/>
    <w:rsid w:val="00C736F0"/>
    <w:rsid w:val="00C73AE7"/>
    <w:rsid w:val="00C73C37"/>
    <w:rsid w:val="00C74523"/>
    <w:rsid w:val="00C75BB5"/>
    <w:rsid w:val="00C75D3D"/>
    <w:rsid w:val="00C76984"/>
    <w:rsid w:val="00C772C2"/>
    <w:rsid w:val="00C776DD"/>
    <w:rsid w:val="00C80181"/>
    <w:rsid w:val="00C80B79"/>
    <w:rsid w:val="00C80D6C"/>
    <w:rsid w:val="00C813D7"/>
    <w:rsid w:val="00C81999"/>
    <w:rsid w:val="00C8286A"/>
    <w:rsid w:val="00C828CC"/>
    <w:rsid w:val="00C83692"/>
    <w:rsid w:val="00C83CD2"/>
    <w:rsid w:val="00C8504F"/>
    <w:rsid w:val="00C8580D"/>
    <w:rsid w:val="00C85FBE"/>
    <w:rsid w:val="00C870E1"/>
    <w:rsid w:val="00C905C9"/>
    <w:rsid w:val="00C90D4D"/>
    <w:rsid w:val="00C90D68"/>
    <w:rsid w:val="00C91140"/>
    <w:rsid w:val="00C9122A"/>
    <w:rsid w:val="00C9251F"/>
    <w:rsid w:val="00C93375"/>
    <w:rsid w:val="00C93ED5"/>
    <w:rsid w:val="00C94368"/>
    <w:rsid w:val="00C95182"/>
    <w:rsid w:val="00C957CD"/>
    <w:rsid w:val="00CA024A"/>
    <w:rsid w:val="00CA1742"/>
    <w:rsid w:val="00CA17D6"/>
    <w:rsid w:val="00CA24C1"/>
    <w:rsid w:val="00CA254D"/>
    <w:rsid w:val="00CA3F44"/>
    <w:rsid w:val="00CA482D"/>
    <w:rsid w:val="00CA6578"/>
    <w:rsid w:val="00CA72E8"/>
    <w:rsid w:val="00CA77B4"/>
    <w:rsid w:val="00CB15F0"/>
    <w:rsid w:val="00CB1EC4"/>
    <w:rsid w:val="00CB2682"/>
    <w:rsid w:val="00CB3289"/>
    <w:rsid w:val="00CB3B56"/>
    <w:rsid w:val="00CB3D53"/>
    <w:rsid w:val="00CB3E72"/>
    <w:rsid w:val="00CB3F2F"/>
    <w:rsid w:val="00CB473D"/>
    <w:rsid w:val="00CB4E69"/>
    <w:rsid w:val="00CB5274"/>
    <w:rsid w:val="00CB5832"/>
    <w:rsid w:val="00CB64FA"/>
    <w:rsid w:val="00CB6519"/>
    <w:rsid w:val="00CB6CBD"/>
    <w:rsid w:val="00CB6D40"/>
    <w:rsid w:val="00CB793D"/>
    <w:rsid w:val="00CC1200"/>
    <w:rsid w:val="00CC1CD2"/>
    <w:rsid w:val="00CC2462"/>
    <w:rsid w:val="00CC2CBF"/>
    <w:rsid w:val="00CC3247"/>
    <w:rsid w:val="00CC3345"/>
    <w:rsid w:val="00CC33B7"/>
    <w:rsid w:val="00CC4A8D"/>
    <w:rsid w:val="00CC5C1C"/>
    <w:rsid w:val="00CC6576"/>
    <w:rsid w:val="00CC669B"/>
    <w:rsid w:val="00CC7941"/>
    <w:rsid w:val="00CD06C3"/>
    <w:rsid w:val="00CD10EC"/>
    <w:rsid w:val="00CD19DB"/>
    <w:rsid w:val="00CD1CBC"/>
    <w:rsid w:val="00CD1EB1"/>
    <w:rsid w:val="00CD2555"/>
    <w:rsid w:val="00CD2966"/>
    <w:rsid w:val="00CD34B6"/>
    <w:rsid w:val="00CD38B9"/>
    <w:rsid w:val="00CD4299"/>
    <w:rsid w:val="00CD4A15"/>
    <w:rsid w:val="00CD4F6A"/>
    <w:rsid w:val="00CD6425"/>
    <w:rsid w:val="00CD68E6"/>
    <w:rsid w:val="00CD7087"/>
    <w:rsid w:val="00CD78DD"/>
    <w:rsid w:val="00CD7DE8"/>
    <w:rsid w:val="00CDCCB6"/>
    <w:rsid w:val="00CE0479"/>
    <w:rsid w:val="00CE0912"/>
    <w:rsid w:val="00CE0D75"/>
    <w:rsid w:val="00CE112C"/>
    <w:rsid w:val="00CE153D"/>
    <w:rsid w:val="00CE15E6"/>
    <w:rsid w:val="00CE1847"/>
    <w:rsid w:val="00CE1FD4"/>
    <w:rsid w:val="00CE25B0"/>
    <w:rsid w:val="00CE3807"/>
    <w:rsid w:val="00CE42FE"/>
    <w:rsid w:val="00CE4E0A"/>
    <w:rsid w:val="00CE4F88"/>
    <w:rsid w:val="00CE59D8"/>
    <w:rsid w:val="00CE600E"/>
    <w:rsid w:val="00CE60A6"/>
    <w:rsid w:val="00CE6E9D"/>
    <w:rsid w:val="00CE7FBF"/>
    <w:rsid w:val="00CF078E"/>
    <w:rsid w:val="00CF1CF9"/>
    <w:rsid w:val="00CF26E4"/>
    <w:rsid w:val="00CF27C0"/>
    <w:rsid w:val="00CF284A"/>
    <w:rsid w:val="00CF31E5"/>
    <w:rsid w:val="00CF3816"/>
    <w:rsid w:val="00CF3AE1"/>
    <w:rsid w:val="00CF404A"/>
    <w:rsid w:val="00CF40BF"/>
    <w:rsid w:val="00CF40D6"/>
    <w:rsid w:val="00CF4429"/>
    <w:rsid w:val="00CF4958"/>
    <w:rsid w:val="00CF49D0"/>
    <w:rsid w:val="00CF5971"/>
    <w:rsid w:val="00CF659D"/>
    <w:rsid w:val="00CF7213"/>
    <w:rsid w:val="00CF78CA"/>
    <w:rsid w:val="00CF7D33"/>
    <w:rsid w:val="00D004FB"/>
    <w:rsid w:val="00D00B0B"/>
    <w:rsid w:val="00D0107B"/>
    <w:rsid w:val="00D01AE3"/>
    <w:rsid w:val="00D02D5D"/>
    <w:rsid w:val="00D02F1F"/>
    <w:rsid w:val="00D03B78"/>
    <w:rsid w:val="00D03DE5"/>
    <w:rsid w:val="00D03F0B"/>
    <w:rsid w:val="00D04627"/>
    <w:rsid w:val="00D04B3B"/>
    <w:rsid w:val="00D05325"/>
    <w:rsid w:val="00D05A9F"/>
    <w:rsid w:val="00D05B6A"/>
    <w:rsid w:val="00D06354"/>
    <w:rsid w:val="00D0675F"/>
    <w:rsid w:val="00D069C3"/>
    <w:rsid w:val="00D07181"/>
    <w:rsid w:val="00D07E03"/>
    <w:rsid w:val="00D10C47"/>
    <w:rsid w:val="00D11114"/>
    <w:rsid w:val="00D11690"/>
    <w:rsid w:val="00D11A99"/>
    <w:rsid w:val="00D12B0B"/>
    <w:rsid w:val="00D13064"/>
    <w:rsid w:val="00D13584"/>
    <w:rsid w:val="00D139F8"/>
    <w:rsid w:val="00D13BB8"/>
    <w:rsid w:val="00D14656"/>
    <w:rsid w:val="00D15859"/>
    <w:rsid w:val="00D1739A"/>
    <w:rsid w:val="00D1740E"/>
    <w:rsid w:val="00D17646"/>
    <w:rsid w:val="00D17A3E"/>
    <w:rsid w:val="00D17D2B"/>
    <w:rsid w:val="00D200CB"/>
    <w:rsid w:val="00D21536"/>
    <w:rsid w:val="00D21D16"/>
    <w:rsid w:val="00D21E46"/>
    <w:rsid w:val="00D220A4"/>
    <w:rsid w:val="00D220A8"/>
    <w:rsid w:val="00D22D26"/>
    <w:rsid w:val="00D22ED7"/>
    <w:rsid w:val="00D240AD"/>
    <w:rsid w:val="00D24247"/>
    <w:rsid w:val="00D24ADD"/>
    <w:rsid w:val="00D25A62"/>
    <w:rsid w:val="00D2672B"/>
    <w:rsid w:val="00D26ECF"/>
    <w:rsid w:val="00D279B1"/>
    <w:rsid w:val="00D27CC6"/>
    <w:rsid w:val="00D30586"/>
    <w:rsid w:val="00D3063A"/>
    <w:rsid w:val="00D3084C"/>
    <w:rsid w:val="00D31A0B"/>
    <w:rsid w:val="00D31A99"/>
    <w:rsid w:val="00D31ADF"/>
    <w:rsid w:val="00D33B34"/>
    <w:rsid w:val="00D341AC"/>
    <w:rsid w:val="00D34B15"/>
    <w:rsid w:val="00D3580D"/>
    <w:rsid w:val="00D363DD"/>
    <w:rsid w:val="00D3734A"/>
    <w:rsid w:val="00D379D4"/>
    <w:rsid w:val="00D4009E"/>
    <w:rsid w:val="00D40C69"/>
    <w:rsid w:val="00D40EAF"/>
    <w:rsid w:val="00D41076"/>
    <w:rsid w:val="00D415B2"/>
    <w:rsid w:val="00D4187A"/>
    <w:rsid w:val="00D41F3A"/>
    <w:rsid w:val="00D4234B"/>
    <w:rsid w:val="00D428E2"/>
    <w:rsid w:val="00D431AC"/>
    <w:rsid w:val="00D4374B"/>
    <w:rsid w:val="00D4392B"/>
    <w:rsid w:val="00D439E4"/>
    <w:rsid w:val="00D43F79"/>
    <w:rsid w:val="00D44AF3"/>
    <w:rsid w:val="00D44FD4"/>
    <w:rsid w:val="00D45503"/>
    <w:rsid w:val="00D45DB8"/>
    <w:rsid w:val="00D4617B"/>
    <w:rsid w:val="00D46E31"/>
    <w:rsid w:val="00D47700"/>
    <w:rsid w:val="00D47807"/>
    <w:rsid w:val="00D4782C"/>
    <w:rsid w:val="00D47B39"/>
    <w:rsid w:val="00D47E9A"/>
    <w:rsid w:val="00D50158"/>
    <w:rsid w:val="00D5015C"/>
    <w:rsid w:val="00D5092A"/>
    <w:rsid w:val="00D5178B"/>
    <w:rsid w:val="00D52C10"/>
    <w:rsid w:val="00D53791"/>
    <w:rsid w:val="00D53A8E"/>
    <w:rsid w:val="00D53E2F"/>
    <w:rsid w:val="00D53FC8"/>
    <w:rsid w:val="00D54018"/>
    <w:rsid w:val="00D54CC1"/>
    <w:rsid w:val="00D55955"/>
    <w:rsid w:val="00D569AC"/>
    <w:rsid w:val="00D571B2"/>
    <w:rsid w:val="00D603A4"/>
    <w:rsid w:val="00D60A6F"/>
    <w:rsid w:val="00D60EF8"/>
    <w:rsid w:val="00D613E7"/>
    <w:rsid w:val="00D62D53"/>
    <w:rsid w:val="00D62E13"/>
    <w:rsid w:val="00D62F3A"/>
    <w:rsid w:val="00D631F8"/>
    <w:rsid w:val="00D638CF"/>
    <w:rsid w:val="00D64327"/>
    <w:rsid w:val="00D6449A"/>
    <w:rsid w:val="00D64A97"/>
    <w:rsid w:val="00D654E8"/>
    <w:rsid w:val="00D655F0"/>
    <w:rsid w:val="00D65751"/>
    <w:rsid w:val="00D65EEC"/>
    <w:rsid w:val="00D662D6"/>
    <w:rsid w:val="00D66A9B"/>
    <w:rsid w:val="00D66DC6"/>
    <w:rsid w:val="00D6747F"/>
    <w:rsid w:val="00D677A2"/>
    <w:rsid w:val="00D7009A"/>
    <w:rsid w:val="00D703D3"/>
    <w:rsid w:val="00D70563"/>
    <w:rsid w:val="00D70D66"/>
    <w:rsid w:val="00D71406"/>
    <w:rsid w:val="00D717F0"/>
    <w:rsid w:val="00D72B41"/>
    <w:rsid w:val="00D7343F"/>
    <w:rsid w:val="00D7368E"/>
    <w:rsid w:val="00D73E3F"/>
    <w:rsid w:val="00D74AF4"/>
    <w:rsid w:val="00D74B1D"/>
    <w:rsid w:val="00D75DB2"/>
    <w:rsid w:val="00D763B2"/>
    <w:rsid w:val="00D76833"/>
    <w:rsid w:val="00D803EB"/>
    <w:rsid w:val="00D806F5"/>
    <w:rsid w:val="00D80901"/>
    <w:rsid w:val="00D81737"/>
    <w:rsid w:val="00D81FC2"/>
    <w:rsid w:val="00D839E3"/>
    <w:rsid w:val="00D841D5"/>
    <w:rsid w:val="00D84917"/>
    <w:rsid w:val="00D85DB7"/>
    <w:rsid w:val="00D861AD"/>
    <w:rsid w:val="00D861FF"/>
    <w:rsid w:val="00D86AEF"/>
    <w:rsid w:val="00D86C2F"/>
    <w:rsid w:val="00D870ED"/>
    <w:rsid w:val="00D872BD"/>
    <w:rsid w:val="00D91A42"/>
    <w:rsid w:val="00D91A4E"/>
    <w:rsid w:val="00D92FDF"/>
    <w:rsid w:val="00D93676"/>
    <w:rsid w:val="00D93ED0"/>
    <w:rsid w:val="00D94025"/>
    <w:rsid w:val="00D94281"/>
    <w:rsid w:val="00D945CE"/>
    <w:rsid w:val="00D94E0A"/>
    <w:rsid w:val="00D94E75"/>
    <w:rsid w:val="00D9547B"/>
    <w:rsid w:val="00D959C7"/>
    <w:rsid w:val="00D962DC"/>
    <w:rsid w:val="00D96568"/>
    <w:rsid w:val="00D9661B"/>
    <w:rsid w:val="00D966EE"/>
    <w:rsid w:val="00D968D6"/>
    <w:rsid w:val="00D9707C"/>
    <w:rsid w:val="00D973EE"/>
    <w:rsid w:val="00D974DF"/>
    <w:rsid w:val="00DA0884"/>
    <w:rsid w:val="00DA0C1A"/>
    <w:rsid w:val="00DA0E69"/>
    <w:rsid w:val="00DA1046"/>
    <w:rsid w:val="00DA10A8"/>
    <w:rsid w:val="00DA15A4"/>
    <w:rsid w:val="00DA163E"/>
    <w:rsid w:val="00DA2381"/>
    <w:rsid w:val="00DA2B11"/>
    <w:rsid w:val="00DA2EAF"/>
    <w:rsid w:val="00DA33EC"/>
    <w:rsid w:val="00DA402C"/>
    <w:rsid w:val="00DA40BF"/>
    <w:rsid w:val="00DA41DD"/>
    <w:rsid w:val="00DA530C"/>
    <w:rsid w:val="00DA5B59"/>
    <w:rsid w:val="00DA5C89"/>
    <w:rsid w:val="00DA5CA1"/>
    <w:rsid w:val="00DA5E0F"/>
    <w:rsid w:val="00DA5F6D"/>
    <w:rsid w:val="00DA6C5F"/>
    <w:rsid w:val="00DA6F93"/>
    <w:rsid w:val="00DA7796"/>
    <w:rsid w:val="00DB008A"/>
    <w:rsid w:val="00DB09CF"/>
    <w:rsid w:val="00DB150F"/>
    <w:rsid w:val="00DB21C4"/>
    <w:rsid w:val="00DB2DCE"/>
    <w:rsid w:val="00DB2F21"/>
    <w:rsid w:val="00DB3021"/>
    <w:rsid w:val="00DB3319"/>
    <w:rsid w:val="00DB4BE3"/>
    <w:rsid w:val="00DB4C5B"/>
    <w:rsid w:val="00DB56B6"/>
    <w:rsid w:val="00DB5C4C"/>
    <w:rsid w:val="00DB5D99"/>
    <w:rsid w:val="00DB612B"/>
    <w:rsid w:val="00DB65D4"/>
    <w:rsid w:val="00DB6907"/>
    <w:rsid w:val="00DB754F"/>
    <w:rsid w:val="00DB764C"/>
    <w:rsid w:val="00DB7BF8"/>
    <w:rsid w:val="00DC045F"/>
    <w:rsid w:val="00DC05CD"/>
    <w:rsid w:val="00DC0BD1"/>
    <w:rsid w:val="00DC1902"/>
    <w:rsid w:val="00DC2F3E"/>
    <w:rsid w:val="00DC3A9C"/>
    <w:rsid w:val="00DC472D"/>
    <w:rsid w:val="00DC5117"/>
    <w:rsid w:val="00DC5A85"/>
    <w:rsid w:val="00DC6ABF"/>
    <w:rsid w:val="00DC6DDA"/>
    <w:rsid w:val="00DC71AD"/>
    <w:rsid w:val="00DC7769"/>
    <w:rsid w:val="00DD053C"/>
    <w:rsid w:val="00DD0B75"/>
    <w:rsid w:val="00DD0F9D"/>
    <w:rsid w:val="00DD23CE"/>
    <w:rsid w:val="00DD4398"/>
    <w:rsid w:val="00DD498C"/>
    <w:rsid w:val="00DD536D"/>
    <w:rsid w:val="00DD559C"/>
    <w:rsid w:val="00DD5B05"/>
    <w:rsid w:val="00DD66EA"/>
    <w:rsid w:val="00DD6778"/>
    <w:rsid w:val="00DD720A"/>
    <w:rsid w:val="00DD76A8"/>
    <w:rsid w:val="00DE04AE"/>
    <w:rsid w:val="00DE1846"/>
    <w:rsid w:val="00DE1BF3"/>
    <w:rsid w:val="00DE1C5B"/>
    <w:rsid w:val="00DE1D0D"/>
    <w:rsid w:val="00DE2124"/>
    <w:rsid w:val="00DE23D1"/>
    <w:rsid w:val="00DE244D"/>
    <w:rsid w:val="00DE3469"/>
    <w:rsid w:val="00DE4407"/>
    <w:rsid w:val="00DE44B0"/>
    <w:rsid w:val="00DE4A4A"/>
    <w:rsid w:val="00DE4F60"/>
    <w:rsid w:val="00DE53AB"/>
    <w:rsid w:val="00DE6395"/>
    <w:rsid w:val="00DE649D"/>
    <w:rsid w:val="00DE7184"/>
    <w:rsid w:val="00DE71AE"/>
    <w:rsid w:val="00DE771F"/>
    <w:rsid w:val="00DE7BF5"/>
    <w:rsid w:val="00DF00BA"/>
    <w:rsid w:val="00DF00D4"/>
    <w:rsid w:val="00DF01C3"/>
    <w:rsid w:val="00DF0BDC"/>
    <w:rsid w:val="00DF12D5"/>
    <w:rsid w:val="00DF12F9"/>
    <w:rsid w:val="00DF3205"/>
    <w:rsid w:val="00DF416D"/>
    <w:rsid w:val="00DF477E"/>
    <w:rsid w:val="00DF4875"/>
    <w:rsid w:val="00DF6062"/>
    <w:rsid w:val="00DF6900"/>
    <w:rsid w:val="00DF694F"/>
    <w:rsid w:val="00DF6D16"/>
    <w:rsid w:val="00DF710C"/>
    <w:rsid w:val="00DF72F3"/>
    <w:rsid w:val="00DF7350"/>
    <w:rsid w:val="00DF7989"/>
    <w:rsid w:val="00DF7B11"/>
    <w:rsid w:val="00DF7BAF"/>
    <w:rsid w:val="00DF7D11"/>
    <w:rsid w:val="00E00955"/>
    <w:rsid w:val="00E01379"/>
    <w:rsid w:val="00E01778"/>
    <w:rsid w:val="00E01C08"/>
    <w:rsid w:val="00E01CE4"/>
    <w:rsid w:val="00E01F29"/>
    <w:rsid w:val="00E02A54"/>
    <w:rsid w:val="00E035B9"/>
    <w:rsid w:val="00E0381F"/>
    <w:rsid w:val="00E03FEF"/>
    <w:rsid w:val="00E043CB"/>
    <w:rsid w:val="00E049B2"/>
    <w:rsid w:val="00E04DB2"/>
    <w:rsid w:val="00E052BD"/>
    <w:rsid w:val="00E057D7"/>
    <w:rsid w:val="00E05F4C"/>
    <w:rsid w:val="00E06063"/>
    <w:rsid w:val="00E0657E"/>
    <w:rsid w:val="00E068A7"/>
    <w:rsid w:val="00E070CB"/>
    <w:rsid w:val="00E0739C"/>
    <w:rsid w:val="00E10419"/>
    <w:rsid w:val="00E113D1"/>
    <w:rsid w:val="00E11924"/>
    <w:rsid w:val="00E12216"/>
    <w:rsid w:val="00E13A34"/>
    <w:rsid w:val="00E14D7C"/>
    <w:rsid w:val="00E156D0"/>
    <w:rsid w:val="00E15DC5"/>
    <w:rsid w:val="00E16696"/>
    <w:rsid w:val="00E1684C"/>
    <w:rsid w:val="00E16F2F"/>
    <w:rsid w:val="00E17AF8"/>
    <w:rsid w:val="00E17B6D"/>
    <w:rsid w:val="00E17C42"/>
    <w:rsid w:val="00E20149"/>
    <w:rsid w:val="00E202AC"/>
    <w:rsid w:val="00E20C0B"/>
    <w:rsid w:val="00E20F6F"/>
    <w:rsid w:val="00E214C1"/>
    <w:rsid w:val="00E214EF"/>
    <w:rsid w:val="00E215B4"/>
    <w:rsid w:val="00E218CB"/>
    <w:rsid w:val="00E22756"/>
    <w:rsid w:val="00E234F0"/>
    <w:rsid w:val="00E23660"/>
    <w:rsid w:val="00E23C19"/>
    <w:rsid w:val="00E241DB"/>
    <w:rsid w:val="00E24AC3"/>
    <w:rsid w:val="00E24E86"/>
    <w:rsid w:val="00E25DE6"/>
    <w:rsid w:val="00E26950"/>
    <w:rsid w:val="00E26E4A"/>
    <w:rsid w:val="00E2756E"/>
    <w:rsid w:val="00E27701"/>
    <w:rsid w:val="00E3050A"/>
    <w:rsid w:val="00E30F0E"/>
    <w:rsid w:val="00E31219"/>
    <w:rsid w:val="00E32AC1"/>
    <w:rsid w:val="00E32B43"/>
    <w:rsid w:val="00E33009"/>
    <w:rsid w:val="00E33074"/>
    <w:rsid w:val="00E33408"/>
    <w:rsid w:val="00E33555"/>
    <w:rsid w:val="00E33796"/>
    <w:rsid w:val="00E33D1F"/>
    <w:rsid w:val="00E34550"/>
    <w:rsid w:val="00E34AE2"/>
    <w:rsid w:val="00E34FF3"/>
    <w:rsid w:val="00E352A2"/>
    <w:rsid w:val="00E352E1"/>
    <w:rsid w:val="00E35318"/>
    <w:rsid w:val="00E3537B"/>
    <w:rsid w:val="00E353C9"/>
    <w:rsid w:val="00E35522"/>
    <w:rsid w:val="00E368BB"/>
    <w:rsid w:val="00E40477"/>
    <w:rsid w:val="00E41168"/>
    <w:rsid w:val="00E41415"/>
    <w:rsid w:val="00E416FE"/>
    <w:rsid w:val="00E41AD7"/>
    <w:rsid w:val="00E41B17"/>
    <w:rsid w:val="00E41BFD"/>
    <w:rsid w:val="00E41D68"/>
    <w:rsid w:val="00E421D1"/>
    <w:rsid w:val="00E422D2"/>
    <w:rsid w:val="00E42389"/>
    <w:rsid w:val="00E42449"/>
    <w:rsid w:val="00E43207"/>
    <w:rsid w:val="00E43312"/>
    <w:rsid w:val="00E43B2B"/>
    <w:rsid w:val="00E44053"/>
    <w:rsid w:val="00E4530C"/>
    <w:rsid w:val="00E453BC"/>
    <w:rsid w:val="00E4550F"/>
    <w:rsid w:val="00E458BC"/>
    <w:rsid w:val="00E4656E"/>
    <w:rsid w:val="00E46581"/>
    <w:rsid w:val="00E46AF7"/>
    <w:rsid w:val="00E470C4"/>
    <w:rsid w:val="00E47F4C"/>
    <w:rsid w:val="00E50124"/>
    <w:rsid w:val="00E508CB"/>
    <w:rsid w:val="00E50A83"/>
    <w:rsid w:val="00E50B82"/>
    <w:rsid w:val="00E50F27"/>
    <w:rsid w:val="00E50F3C"/>
    <w:rsid w:val="00E51061"/>
    <w:rsid w:val="00E51428"/>
    <w:rsid w:val="00E51672"/>
    <w:rsid w:val="00E518E2"/>
    <w:rsid w:val="00E52452"/>
    <w:rsid w:val="00E52D35"/>
    <w:rsid w:val="00E5383A"/>
    <w:rsid w:val="00E53E8F"/>
    <w:rsid w:val="00E54B03"/>
    <w:rsid w:val="00E54DC2"/>
    <w:rsid w:val="00E55F21"/>
    <w:rsid w:val="00E57110"/>
    <w:rsid w:val="00E57818"/>
    <w:rsid w:val="00E579DE"/>
    <w:rsid w:val="00E57DC9"/>
    <w:rsid w:val="00E5C8AC"/>
    <w:rsid w:val="00E60D9B"/>
    <w:rsid w:val="00E6126D"/>
    <w:rsid w:val="00E61411"/>
    <w:rsid w:val="00E63657"/>
    <w:rsid w:val="00E6387D"/>
    <w:rsid w:val="00E63CDB"/>
    <w:rsid w:val="00E63E95"/>
    <w:rsid w:val="00E647F7"/>
    <w:rsid w:val="00E64824"/>
    <w:rsid w:val="00E65132"/>
    <w:rsid w:val="00E66871"/>
    <w:rsid w:val="00E676D6"/>
    <w:rsid w:val="00E706ED"/>
    <w:rsid w:val="00E70A7A"/>
    <w:rsid w:val="00E72270"/>
    <w:rsid w:val="00E728FF"/>
    <w:rsid w:val="00E7384B"/>
    <w:rsid w:val="00E741EF"/>
    <w:rsid w:val="00E74D0F"/>
    <w:rsid w:val="00E74ED1"/>
    <w:rsid w:val="00E76100"/>
    <w:rsid w:val="00E8005C"/>
    <w:rsid w:val="00E800A6"/>
    <w:rsid w:val="00E8030A"/>
    <w:rsid w:val="00E804CE"/>
    <w:rsid w:val="00E806DD"/>
    <w:rsid w:val="00E80A59"/>
    <w:rsid w:val="00E80D3E"/>
    <w:rsid w:val="00E813E0"/>
    <w:rsid w:val="00E81484"/>
    <w:rsid w:val="00E8162C"/>
    <w:rsid w:val="00E83BFA"/>
    <w:rsid w:val="00E8490F"/>
    <w:rsid w:val="00E8521A"/>
    <w:rsid w:val="00E8547C"/>
    <w:rsid w:val="00E8590D"/>
    <w:rsid w:val="00E87092"/>
    <w:rsid w:val="00E87253"/>
    <w:rsid w:val="00E87302"/>
    <w:rsid w:val="00E87674"/>
    <w:rsid w:val="00E87E00"/>
    <w:rsid w:val="00E87FBA"/>
    <w:rsid w:val="00E90574"/>
    <w:rsid w:val="00E907A4"/>
    <w:rsid w:val="00E90A05"/>
    <w:rsid w:val="00E92421"/>
    <w:rsid w:val="00E935AC"/>
    <w:rsid w:val="00E93906"/>
    <w:rsid w:val="00E940A8"/>
    <w:rsid w:val="00E95A06"/>
    <w:rsid w:val="00E95E5A"/>
    <w:rsid w:val="00E95EC3"/>
    <w:rsid w:val="00E97F9A"/>
    <w:rsid w:val="00EA02B1"/>
    <w:rsid w:val="00EA0341"/>
    <w:rsid w:val="00EA03A9"/>
    <w:rsid w:val="00EA0BE8"/>
    <w:rsid w:val="00EA1517"/>
    <w:rsid w:val="00EA156D"/>
    <w:rsid w:val="00EA1B94"/>
    <w:rsid w:val="00EA2670"/>
    <w:rsid w:val="00EA3F6C"/>
    <w:rsid w:val="00EA3FB4"/>
    <w:rsid w:val="00EA4A7E"/>
    <w:rsid w:val="00EA512C"/>
    <w:rsid w:val="00EA5163"/>
    <w:rsid w:val="00EA51E9"/>
    <w:rsid w:val="00EA5AF1"/>
    <w:rsid w:val="00EA5C96"/>
    <w:rsid w:val="00EA6D99"/>
    <w:rsid w:val="00EA6EF2"/>
    <w:rsid w:val="00EA7CE7"/>
    <w:rsid w:val="00EB01D1"/>
    <w:rsid w:val="00EB0302"/>
    <w:rsid w:val="00EB04F4"/>
    <w:rsid w:val="00EB0AB9"/>
    <w:rsid w:val="00EB0EE1"/>
    <w:rsid w:val="00EB10F6"/>
    <w:rsid w:val="00EB1577"/>
    <w:rsid w:val="00EB16FB"/>
    <w:rsid w:val="00EB1C25"/>
    <w:rsid w:val="00EB1E5A"/>
    <w:rsid w:val="00EB1E7A"/>
    <w:rsid w:val="00EB3C27"/>
    <w:rsid w:val="00EB5966"/>
    <w:rsid w:val="00EB5B01"/>
    <w:rsid w:val="00EB6376"/>
    <w:rsid w:val="00EB6722"/>
    <w:rsid w:val="00EB69CF"/>
    <w:rsid w:val="00EC1036"/>
    <w:rsid w:val="00EC11B8"/>
    <w:rsid w:val="00EC14FA"/>
    <w:rsid w:val="00EC167B"/>
    <w:rsid w:val="00EC1A52"/>
    <w:rsid w:val="00EC1FD8"/>
    <w:rsid w:val="00EC296A"/>
    <w:rsid w:val="00EC2F53"/>
    <w:rsid w:val="00EC3584"/>
    <w:rsid w:val="00EC40BB"/>
    <w:rsid w:val="00EC4257"/>
    <w:rsid w:val="00EC45BE"/>
    <w:rsid w:val="00EC4651"/>
    <w:rsid w:val="00EC48ED"/>
    <w:rsid w:val="00EC5997"/>
    <w:rsid w:val="00EC5DA5"/>
    <w:rsid w:val="00EC6621"/>
    <w:rsid w:val="00EC76EE"/>
    <w:rsid w:val="00EC7C75"/>
    <w:rsid w:val="00EC7EDA"/>
    <w:rsid w:val="00ED0FFC"/>
    <w:rsid w:val="00ED1D61"/>
    <w:rsid w:val="00ED2B12"/>
    <w:rsid w:val="00ED3202"/>
    <w:rsid w:val="00ED38F5"/>
    <w:rsid w:val="00ED4CD7"/>
    <w:rsid w:val="00ED5883"/>
    <w:rsid w:val="00ED5C12"/>
    <w:rsid w:val="00ED62E2"/>
    <w:rsid w:val="00ED65EF"/>
    <w:rsid w:val="00ED674A"/>
    <w:rsid w:val="00ED6784"/>
    <w:rsid w:val="00ED68CB"/>
    <w:rsid w:val="00ED6EA4"/>
    <w:rsid w:val="00ED7708"/>
    <w:rsid w:val="00EE097D"/>
    <w:rsid w:val="00EE0AC9"/>
    <w:rsid w:val="00EE1B9C"/>
    <w:rsid w:val="00EE1C70"/>
    <w:rsid w:val="00EE27A5"/>
    <w:rsid w:val="00EE31D2"/>
    <w:rsid w:val="00EE46D6"/>
    <w:rsid w:val="00EE490B"/>
    <w:rsid w:val="00EE5003"/>
    <w:rsid w:val="00EE5C6D"/>
    <w:rsid w:val="00EE63A9"/>
    <w:rsid w:val="00EE682B"/>
    <w:rsid w:val="00EE7D7D"/>
    <w:rsid w:val="00EF1296"/>
    <w:rsid w:val="00EF13EE"/>
    <w:rsid w:val="00EF140F"/>
    <w:rsid w:val="00EF1553"/>
    <w:rsid w:val="00EF1B15"/>
    <w:rsid w:val="00EF1C60"/>
    <w:rsid w:val="00EF3AD1"/>
    <w:rsid w:val="00EF3BF9"/>
    <w:rsid w:val="00EF40F3"/>
    <w:rsid w:val="00EF429F"/>
    <w:rsid w:val="00EF47F0"/>
    <w:rsid w:val="00EF5225"/>
    <w:rsid w:val="00EF5483"/>
    <w:rsid w:val="00EF72FD"/>
    <w:rsid w:val="00EF73E2"/>
    <w:rsid w:val="00EF74D1"/>
    <w:rsid w:val="00EF7941"/>
    <w:rsid w:val="00EF7B1B"/>
    <w:rsid w:val="00F00891"/>
    <w:rsid w:val="00F00DA5"/>
    <w:rsid w:val="00F0114D"/>
    <w:rsid w:val="00F0135A"/>
    <w:rsid w:val="00F0176E"/>
    <w:rsid w:val="00F017E5"/>
    <w:rsid w:val="00F0183A"/>
    <w:rsid w:val="00F024E2"/>
    <w:rsid w:val="00F02645"/>
    <w:rsid w:val="00F0287C"/>
    <w:rsid w:val="00F02C70"/>
    <w:rsid w:val="00F030D5"/>
    <w:rsid w:val="00F03575"/>
    <w:rsid w:val="00F036DE"/>
    <w:rsid w:val="00F03E0B"/>
    <w:rsid w:val="00F03F4C"/>
    <w:rsid w:val="00F04A70"/>
    <w:rsid w:val="00F04BE0"/>
    <w:rsid w:val="00F058D3"/>
    <w:rsid w:val="00F061C9"/>
    <w:rsid w:val="00F063BF"/>
    <w:rsid w:val="00F065F3"/>
    <w:rsid w:val="00F06F9A"/>
    <w:rsid w:val="00F110E7"/>
    <w:rsid w:val="00F126BE"/>
    <w:rsid w:val="00F1274F"/>
    <w:rsid w:val="00F132EB"/>
    <w:rsid w:val="00F13675"/>
    <w:rsid w:val="00F1379A"/>
    <w:rsid w:val="00F14332"/>
    <w:rsid w:val="00F179B4"/>
    <w:rsid w:val="00F17B7E"/>
    <w:rsid w:val="00F2079A"/>
    <w:rsid w:val="00F20A42"/>
    <w:rsid w:val="00F20C02"/>
    <w:rsid w:val="00F210DD"/>
    <w:rsid w:val="00F21212"/>
    <w:rsid w:val="00F213E8"/>
    <w:rsid w:val="00F215CD"/>
    <w:rsid w:val="00F21CAB"/>
    <w:rsid w:val="00F21E89"/>
    <w:rsid w:val="00F22869"/>
    <w:rsid w:val="00F22F0C"/>
    <w:rsid w:val="00F2316E"/>
    <w:rsid w:val="00F2394A"/>
    <w:rsid w:val="00F23C85"/>
    <w:rsid w:val="00F23D12"/>
    <w:rsid w:val="00F2425A"/>
    <w:rsid w:val="00F24C00"/>
    <w:rsid w:val="00F25062"/>
    <w:rsid w:val="00F25305"/>
    <w:rsid w:val="00F2613E"/>
    <w:rsid w:val="00F2668F"/>
    <w:rsid w:val="00F268CB"/>
    <w:rsid w:val="00F27D87"/>
    <w:rsid w:val="00F27DE0"/>
    <w:rsid w:val="00F27FC0"/>
    <w:rsid w:val="00F3045D"/>
    <w:rsid w:val="00F308A3"/>
    <w:rsid w:val="00F317EB"/>
    <w:rsid w:val="00F31959"/>
    <w:rsid w:val="00F32AA0"/>
    <w:rsid w:val="00F3319C"/>
    <w:rsid w:val="00F33220"/>
    <w:rsid w:val="00F34453"/>
    <w:rsid w:val="00F35C6E"/>
    <w:rsid w:val="00F35C8A"/>
    <w:rsid w:val="00F3662D"/>
    <w:rsid w:val="00F36E2D"/>
    <w:rsid w:val="00F37496"/>
    <w:rsid w:val="00F376C5"/>
    <w:rsid w:val="00F376FB"/>
    <w:rsid w:val="00F4081C"/>
    <w:rsid w:val="00F40B9F"/>
    <w:rsid w:val="00F415A6"/>
    <w:rsid w:val="00F41AE3"/>
    <w:rsid w:val="00F41F4E"/>
    <w:rsid w:val="00F422D8"/>
    <w:rsid w:val="00F42733"/>
    <w:rsid w:val="00F427B1"/>
    <w:rsid w:val="00F427EF"/>
    <w:rsid w:val="00F44074"/>
    <w:rsid w:val="00F442BA"/>
    <w:rsid w:val="00F4446C"/>
    <w:rsid w:val="00F44B35"/>
    <w:rsid w:val="00F45136"/>
    <w:rsid w:val="00F45D05"/>
    <w:rsid w:val="00F45E48"/>
    <w:rsid w:val="00F46377"/>
    <w:rsid w:val="00F4735B"/>
    <w:rsid w:val="00F47A1A"/>
    <w:rsid w:val="00F50192"/>
    <w:rsid w:val="00F50786"/>
    <w:rsid w:val="00F50D64"/>
    <w:rsid w:val="00F51786"/>
    <w:rsid w:val="00F51868"/>
    <w:rsid w:val="00F524B6"/>
    <w:rsid w:val="00F533BF"/>
    <w:rsid w:val="00F533DA"/>
    <w:rsid w:val="00F53491"/>
    <w:rsid w:val="00F535CF"/>
    <w:rsid w:val="00F5395C"/>
    <w:rsid w:val="00F53CC3"/>
    <w:rsid w:val="00F54600"/>
    <w:rsid w:val="00F555B0"/>
    <w:rsid w:val="00F556F8"/>
    <w:rsid w:val="00F55BBF"/>
    <w:rsid w:val="00F5618D"/>
    <w:rsid w:val="00F574BD"/>
    <w:rsid w:val="00F57D44"/>
    <w:rsid w:val="00F605B4"/>
    <w:rsid w:val="00F61175"/>
    <w:rsid w:val="00F611AB"/>
    <w:rsid w:val="00F627C7"/>
    <w:rsid w:val="00F632C2"/>
    <w:rsid w:val="00F6337F"/>
    <w:rsid w:val="00F63478"/>
    <w:rsid w:val="00F6360F"/>
    <w:rsid w:val="00F63CEC"/>
    <w:rsid w:val="00F63E73"/>
    <w:rsid w:val="00F64344"/>
    <w:rsid w:val="00F64870"/>
    <w:rsid w:val="00F64DCA"/>
    <w:rsid w:val="00F6533C"/>
    <w:rsid w:val="00F6575A"/>
    <w:rsid w:val="00F66665"/>
    <w:rsid w:val="00F70787"/>
    <w:rsid w:val="00F717A2"/>
    <w:rsid w:val="00F71F65"/>
    <w:rsid w:val="00F726E3"/>
    <w:rsid w:val="00F72B9C"/>
    <w:rsid w:val="00F732BD"/>
    <w:rsid w:val="00F73459"/>
    <w:rsid w:val="00F73CD5"/>
    <w:rsid w:val="00F74424"/>
    <w:rsid w:val="00F7447F"/>
    <w:rsid w:val="00F748F3"/>
    <w:rsid w:val="00F74915"/>
    <w:rsid w:val="00F7513C"/>
    <w:rsid w:val="00F756B8"/>
    <w:rsid w:val="00F76335"/>
    <w:rsid w:val="00F76474"/>
    <w:rsid w:val="00F76597"/>
    <w:rsid w:val="00F76776"/>
    <w:rsid w:val="00F76DE8"/>
    <w:rsid w:val="00F76E33"/>
    <w:rsid w:val="00F770EE"/>
    <w:rsid w:val="00F77377"/>
    <w:rsid w:val="00F7793F"/>
    <w:rsid w:val="00F77BFC"/>
    <w:rsid w:val="00F77CEF"/>
    <w:rsid w:val="00F80533"/>
    <w:rsid w:val="00F8065F"/>
    <w:rsid w:val="00F8103F"/>
    <w:rsid w:val="00F81241"/>
    <w:rsid w:val="00F81AAD"/>
    <w:rsid w:val="00F81F91"/>
    <w:rsid w:val="00F8222F"/>
    <w:rsid w:val="00F8271C"/>
    <w:rsid w:val="00F82D56"/>
    <w:rsid w:val="00F843A5"/>
    <w:rsid w:val="00F848A4"/>
    <w:rsid w:val="00F84A37"/>
    <w:rsid w:val="00F84C50"/>
    <w:rsid w:val="00F85248"/>
    <w:rsid w:val="00F854D4"/>
    <w:rsid w:val="00F856A3"/>
    <w:rsid w:val="00F85AE5"/>
    <w:rsid w:val="00F85D1C"/>
    <w:rsid w:val="00F85D48"/>
    <w:rsid w:val="00F8611D"/>
    <w:rsid w:val="00F861DE"/>
    <w:rsid w:val="00F86276"/>
    <w:rsid w:val="00F86C98"/>
    <w:rsid w:val="00F87005"/>
    <w:rsid w:val="00F87CF8"/>
    <w:rsid w:val="00F90EE0"/>
    <w:rsid w:val="00F915D7"/>
    <w:rsid w:val="00F9180A"/>
    <w:rsid w:val="00F91953"/>
    <w:rsid w:val="00F92227"/>
    <w:rsid w:val="00F92EC5"/>
    <w:rsid w:val="00F93962"/>
    <w:rsid w:val="00F93C6D"/>
    <w:rsid w:val="00F93EC5"/>
    <w:rsid w:val="00F94168"/>
    <w:rsid w:val="00F94405"/>
    <w:rsid w:val="00F944E7"/>
    <w:rsid w:val="00F951F8"/>
    <w:rsid w:val="00F95414"/>
    <w:rsid w:val="00F95C15"/>
    <w:rsid w:val="00F96756"/>
    <w:rsid w:val="00F97EC8"/>
    <w:rsid w:val="00FA03E0"/>
    <w:rsid w:val="00FA0540"/>
    <w:rsid w:val="00FA0613"/>
    <w:rsid w:val="00FA09FC"/>
    <w:rsid w:val="00FA0DAA"/>
    <w:rsid w:val="00FA0EE3"/>
    <w:rsid w:val="00FA1318"/>
    <w:rsid w:val="00FA1C10"/>
    <w:rsid w:val="00FA2684"/>
    <w:rsid w:val="00FA2869"/>
    <w:rsid w:val="00FA2B70"/>
    <w:rsid w:val="00FA36CA"/>
    <w:rsid w:val="00FA3EE1"/>
    <w:rsid w:val="00FA42AD"/>
    <w:rsid w:val="00FA4B36"/>
    <w:rsid w:val="00FA5392"/>
    <w:rsid w:val="00FA5834"/>
    <w:rsid w:val="00FA64B6"/>
    <w:rsid w:val="00FA7B25"/>
    <w:rsid w:val="00FB0A0C"/>
    <w:rsid w:val="00FB1B1D"/>
    <w:rsid w:val="00FB25AE"/>
    <w:rsid w:val="00FB3307"/>
    <w:rsid w:val="00FB3594"/>
    <w:rsid w:val="00FB37D1"/>
    <w:rsid w:val="00FB4610"/>
    <w:rsid w:val="00FB66A8"/>
    <w:rsid w:val="00FB7403"/>
    <w:rsid w:val="00FB7B5D"/>
    <w:rsid w:val="00FB7CC9"/>
    <w:rsid w:val="00FB7F0B"/>
    <w:rsid w:val="00FC007C"/>
    <w:rsid w:val="00FC014F"/>
    <w:rsid w:val="00FC1CDD"/>
    <w:rsid w:val="00FC2167"/>
    <w:rsid w:val="00FC23EC"/>
    <w:rsid w:val="00FC285B"/>
    <w:rsid w:val="00FC2E8B"/>
    <w:rsid w:val="00FC385F"/>
    <w:rsid w:val="00FC3BDC"/>
    <w:rsid w:val="00FC3EBE"/>
    <w:rsid w:val="00FC4347"/>
    <w:rsid w:val="00FC44B3"/>
    <w:rsid w:val="00FC4527"/>
    <w:rsid w:val="00FC4567"/>
    <w:rsid w:val="00FC4B15"/>
    <w:rsid w:val="00FC561F"/>
    <w:rsid w:val="00FC5B19"/>
    <w:rsid w:val="00FC5E9C"/>
    <w:rsid w:val="00FC6215"/>
    <w:rsid w:val="00FC6CDC"/>
    <w:rsid w:val="00FC731C"/>
    <w:rsid w:val="00FC7857"/>
    <w:rsid w:val="00FC787C"/>
    <w:rsid w:val="00FC7A2D"/>
    <w:rsid w:val="00FD003F"/>
    <w:rsid w:val="00FD08B1"/>
    <w:rsid w:val="00FD0BE1"/>
    <w:rsid w:val="00FD10CF"/>
    <w:rsid w:val="00FD21A0"/>
    <w:rsid w:val="00FD331B"/>
    <w:rsid w:val="00FD3682"/>
    <w:rsid w:val="00FD4971"/>
    <w:rsid w:val="00FD4B97"/>
    <w:rsid w:val="00FD4FF9"/>
    <w:rsid w:val="00FD55DD"/>
    <w:rsid w:val="00FD58D7"/>
    <w:rsid w:val="00FD5C4C"/>
    <w:rsid w:val="00FD6F32"/>
    <w:rsid w:val="00FE000A"/>
    <w:rsid w:val="00FE0523"/>
    <w:rsid w:val="00FE065F"/>
    <w:rsid w:val="00FE0884"/>
    <w:rsid w:val="00FE0B3D"/>
    <w:rsid w:val="00FE1A27"/>
    <w:rsid w:val="00FE20AB"/>
    <w:rsid w:val="00FE248D"/>
    <w:rsid w:val="00FE31A7"/>
    <w:rsid w:val="00FE3355"/>
    <w:rsid w:val="00FE3388"/>
    <w:rsid w:val="00FE36C5"/>
    <w:rsid w:val="00FE51AD"/>
    <w:rsid w:val="00FE5499"/>
    <w:rsid w:val="00FE54F1"/>
    <w:rsid w:val="00FE6292"/>
    <w:rsid w:val="00FE71FF"/>
    <w:rsid w:val="00FE76A3"/>
    <w:rsid w:val="00FE7C25"/>
    <w:rsid w:val="00FE7D2F"/>
    <w:rsid w:val="00FE7D3C"/>
    <w:rsid w:val="00FF007A"/>
    <w:rsid w:val="00FF00F3"/>
    <w:rsid w:val="00FF089A"/>
    <w:rsid w:val="00FF0AC5"/>
    <w:rsid w:val="00FF0F17"/>
    <w:rsid w:val="00FF1EA8"/>
    <w:rsid w:val="00FF2552"/>
    <w:rsid w:val="00FF3215"/>
    <w:rsid w:val="00FF3912"/>
    <w:rsid w:val="00FF4205"/>
    <w:rsid w:val="00FF4963"/>
    <w:rsid w:val="00FF4C2C"/>
    <w:rsid w:val="00FF4EB4"/>
    <w:rsid w:val="00FF55E3"/>
    <w:rsid w:val="00FF6457"/>
    <w:rsid w:val="00FF658A"/>
    <w:rsid w:val="00FF6AF3"/>
    <w:rsid w:val="00FF6FDD"/>
    <w:rsid w:val="00FF7C0C"/>
    <w:rsid w:val="011E8D7B"/>
    <w:rsid w:val="012F550E"/>
    <w:rsid w:val="014F74C6"/>
    <w:rsid w:val="01513B79"/>
    <w:rsid w:val="0175B147"/>
    <w:rsid w:val="017C6511"/>
    <w:rsid w:val="01AB1F22"/>
    <w:rsid w:val="020D490A"/>
    <w:rsid w:val="021DFF3B"/>
    <w:rsid w:val="022D8949"/>
    <w:rsid w:val="024C4A94"/>
    <w:rsid w:val="029610BD"/>
    <w:rsid w:val="02978A89"/>
    <w:rsid w:val="02B9BE11"/>
    <w:rsid w:val="02E272A5"/>
    <w:rsid w:val="034B3702"/>
    <w:rsid w:val="0373F7DB"/>
    <w:rsid w:val="037552F2"/>
    <w:rsid w:val="037F9501"/>
    <w:rsid w:val="03A0A342"/>
    <w:rsid w:val="03DD3905"/>
    <w:rsid w:val="0400AA0F"/>
    <w:rsid w:val="043E5739"/>
    <w:rsid w:val="0448FCD9"/>
    <w:rsid w:val="046A12FA"/>
    <w:rsid w:val="0472BE1B"/>
    <w:rsid w:val="04C16F03"/>
    <w:rsid w:val="04F78D97"/>
    <w:rsid w:val="051512E2"/>
    <w:rsid w:val="0521AD5C"/>
    <w:rsid w:val="0548F9B1"/>
    <w:rsid w:val="054E5AB7"/>
    <w:rsid w:val="055160B4"/>
    <w:rsid w:val="055F52F4"/>
    <w:rsid w:val="056F2628"/>
    <w:rsid w:val="05CEE9FE"/>
    <w:rsid w:val="05DF1F4C"/>
    <w:rsid w:val="05DF7B54"/>
    <w:rsid w:val="05F57A34"/>
    <w:rsid w:val="061547BD"/>
    <w:rsid w:val="06388848"/>
    <w:rsid w:val="0687E40A"/>
    <w:rsid w:val="069442E6"/>
    <w:rsid w:val="06A9501B"/>
    <w:rsid w:val="07052456"/>
    <w:rsid w:val="0708CD8E"/>
    <w:rsid w:val="072D35B6"/>
    <w:rsid w:val="073EEF54"/>
    <w:rsid w:val="0753FCE0"/>
    <w:rsid w:val="076DB1BE"/>
    <w:rsid w:val="077576D5"/>
    <w:rsid w:val="07777BAA"/>
    <w:rsid w:val="07830312"/>
    <w:rsid w:val="07C317A2"/>
    <w:rsid w:val="07C56115"/>
    <w:rsid w:val="07F2D670"/>
    <w:rsid w:val="0813D418"/>
    <w:rsid w:val="083DFF7C"/>
    <w:rsid w:val="086645D9"/>
    <w:rsid w:val="0884EB80"/>
    <w:rsid w:val="089AD0A5"/>
    <w:rsid w:val="08CC1778"/>
    <w:rsid w:val="091BE336"/>
    <w:rsid w:val="09CD3CC5"/>
    <w:rsid w:val="09D8CAB1"/>
    <w:rsid w:val="09F864CA"/>
    <w:rsid w:val="0A0D4754"/>
    <w:rsid w:val="0A29CAA1"/>
    <w:rsid w:val="0A33DA18"/>
    <w:rsid w:val="0A7D868F"/>
    <w:rsid w:val="0A891564"/>
    <w:rsid w:val="0AF4A5E3"/>
    <w:rsid w:val="0AFEF097"/>
    <w:rsid w:val="0B00E532"/>
    <w:rsid w:val="0B157887"/>
    <w:rsid w:val="0B4D481B"/>
    <w:rsid w:val="0B4DAA51"/>
    <w:rsid w:val="0B6E38AD"/>
    <w:rsid w:val="0B7B770F"/>
    <w:rsid w:val="0BAADEEA"/>
    <w:rsid w:val="0C385DC9"/>
    <w:rsid w:val="0C3E5FCA"/>
    <w:rsid w:val="0C427B08"/>
    <w:rsid w:val="0C4784F5"/>
    <w:rsid w:val="0C5BE857"/>
    <w:rsid w:val="0C833D87"/>
    <w:rsid w:val="0CBAEF00"/>
    <w:rsid w:val="0CC63FA9"/>
    <w:rsid w:val="0D62F9CA"/>
    <w:rsid w:val="0D947816"/>
    <w:rsid w:val="0DB0FF7B"/>
    <w:rsid w:val="0DE15634"/>
    <w:rsid w:val="0DEB0176"/>
    <w:rsid w:val="0DF38B3F"/>
    <w:rsid w:val="0E07B699"/>
    <w:rsid w:val="0E1A5F8A"/>
    <w:rsid w:val="0E1DC4D6"/>
    <w:rsid w:val="0E273A6B"/>
    <w:rsid w:val="0E3F1176"/>
    <w:rsid w:val="0E5DBA30"/>
    <w:rsid w:val="0E89C8DD"/>
    <w:rsid w:val="0EE0FA0C"/>
    <w:rsid w:val="0EF2D700"/>
    <w:rsid w:val="0EFB8042"/>
    <w:rsid w:val="0F092B95"/>
    <w:rsid w:val="0F1DBE2E"/>
    <w:rsid w:val="0F3C05DA"/>
    <w:rsid w:val="0F52CD98"/>
    <w:rsid w:val="0F553BBC"/>
    <w:rsid w:val="0F602864"/>
    <w:rsid w:val="0F6EA6F3"/>
    <w:rsid w:val="0F8A1DFB"/>
    <w:rsid w:val="0F9AD1A2"/>
    <w:rsid w:val="0FB574A3"/>
    <w:rsid w:val="0FB61E34"/>
    <w:rsid w:val="0FCE5B10"/>
    <w:rsid w:val="10237DFC"/>
    <w:rsid w:val="102D7285"/>
    <w:rsid w:val="1059C5B1"/>
    <w:rsid w:val="10743F60"/>
    <w:rsid w:val="10914858"/>
    <w:rsid w:val="10979643"/>
    <w:rsid w:val="10C65D06"/>
    <w:rsid w:val="11141945"/>
    <w:rsid w:val="112E1C06"/>
    <w:rsid w:val="114F1319"/>
    <w:rsid w:val="116FD53E"/>
    <w:rsid w:val="11798A2E"/>
    <w:rsid w:val="119E2C2A"/>
    <w:rsid w:val="11BC64AC"/>
    <w:rsid w:val="11F73E20"/>
    <w:rsid w:val="1207ED12"/>
    <w:rsid w:val="1215928C"/>
    <w:rsid w:val="12427ACB"/>
    <w:rsid w:val="1249363D"/>
    <w:rsid w:val="1276C637"/>
    <w:rsid w:val="12BE538F"/>
    <w:rsid w:val="12D3F8E3"/>
    <w:rsid w:val="12DBB68B"/>
    <w:rsid w:val="12E0ADB3"/>
    <w:rsid w:val="13174897"/>
    <w:rsid w:val="13193480"/>
    <w:rsid w:val="13295224"/>
    <w:rsid w:val="132C8918"/>
    <w:rsid w:val="134D0914"/>
    <w:rsid w:val="135C5895"/>
    <w:rsid w:val="136AF3AB"/>
    <w:rsid w:val="138DEC74"/>
    <w:rsid w:val="13BE1494"/>
    <w:rsid w:val="13C4067C"/>
    <w:rsid w:val="13EBCCC7"/>
    <w:rsid w:val="140687F6"/>
    <w:rsid w:val="149B2DDF"/>
    <w:rsid w:val="14A8214A"/>
    <w:rsid w:val="14F380E0"/>
    <w:rsid w:val="14FD7BCB"/>
    <w:rsid w:val="153BF956"/>
    <w:rsid w:val="1546199B"/>
    <w:rsid w:val="15656764"/>
    <w:rsid w:val="156966C1"/>
    <w:rsid w:val="158BE8AE"/>
    <w:rsid w:val="1597966D"/>
    <w:rsid w:val="15A85719"/>
    <w:rsid w:val="15A8C384"/>
    <w:rsid w:val="15E28907"/>
    <w:rsid w:val="15E929F1"/>
    <w:rsid w:val="160132CD"/>
    <w:rsid w:val="160976AF"/>
    <w:rsid w:val="162B50C7"/>
    <w:rsid w:val="16626210"/>
    <w:rsid w:val="16A3E85C"/>
    <w:rsid w:val="16B85E04"/>
    <w:rsid w:val="16B8A6FE"/>
    <w:rsid w:val="1711FA50"/>
    <w:rsid w:val="171CC8B6"/>
    <w:rsid w:val="1799B06A"/>
    <w:rsid w:val="17F04270"/>
    <w:rsid w:val="180DC711"/>
    <w:rsid w:val="18173000"/>
    <w:rsid w:val="182AA55D"/>
    <w:rsid w:val="18538B90"/>
    <w:rsid w:val="1858E377"/>
    <w:rsid w:val="1898F42E"/>
    <w:rsid w:val="18B787A1"/>
    <w:rsid w:val="18BE9372"/>
    <w:rsid w:val="18CBCAB4"/>
    <w:rsid w:val="18D98EEC"/>
    <w:rsid w:val="18E10266"/>
    <w:rsid w:val="1919A055"/>
    <w:rsid w:val="192B52D3"/>
    <w:rsid w:val="1933C922"/>
    <w:rsid w:val="1955E0B2"/>
    <w:rsid w:val="1969D786"/>
    <w:rsid w:val="196EF564"/>
    <w:rsid w:val="197B7F33"/>
    <w:rsid w:val="1980067E"/>
    <w:rsid w:val="19A43462"/>
    <w:rsid w:val="19B37473"/>
    <w:rsid w:val="19B89592"/>
    <w:rsid w:val="19CBF9B3"/>
    <w:rsid w:val="19EA04BD"/>
    <w:rsid w:val="1A09BFF7"/>
    <w:rsid w:val="1A10A531"/>
    <w:rsid w:val="1A3D48D2"/>
    <w:rsid w:val="1A7525D8"/>
    <w:rsid w:val="1A7D617E"/>
    <w:rsid w:val="1A97A308"/>
    <w:rsid w:val="1AC534FB"/>
    <w:rsid w:val="1AD0E62F"/>
    <w:rsid w:val="1B23BC2A"/>
    <w:rsid w:val="1B3ECDBB"/>
    <w:rsid w:val="1B3F6048"/>
    <w:rsid w:val="1B501C34"/>
    <w:rsid w:val="1B615E5D"/>
    <w:rsid w:val="1B65E60B"/>
    <w:rsid w:val="1B756038"/>
    <w:rsid w:val="1B7F2AF0"/>
    <w:rsid w:val="1BD06582"/>
    <w:rsid w:val="1C1842E3"/>
    <w:rsid w:val="1C1A98F0"/>
    <w:rsid w:val="1C4DA9BF"/>
    <w:rsid w:val="1C7B88B3"/>
    <w:rsid w:val="1C9687AE"/>
    <w:rsid w:val="1CDAED81"/>
    <w:rsid w:val="1CF9DFDF"/>
    <w:rsid w:val="1D079823"/>
    <w:rsid w:val="1D1644E2"/>
    <w:rsid w:val="1D1866B5"/>
    <w:rsid w:val="1D55DAD9"/>
    <w:rsid w:val="1D8A30E5"/>
    <w:rsid w:val="1DBB0CA6"/>
    <w:rsid w:val="1DC689DF"/>
    <w:rsid w:val="1E205A83"/>
    <w:rsid w:val="1E33FDAC"/>
    <w:rsid w:val="1E440EF9"/>
    <w:rsid w:val="1EB5EFA6"/>
    <w:rsid w:val="1EB8913E"/>
    <w:rsid w:val="1EED2177"/>
    <w:rsid w:val="1EF6BE70"/>
    <w:rsid w:val="1F07AE1F"/>
    <w:rsid w:val="1F41C003"/>
    <w:rsid w:val="1FC4B572"/>
    <w:rsid w:val="1FE047F4"/>
    <w:rsid w:val="1FEFBD2B"/>
    <w:rsid w:val="2008B0F1"/>
    <w:rsid w:val="202ECC4D"/>
    <w:rsid w:val="203F3143"/>
    <w:rsid w:val="204A0F04"/>
    <w:rsid w:val="20A7A5ED"/>
    <w:rsid w:val="20E36359"/>
    <w:rsid w:val="20F3AFD8"/>
    <w:rsid w:val="20FB95C4"/>
    <w:rsid w:val="214E5E7A"/>
    <w:rsid w:val="222248F4"/>
    <w:rsid w:val="22283D07"/>
    <w:rsid w:val="222ECDA4"/>
    <w:rsid w:val="225F8E64"/>
    <w:rsid w:val="22AC1F03"/>
    <w:rsid w:val="22B39BDE"/>
    <w:rsid w:val="22BFAE33"/>
    <w:rsid w:val="22C538F1"/>
    <w:rsid w:val="22F042D2"/>
    <w:rsid w:val="230405ED"/>
    <w:rsid w:val="231AE77C"/>
    <w:rsid w:val="2338A3B3"/>
    <w:rsid w:val="234CED27"/>
    <w:rsid w:val="23A97D59"/>
    <w:rsid w:val="23AF7114"/>
    <w:rsid w:val="23F6EF5F"/>
    <w:rsid w:val="2444D761"/>
    <w:rsid w:val="2457BF62"/>
    <w:rsid w:val="24AD3FE0"/>
    <w:rsid w:val="24B13765"/>
    <w:rsid w:val="24E461C9"/>
    <w:rsid w:val="24F36DA6"/>
    <w:rsid w:val="24F7ED5F"/>
    <w:rsid w:val="24FBF934"/>
    <w:rsid w:val="2518783E"/>
    <w:rsid w:val="25627A40"/>
    <w:rsid w:val="25630AFC"/>
    <w:rsid w:val="25B71350"/>
    <w:rsid w:val="25E63996"/>
    <w:rsid w:val="25E8EBA0"/>
    <w:rsid w:val="25F7DC6E"/>
    <w:rsid w:val="26173105"/>
    <w:rsid w:val="2628A740"/>
    <w:rsid w:val="26437542"/>
    <w:rsid w:val="265B54E6"/>
    <w:rsid w:val="2676966B"/>
    <w:rsid w:val="26A5F6E1"/>
    <w:rsid w:val="26C5999B"/>
    <w:rsid w:val="2735D181"/>
    <w:rsid w:val="274E5DCA"/>
    <w:rsid w:val="276B77CC"/>
    <w:rsid w:val="276C78EC"/>
    <w:rsid w:val="277A3DC1"/>
    <w:rsid w:val="27C8FB72"/>
    <w:rsid w:val="27DEE67F"/>
    <w:rsid w:val="28028DF5"/>
    <w:rsid w:val="28039502"/>
    <w:rsid w:val="283501D1"/>
    <w:rsid w:val="28537FE4"/>
    <w:rsid w:val="28571782"/>
    <w:rsid w:val="2892A160"/>
    <w:rsid w:val="289B0720"/>
    <w:rsid w:val="28DFF98B"/>
    <w:rsid w:val="28EC488A"/>
    <w:rsid w:val="28EF94FE"/>
    <w:rsid w:val="28F83CC7"/>
    <w:rsid w:val="29492D7D"/>
    <w:rsid w:val="294CDD01"/>
    <w:rsid w:val="297B240C"/>
    <w:rsid w:val="297B3209"/>
    <w:rsid w:val="297FC6FA"/>
    <w:rsid w:val="29A19B04"/>
    <w:rsid w:val="29AE09A5"/>
    <w:rsid w:val="29B85161"/>
    <w:rsid w:val="29B85414"/>
    <w:rsid w:val="29EDD45E"/>
    <w:rsid w:val="29F19FA8"/>
    <w:rsid w:val="2A270848"/>
    <w:rsid w:val="2A3C0387"/>
    <w:rsid w:val="2A4B69A4"/>
    <w:rsid w:val="2AD6D0DB"/>
    <w:rsid w:val="2AFFCCFE"/>
    <w:rsid w:val="2B0917E0"/>
    <w:rsid w:val="2B605E37"/>
    <w:rsid w:val="2BA4DDD5"/>
    <w:rsid w:val="2BA5C440"/>
    <w:rsid w:val="2BB36760"/>
    <w:rsid w:val="2C330D4F"/>
    <w:rsid w:val="2C3E297B"/>
    <w:rsid w:val="2C45122D"/>
    <w:rsid w:val="2C5959C6"/>
    <w:rsid w:val="2C5F89C6"/>
    <w:rsid w:val="2C64CD35"/>
    <w:rsid w:val="2C795418"/>
    <w:rsid w:val="2CD862AA"/>
    <w:rsid w:val="2CE7C94F"/>
    <w:rsid w:val="2D090018"/>
    <w:rsid w:val="2D225495"/>
    <w:rsid w:val="2D30D1BB"/>
    <w:rsid w:val="2D359D1E"/>
    <w:rsid w:val="2D393398"/>
    <w:rsid w:val="2D6E1EDD"/>
    <w:rsid w:val="2D6E4E80"/>
    <w:rsid w:val="2D865E1C"/>
    <w:rsid w:val="2D997476"/>
    <w:rsid w:val="2DB22EEC"/>
    <w:rsid w:val="2DB8FC22"/>
    <w:rsid w:val="2DC398AD"/>
    <w:rsid w:val="2DD44FD3"/>
    <w:rsid w:val="2DDB9E37"/>
    <w:rsid w:val="2DDD3613"/>
    <w:rsid w:val="2DEE16D3"/>
    <w:rsid w:val="2E8D5300"/>
    <w:rsid w:val="2E8E26AB"/>
    <w:rsid w:val="2EB0B879"/>
    <w:rsid w:val="2EBD5067"/>
    <w:rsid w:val="2ED1D723"/>
    <w:rsid w:val="2ED1FD0F"/>
    <w:rsid w:val="2EF9820B"/>
    <w:rsid w:val="2EFB9DB5"/>
    <w:rsid w:val="2EFCCABA"/>
    <w:rsid w:val="2F130D71"/>
    <w:rsid w:val="2F635300"/>
    <w:rsid w:val="2F99FDC9"/>
    <w:rsid w:val="2FA3EB94"/>
    <w:rsid w:val="2FAEEF0F"/>
    <w:rsid w:val="2FB6F8ED"/>
    <w:rsid w:val="300282F3"/>
    <w:rsid w:val="301EC925"/>
    <w:rsid w:val="301F5C13"/>
    <w:rsid w:val="306DADF1"/>
    <w:rsid w:val="3074EE48"/>
    <w:rsid w:val="30752A4A"/>
    <w:rsid w:val="30DD123C"/>
    <w:rsid w:val="30E4BC45"/>
    <w:rsid w:val="30EBD01C"/>
    <w:rsid w:val="314AE5D4"/>
    <w:rsid w:val="314BEB68"/>
    <w:rsid w:val="3175FFD0"/>
    <w:rsid w:val="31810DEE"/>
    <w:rsid w:val="318CE1B8"/>
    <w:rsid w:val="31D0BAFF"/>
    <w:rsid w:val="31DEEDD5"/>
    <w:rsid w:val="31E50C64"/>
    <w:rsid w:val="31F27F54"/>
    <w:rsid w:val="31FC3C70"/>
    <w:rsid w:val="324DB7AD"/>
    <w:rsid w:val="32748A68"/>
    <w:rsid w:val="3290C418"/>
    <w:rsid w:val="32A7158E"/>
    <w:rsid w:val="32BA43F9"/>
    <w:rsid w:val="32F725F6"/>
    <w:rsid w:val="3311D49B"/>
    <w:rsid w:val="331F744F"/>
    <w:rsid w:val="332C36E9"/>
    <w:rsid w:val="3348FDEF"/>
    <w:rsid w:val="336633C2"/>
    <w:rsid w:val="33D67622"/>
    <w:rsid w:val="341628EB"/>
    <w:rsid w:val="342E102E"/>
    <w:rsid w:val="3469A6E7"/>
    <w:rsid w:val="34C09B1C"/>
    <w:rsid w:val="3508658B"/>
    <w:rsid w:val="352D1F0F"/>
    <w:rsid w:val="3559FE72"/>
    <w:rsid w:val="357FAAB2"/>
    <w:rsid w:val="358F01C2"/>
    <w:rsid w:val="35997B1F"/>
    <w:rsid w:val="35C7F980"/>
    <w:rsid w:val="36250AE4"/>
    <w:rsid w:val="3672E6B8"/>
    <w:rsid w:val="368752C8"/>
    <w:rsid w:val="36B0A40E"/>
    <w:rsid w:val="36B7ABF5"/>
    <w:rsid w:val="36C95A9B"/>
    <w:rsid w:val="3709CC6C"/>
    <w:rsid w:val="372EDE1E"/>
    <w:rsid w:val="3746FB1D"/>
    <w:rsid w:val="374D1A10"/>
    <w:rsid w:val="374DE597"/>
    <w:rsid w:val="375CECCC"/>
    <w:rsid w:val="375DC690"/>
    <w:rsid w:val="3766318C"/>
    <w:rsid w:val="377884A2"/>
    <w:rsid w:val="3779D1B7"/>
    <w:rsid w:val="37830A95"/>
    <w:rsid w:val="37889CFA"/>
    <w:rsid w:val="37CEB438"/>
    <w:rsid w:val="37DCF53D"/>
    <w:rsid w:val="37DE9D9D"/>
    <w:rsid w:val="3806E52D"/>
    <w:rsid w:val="381DD083"/>
    <w:rsid w:val="38389CAB"/>
    <w:rsid w:val="385045F8"/>
    <w:rsid w:val="3894755A"/>
    <w:rsid w:val="38DADBCF"/>
    <w:rsid w:val="39386309"/>
    <w:rsid w:val="396A13EA"/>
    <w:rsid w:val="398B8DBA"/>
    <w:rsid w:val="39A63A28"/>
    <w:rsid w:val="39AEA39D"/>
    <w:rsid w:val="39C20EF0"/>
    <w:rsid w:val="39C3CBA8"/>
    <w:rsid w:val="39CAC508"/>
    <w:rsid w:val="39DB7699"/>
    <w:rsid w:val="3A32C5F3"/>
    <w:rsid w:val="3A39DE2D"/>
    <w:rsid w:val="3A3FD196"/>
    <w:rsid w:val="3A7BE725"/>
    <w:rsid w:val="3A9B8663"/>
    <w:rsid w:val="3ABB3484"/>
    <w:rsid w:val="3AD86A83"/>
    <w:rsid w:val="3B134E84"/>
    <w:rsid w:val="3B162463"/>
    <w:rsid w:val="3B1F823F"/>
    <w:rsid w:val="3B2BD72D"/>
    <w:rsid w:val="3B5A933F"/>
    <w:rsid w:val="3BC028AA"/>
    <w:rsid w:val="3BCDC9AC"/>
    <w:rsid w:val="3BE5B179"/>
    <w:rsid w:val="3C8B1AB0"/>
    <w:rsid w:val="3CA04515"/>
    <w:rsid w:val="3CA04B64"/>
    <w:rsid w:val="3CAE29E7"/>
    <w:rsid w:val="3CC55B4C"/>
    <w:rsid w:val="3CCA9F2B"/>
    <w:rsid w:val="3CD00BE8"/>
    <w:rsid w:val="3CDB6051"/>
    <w:rsid w:val="3CE015E9"/>
    <w:rsid w:val="3CE58A34"/>
    <w:rsid w:val="3CEFC9D4"/>
    <w:rsid w:val="3D1A74DE"/>
    <w:rsid w:val="3D3BA926"/>
    <w:rsid w:val="3D8838B3"/>
    <w:rsid w:val="3D96C1FB"/>
    <w:rsid w:val="3DC40CB0"/>
    <w:rsid w:val="3DD9661D"/>
    <w:rsid w:val="3DDABDD7"/>
    <w:rsid w:val="3E0D58DA"/>
    <w:rsid w:val="3E426494"/>
    <w:rsid w:val="3E624947"/>
    <w:rsid w:val="3E8D138E"/>
    <w:rsid w:val="3F0A8F97"/>
    <w:rsid w:val="3F25FD6B"/>
    <w:rsid w:val="3F396043"/>
    <w:rsid w:val="3F4789BA"/>
    <w:rsid w:val="3FC7674F"/>
    <w:rsid w:val="3FDF17E7"/>
    <w:rsid w:val="3FE9D91A"/>
    <w:rsid w:val="40244065"/>
    <w:rsid w:val="408281F3"/>
    <w:rsid w:val="40B45BC8"/>
    <w:rsid w:val="40C35910"/>
    <w:rsid w:val="40C44E33"/>
    <w:rsid w:val="40CE1640"/>
    <w:rsid w:val="4109EF22"/>
    <w:rsid w:val="412186A9"/>
    <w:rsid w:val="4143C589"/>
    <w:rsid w:val="416DE92F"/>
    <w:rsid w:val="4176302C"/>
    <w:rsid w:val="417F7E32"/>
    <w:rsid w:val="41D905CA"/>
    <w:rsid w:val="41DB883B"/>
    <w:rsid w:val="41EB20BA"/>
    <w:rsid w:val="4214832F"/>
    <w:rsid w:val="426A1BB1"/>
    <w:rsid w:val="426EE512"/>
    <w:rsid w:val="42C30E66"/>
    <w:rsid w:val="430AEA66"/>
    <w:rsid w:val="4353FEFE"/>
    <w:rsid w:val="4358A65D"/>
    <w:rsid w:val="435DD72B"/>
    <w:rsid w:val="4374AA5B"/>
    <w:rsid w:val="438E19DC"/>
    <w:rsid w:val="43AE5AE4"/>
    <w:rsid w:val="43CE2484"/>
    <w:rsid w:val="43D25C6D"/>
    <w:rsid w:val="441F5E17"/>
    <w:rsid w:val="444CBF82"/>
    <w:rsid w:val="446AE01D"/>
    <w:rsid w:val="446F3831"/>
    <w:rsid w:val="448E9D4C"/>
    <w:rsid w:val="44A13BBC"/>
    <w:rsid w:val="44A52202"/>
    <w:rsid w:val="44AFAEE8"/>
    <w:rsid w:val="44E05815"/>
    <w:rsid w:val="44F709A0"/>
    <w:rsid w:val="4505D95F"/>
    <w:rsid w:val="45A13C39"/>
    <w:rsid w:val="45E9B06B"/>
    <w:rsid w:val="45EF4C86"/>
    <w:rsid w:val="45F955C3"/>
    <w:rsid w:val="466B08BE"/>
    <w:rsid w:val="46A1C8CC"/>
    <w:rsid w:val="46A435B6"/>
    <w:rsid w:val="46B89D41"/>
    <w:rsid w:val="4703C890"/>
    <w:rsid w:val="471C69E4"/>
    <w:rsid w:val="472EF0A0"/>
    <w:rsid w:val="47383A36"/>
    <w:rsid w:val="478259A3"/>
    <w:rsid w:val="47851D4A"/>
    <w:rsid w:val="4795F2EC"/>
    <w:rsid w:val="47A14176"/>
    <w:rsid w:val="47A6DCDA"/>
    <w:rsid w:val="47DCF5D9"/>
    <w:rsid w:val="48236DE0"/>
    <w:rsid w:val="4847BC1A"/>
    <w:rsid w:val="4859BDB2"/>
    <w:rsid w:val="48755688"/>
    <w:rsid w:val="487CAA20"/>
    <w:rsid w:val="487D30F4"/>
    <w:rsid w:val="48B4FB48"/>
    <w:rsid w:val="48C46E1B"/>
    <w:rsid w:val="48C7330E"/>
    <w:rsid w:val="491E1DCE"/>
    <w:rsid w:val="494A9BC4"/>
    <w:rsid w:val="497723CD"/>
    <w:rsid w:val="49B0C53A"/>
    <w:rsid w:val="49C4E85F"/>
    <w:rsid w:val="49FBB0A9"/>
    <w:rsid w:val="4A1123B3"/>
    <w:rsid w:val="4A11405F"/>
    <w:rsid w:val="4A33367A"/>
    <w:rsid w:val="4A3DFD28"/>
    <w:rsid w:val="4A75F797"/>
    <w:rsid w:val="4A7EF25B"/>
    <w:rsid w:val="4AC5D615"/>
    <w:rsid w:val="4AE4589F"/>
    <w:rsid w:val="4AE4EB0B"/>
    <w:rsid w:val="4B2777E0"/>
    <w:rsid w:val="4B514D8B"/>
    <w:rsid w:val="4B6B24EC"/>
    <w:rsid w:val="4B70EB65"/>
    <w:rsid w:val="4BD31FCA"/>
    <w:rsid w:val="4BFB78B3"/>
    <w:rsid w:val="4C066660"/>
    <w:rsid w:val="4C66B995"/>
    <w:rsid w:val="4C9011B8"/>
    <w:rsid w:val="4CA669A1"/>
    <w:rsid w:val="4CCE107E"/>
    <w:rsid w:val="4CF5042F"/>
    <w:rsid w:val="4CFAE8A3"/>
    <w:rsid w:val="4D1BA854"/>
    <w:rsid w:val="4D2FD994"/>
    <w:rsid w:val="4D4C9D96"/>
    <w:rsid w:val="4D6C2927"/>
    <w:rsid w:val="4DBAA437"/>
    <w:rsid w:val="4DC4215F"/>
    <w:rsid w:val="4DCCE776"/>
    <w:rsid w:val="4E1CEC3F"/>
    <w:rsid w:val="4E2A532E"/>
    <w:rsid w:val="4E32AA15"/>
    <w:rsid w:val="4E48D185"/>
    <w:rsid w:val="4E569BCC"/>
    <w:rsid w:val="4E68188F"/>
    <w:rsid w:val="4EDE0430"/>
    <w:rsid w:val="4EFC25F9"/>
    <w:rsid w:val="4F01034D"/>
    <w:rsid w:val="4F0CAF4D"/>
    <w:rsid w:val="4F3762E2"/>
    <w:rsid w:val="4F3CC939"/>
    <w:rsid w:val="4F4D6980"/>
    <w:rsid w:val="4F60D627"/>
    <w:rsid w:val="4F79C6B6"/>
    <w:rsid w:val="4F92DE30"/>
    <w:rsid w:val="4F99B6FF"/>
    <w:rsid w:val="4FABAE69"/>
    <w:rsid w:val="4FC3F448"/>
    <w:rsid w:val="50037D12"/>
    <w:rsid w:val="500EF040"/>
    <w:rsid w:val="50149E82"/>
    <w:rsid w:val="50223BA3"/>
    <w:rsid w:val="503291CE"/>
    <w:rsid w:val="511D7162"/>
    <w:rsid w:val="514A1308"/>
    <w:rsid w:val="514A174F"/>
    <w:rsid w:val="5163E955"/>
    <w:rsid w:val="516A26AA"/>
    <w:rsid w:val="51703691"/>
    <w:rsid w:val="5183A6D9"/>
    <w:rsid w:val="518945C1"/>
    <w:rsid w:val="5190224A"/>
    <w:rsid w:val="51BCC868"/>
    <w:rsid w:val="51C75534"/>
    <w:rsid w:val="51CD80DF"/>
    <w:rsid w:val="51F70A0C"/>
    <w:rsid w:val="523554CD"/>
    <w:rsid w:val="5292B6FC"/>
    <w:rsid w:val="52C67C19"/>
    <w:rsid w:val="52D671C5"/>
    <w:rsid w:val="53025A3A"/>
    <w:rsid w:val="532A0611"/>
    <w:rsid w:val="5350DCEC"/>
    <w:rsid w:val="537F7BBE"/>
    <w:rsid w:val="5399FDC1"/>
    <w:rsid w:val="53C6D6DF"/>
    <w:rsid w:val="540E8501"/>
    <w:rsid w:val="5449D912"/>
    <w:rsid w:val="54AE8931"/>
    <w:rsid w:val="54DAFC23"/>
    <w:rsid w:val="54E5AEB0"/>
    <w:rsid w:val="54E7D413"/>
    <w:rsid w:val="54EB36FF"/>
    <w:rsid w:val="54FBB53E"/>
    <w:rsid w:val="551A2BA4"/>
    <w:rsid w:val="553D4BEE"/>
    <w:rsid w:val="5551E1B4"/>
    <w:rsid w:val="5574BC5F"/>
    <w:rsid w:val="55D38F11"/>
    <w:rsid w:val="55E5F7D2"/>
    <w:rsid w:val="55EC2E4F"/>
    <w:rsid w:val="55F18896"/>
    <w:rsid w:val="563C350D"/>
    <w:rsid w:val="567ABC27"/>
    <w:rsid w:val="567B9A0D"/>
    <w:rsid w:val="56B72D32"/>
    <w:rsid w:val="570E124A"/>
    <w:rsid w:val="571E01FA"/>
    <w:rsid w:val="573AD764"/>
    <w:rsid w:val="57505A96"/>
    <w:rsid w:val="576FE982"/>
    <w:rsid w:val="579AFDF2"/>
    <w:rsid w:val="57B249CC"/>
    <w:rsid w:val="5817E937"/>
    <w:rsid w:val="58446DCE"/>
    <w:rsid w:val="586698BC"/>
    <w:rsid w:val="58A717BC"/>
    <w:rsid w:val="58AFC3CD"/>
    <w:rsid w:val="58F22F6A"/>
    <w:rsid w:val="5906CF32"/>
    <w:rsid w:val="5916FABD"/>
    <w:rsid w:val="593C0013"/>
    <w:rsid w:val="59A97D28"/>
    <w:rsid w:val="59B4C2CD"/>
    <w:rsid w:val="59CABEDE"/>
    <w:rsid w:val="59EFA55A"/>
    <w:rsid w:val="5A3C23A3"/>
    <w:rsid w:val="5A60F6E7"/>
    <w:rsid w:val="5A61D335"/>
    <w:rsid w:val="5A7D0FA5"/>
    <w:rsid w:val="5AB3F3A4"/>
    <w:rsid w:val="5AB73162"/>
    <w:rsid w:val="5ABF11EC"/>
    <w:rsid w:val="5B11FA01"/>
    <w:rsid w:val="5B2FB453"/>
    <w:rsid w:val="5B3EBED5"/>
    <w:rsid w:val="5B4C4DB2"/>
    <w:rsid w:val="5B8BC56E"/>
    <w:rsid w:val="5B98F0A9"/>
    <w:rsid w:val="5BA45D46"/>
    <w:rsid w:val="5BE3F5C7"/>
    <w:rsid w:val="5BED453D"/>
    <w:rsid w:val="5C6D6608"/>
    <w:rsid w:val="5C7AF63D"/>
    <w:rsid w:val="5C7B118C"/>
    <w:rsid w:val="5C7EA40D"/>
    <w:rsid w:val="5CFC605C"/>
    <w:rsid w:val="5D01FE62"/>
    <w:rsid w:val="5D119E19"/>
    <w:rsid w:val="5D249D33"/>
    <w:rsid w:val="5D292CE2"/>
    <w:rsid w:val="5D51994D"/>
    <w:rsid w:val="5D638D00"/>
    <w:rsid w:val="5D6A633D"/>
    <w:rsid w:val="5D79E4EB"/>
    <w:rsid w:val="5DF80248"/>
    <w:rsid w:val="5E37A465"/>
    <w:rsid w:val="5F17528B"/>
    <w:rsid w:val="5F4B6F64"/>
    <w:rsid w:val="5F857304"/>
    <w:rsid w:val="5F9945C8"/>
    <w:rsid w:val="5FA28C31"/>
    <w:rsid w:val="5FDBB86D"/>
    <w:rsid w:val="6020E22A"/>
    <w:rsid w:val="602AB7A9"/>
    <w:rsid w:val="602CD880"/>
    <w:rsid w:val="603D1073"/>
    <w:rsid w:val="60657F39"/>
    <w:rsid w:val="6118549E"/>
    <w:rsid w:val="612997B9"/>
    <w:rsid w:val="61770642"/>
    <w:rsid w:val="61850326"/>
    <w:rsid w:val="61854BC7"/>
    <w:rsid w:val="61F56E9F"/>
    <w:rsid w:val="61F58C75"/>
    <w:rsid w:val="620F4837"/>
    <w:rsid w:val="623DB97B"/>
    <w:rsid w:val="6256DF42"/>
    <w:rsid w:val="627CBD88"/>
    <w:rsid w:val="62AECEC9"/>
    <w:rsid w:val="62B9D379"/>
    <w:rsid w:val="62DB9DB9"/>
    <w:rsid w:val="63349ED2"/>
    <w:rsid w:val="63673D80"/>
    <w:rsid w:val="638C410F"/>
    <w:rsid w:val="63A42785"/>
    <w:rsid w:val="63AB5B06"/>
    <w:rsid w:val="63C0F67D"/>
    <w:rsid w:val="63D215BC"/>
    <w:rsid w:val="63EFC6DD"/>
    <w:rsid w:val="63F43011"/>
    <w:rsid w:val="640B2031"/>
    <w:rsid w:val="640FB29C"/>
    <w:rsid w:val="641DF316"/>
    <w:rsid w:val="6444E868"/>
    <w:rsid w:val="647669B3"/>
    <w:rsid w:val="647D7EFF"/>
    <w:rsid w:val="648AA8DC"/>
    <w:rsid w:val="64B9BB10"/>
    <w:rsid w:val="64CC7BD6"/>
    <w:rsid w:val="64D2C293"/>
    <w:rsid w:val="650012BA"/>
    <w:rsid w:val="6517D855"/>
    <w:rsid w:val="65204040"/>
    <w:rsid w:val="6540E9C7"/>
    <w:rsid w:val="65426FF1"/>
    <w:rsid w:val="6545EC48"/>
    <w:rsid w:val="654B69F8"/>
    <w:rsid w:val="65608DBC"/>
    <w:rsid w:val="65B2504E"/>
    <w:rsid w:val="65E67841"/>
    <w:rsid w:val="65F3DC3B"/>
    <w:rsid w:val="660F2F78"/>
    <w:rsid w:val="6679571A"/>
    <w:rsid w:val="66BD071C"/>
    <w:rsid w:val="67701BD0"/>
    <w:rsid w:val="677895B4"/>
    <w:rsid w:val="67C55F09"/>
    <w:rsid w:val="67F10E6B"/>
    <w:rsid w:val="67FB9849"/>
    <w:rsid w:val="6827A1D7"/>
    <w:rsid w:val="6851BC32"/>
    <w:rsid w:val="689963EA"/>
    <w:rsid w:val="68A51784"/>
    <w:rsid w:val="693FEF02"/>
    <w:rsid w:val="694D0CB1"/>
    <w:rsid w:val="69A07F1B"/>
    <w:rsid w:val="6A0AF180"/>
    <w:rsid w:val="6A2151E8"/>
    <w:rsid w:val="6A41EABC"/>
    <w:rsid w:val="6A558718"/>
    <w:rsid w:val="6A5E2089"/>
    <w:rsid w:val="6A75670F"/>
    <w:rsid w:val="6A7CAE81"/>
    <w:rsid w:val="6A99723F"/>
    <w:rsid w:val="6AB7C0F0"/>
    <w:rsid w:val="6ACCDFD3"/>
    <w:rsid w:val="6AE8D5DB"/>
    <w:rsid w:val="6AEC362B"/>
    <w:rsid w:val="6AEE95F5"/>
    <w:rsid w:val="6B16951C"/>
    <w:rsid w:val="6B637B40"/>
    <w:rsid w:val="6B933A47"/>
    <w:rsid w:val="6BBB6729"/>
    <w:rsid w:val="6BCC42E6"/>
    <w:rsid w:val="6BD9C053"/>
    <w:rsid w:val="6C0075DA"/>
    <w:rsid w:val="6C16D133"/>
    <w:rsid w:val="6C18AB88"/>
    <w:rsid w:val="6C1DE5C4"/>
    <w:rsid w:val="6C25DB6B"/>
    <w:rsid w:val="6C3AA7C5"/>
    <w:rsid w:val="6C3E3F67"/>
    <w:rsid w:val="6C3EDC1D"/>
    <w:rsid w:val="6C5B3711"/>
    <w:rsid w:val="6C5CB85E"/>
    <w:rsid w:val="6C936F7A"/>
    <w:rsid w:val="6CB855B4"/>
    <w:rsid w:val="6CC1D83A"/>
    <w:rsid w:val="6CD3FEDC"/>
    <w:rsid w:val="6CD9FDCB"/>
    <w:rsid w:val="6D091B5B"/>
    <w:rsid w:val="6D0B9F6A"/>
    <w:rsid w:val="6D1EB682"/>
    <w:rsid w:val="6D2773C3"/>
    <w:rsid w:val="6D9F3D5E"/>
    <w:rsid w:val="6DB55A84"/>
    <w:rsid w:val="6DCFC225"/>
    <w:rsid w:val="6DDA3E09"/>
    <w:rsid w:val="6DE93532"/>
    <w:rsid w:val="6E4BB7F8"/>
    <w:rsid w:val="6E5CE549"/>
    <w:rsid w:val="6E77E9BA"/>
    <w:rsid w:val="6EA3D2EB"/>
    <w:rsid w:val="6ECCF684"/>
    <w:rsid w:val="6ED2C5AA"/>
    <w:rsid w:val="6F493E92"/>
    <w:rsid w:val="6F8B2B7E"/>
    <w:rsid w:val="6F9D1E0F"/>
    <w:rsid w:val="6FADBD85"/>
    <w:rsid w:val="6FB90E4E"/>
    <w:rsid w:val="7024557A"/>
    <w:rsid w:val="704DDBB5"/>
    <w:rsid w:val="705EFC70"/>
    <w:rsid w:val="70776980"/>
    <w:rsid w:val="70BE6F0B"/>
    <w:rsid w:val="70E80DAF"/>
    <w:rsid w:val="70EA8E82"/>
    <w:rsid w:val="7101F7B4"/>
    <w:rsid w:val="71502FF4"/>
    <w:rsid w:val="7152ED6F"/>
    <w:rsid w:val="71E8BBA6"/>
    <w:rsid w:val="71EE8988"/>
    <w:rsid w:val="721B52C7"/>
    <w:rsid w:val="7237DD08"/>
    <w:rsid w:val="724A552F"/>
    <w:rsid w:val="72E1B289"/>
    <w:rsid w:val="72F121C2"/>
    <w:rsid w:val="7338A86B"/>
    <w:rsid w:val="737B9CA7"/>
    <w:rsid w:val="7380B355"/>
    <w:rsid w:val="73BC411D"/>
    <w:rsid w:val="73C1FD15"/>
    <w:rsid w:val="74068A74"/>
    <w:rsid w:val="74248463"/>
    <w:rsid w:val="7428F590"/>
    <w:rsid w:val="743474C3"/>
    <w:rsid w:val="747B6E34"/>
    <w:rsid w:val="74AA7E3E"/>
    <w:rsid w:val="74B52694"/>
    <w:rsid w:val="74C17E32"/>
    <w:rsid w:val="74DC217C"/>
    <w:rsid w:val="74FC42BD"/>
    <w:rsid w:val="7506CD2D"/>
    <w:rsid w:val="7509B823"/>
    <w:rsid w:val="750D21B5"/>
    <w:rsid w:val="751E52EE"/>
    <w:rsid w:val="7570346D"/>
    <w:rsid w:val="75FF645E"/>
    <w:rsid w:val="763AF7C0"/>
    <w:rsid w:val="768F5980"/>
    <w:rsid w:val="76C6C0F1"/>
    <w:rsid w:val="76DCA085"/>
    <w:rsid w:val="76DD7FB6"/>
    <w:rsid w:val="76F07C18"/>
    <w:rsid w:val="76FAA167"/>
    <w:rsid w:val="77238F75"/>
    <w:rsid w:val="77259E5A"/>
    <w:rsid w:val="7739D0F1"/>
    <w:rsid w:val="7748437B"/>
    <w:rsid w:val="774D9F78"/>
    <w:rsid w:val="77629E58"/>
    <w:rsid w:val="77B33E26"/>
    <w:rsid w:val="77CF76BF"/>
    <w:rsid w:val="77F91E8F"/>
    <w:rsid w:val="78119AA7"/>
    <w:rsid w:val="782BFE7A"/>
    <w:rsid w:val="78342A21"/>
    <w:rsid w:val="78483175"/>
    <w:rsid w:val="7858D1D3"/>
    <w:rsid w:val="7878E102"/>
    <w:rsid w:val="7891F7A8"/>
    <w:rsid w:val="78A591BA"/>
    <w:rsid w:val="78FB55B3"/>
    <w:rsid w:val="792A6711"/>
    <w:rsid w:val="797BABD4"/>
    <w:rsid w:val="798B4E7A"/>
    <w:rsid w:val="7997117D"/>
    <w:rsid w:val="79B0DAE0"/>
    <w:rsid w:val="79C4E05E"/>
    <w:rsid w:val="7A1D8A1F"/>
    <w:rsid w:val="7AB1C724"/>
    <w:rsid w:val="7AF3F8A3"/>
    <w:rsid w:val="7B1ACF5E"/>
    <w:rsid w:val="7B2FBA73"/>
    <w:rsid w:val="7B5A73B7"/>
    <w:rsid w:val="7B901DC3"/>
    <w:rsid w:val="7BAD6A5C"/>
    <w:rsid w:val="7BCF45EC"/>
    <w:rsid w:val="7BF4DDD3"/>
    <w:rsid w:val="7C0C2F31"/>
    <w:rsid w:val="7C424A02"/>
    <w:rsid w:val="7C5D6C58"/>
    <w:rsid w:val="7C7CCFBB"/>
    <w:rsid w:val="7CA6DF46"/>
    <w:rsid w:val="7CB344DE"/>
    <w:rsid w:val="7CBB050D"/>
    <w:rsid w:val="7CC4D4A5"/>
    <w:rsid w:val="7CCCA942"/>
    <w:rsid w:val="7CF6EFA3"/>
    <w:rsid w:val="7D2048D8"/>
    <w:rsid w:val="7D2B9F34"/>
    <w:rsid w:val="7D4F9C7F"/>
    <w:rsid w:val="7D7CE4BB"/>
    <w:rsid w:val="7D99C713"/>
    <w:rsid w:val="7DB49856"/>
    <w:rsid w:val="7DC8251D"/>
    <w:rsid w:val="7DDDF47C"/>
    <w:rsid w:val="7DE91DDE"/>
    <w:rsid w:val="7E117FFC"/>
    <w:rsid w:val="7E26A193"/>
    <w:rsid w:val="7E548A2E"/>
    <w:rsid w:val="7E5B9EB4"/>
    <w:rsid w:val="7E5FC9D6"/>
    <w:rsid w:val="7EB62D66"/>
    <w:rsid w:val="7ED115FC"/>
    <w:rsid w:val="7ED226BE"/>
    <w:rsid w:val="7EF25C3B"/>
    <w:rsid w:val="7F10D63F"/>
    <w:rsid w:val="7F319006"/>
    <w:rsid w:val="7F88B1C5"/>
    <w:rsid w:val="7F98CCD2"/>
    <w:rsid w:val="7FC95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C8B16"/>
  <w15:chartTrackingRefBased/>
  <w15:docId w15:val="{E71FA41C-4652-8044-AB09-1F047D94B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4F9"/>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786C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6C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86C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D785F"/>
    <w:pPr>
      <w:keepNext/>
      <w:keepLines/>
      <w:spacing w:before="80" w:after="40"/>
      <w:outlineLvl w:val="3"/>
    </w:pPr>
    <w:rPr>
      <w:rFonts w:eastAsiaTheme="majorEastAsia" w:cstheme="majorBidi"/>
      <w:iCs/>
      <w:color w:val="0F4761" w:themeColor="accent1" w:themeShade="BF"/>
    </w:rPr>
  </w:style>
  <w:style w:type="paragraph" w:styleId="Heading5">
    <w:name w:val="heading 5"/>
    <w:basedOn w:val="Normal"/>
    <w:next w:val="Normal"/>
    <w:link w:val="Heading5Char"/>
    <w:uiPriority w:val="9"/>
    <w:unhideWhenUsed/>
    <w:qFormat/>
    <w:rsid w:val="00AD785F"/>
    <w:pPr>
      <w:keepNext/>
      <w:keepLines/>
      <w:spacing w:before="80" w:after="40"/>
      <w:outlineLvl w:val="4"/>
    </w:pPr>
    <w:rPr>
      <w:rFonts w:eastAsiaTheme="majorEastAsia" w:cstheme="majorBidi"/>
      <w:i/>
      <w:color w:val="0F4761" w:themeColor="accent1" w:themeShade="BF"/>
    </w:rPr>
  </w:style>
  <w:style w:type="paragraph" w:styleId="Heading6">
    <w:name w:val="heading 6"/>
    <w:basedOn w:val="Normal"/>
    <w:next w:val="Normal"/>
    <w:link w:val="Heading6Char"/>
    <w:uiPriority w:val="9"/>
    <w:unhideWhenUsed/>
    <w:qFormat/>
    <w:rsid w:val="00786CD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6CD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6CD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6CD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C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6C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86C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D785F"/>
    <w:rPr>
      <w:rFonts w:ascii="Times New Roman" w:eastAsiaTheme="majorEastAsia" w:hAnsi="Times New Roman" w:cstheme="majorBidi"/>
      <w:iCs/>
      <w:color w:val="0F4761" w:themeColor="accent1" w:themeShade="BF"/>
      <w:kern w:val="0"/>
      <w14:ligatures w14:val="none"/>
    </w:rPr>
  </w:style>
  <w:style w:type="character" w:customStyle="1" w:styleId="Heading5Char">
    <w:name w:val="Heading 5 Char"/>
    <w:basedOn w:val="DefaultParagraphFont"/>
    <w:link w:val="Heading5"/>
    <w:uiPriority w:val="9"/>
    <w:rsid w:val="00AD785F"/>
    <w:rPr>
      <w:rFonts w:ascii="Times New Roman" w:eastAsiaTheme="majorEastAsia" w:hAnsi="Times New Roman" w:cstheme="majorBidi"/>
      <w:i/>
      <w:color w:val="0F4761" w:themeColor="accent1" w:themeShade="BF"/>
      <w:kern w:val="0"/>
      <w14:ligatures w14:val="none"/>
    </w:rPr>
  </w:style>
  <w:style w:type="character" w:customStyle="1" w:styleId="Heading6Char">
    <w:name w:val="Heading 6 Char"/>
    <w:basedOn w:val="DefaultParagraphFont"/>
    <w:link w:val="Heading6"/>
    <w:uiPriority w:val="9"/>
    <w:rsid w:val="00786C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6C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6C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6CD4"/>
    <w:rPr>
      <w:rFonts w:eastAsiaTheme="majorEastAsia" w:cstheme="majorBidi"/>
      <w:color w:val="272727" w:themeColor="text1" w:themeTint="D8"/>
    </w:rPr>
  </w:style>
  <w:style w:type="paragraph" w:styleId="Title">
    <w:name w:val="Title"/>
    <w:basedOn w:val="Normal"/>
    <w:next w:val="Normal"/>
    <w:link w:val="TitleChar"/>
    <w:uiPriority w:val="10"/>
    <w:qFormat/>
    <w:rsid w:val="00786CD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C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6CD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6C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6CD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6CD4"/>
    <w:rPr>
      <w:i/>
      <w:iCs/>
      <w:color w:val="404040" w:themeColor="text1" w:themeTint="BF"/>
    </w:rPr>
  </w:style>
  <w:style w:type="paragraph" w:styleId="ListParagraph">
    <w:name w:val="List Paragraph"/>
    <w:basedOn w:val="Normal"/>
    <w:uiPriority w:val="34"/>
    <w:qFormat/>
    <w:rsid w:val="00786CD4"/>
    <w:pPr>
      <w:ind w:left="720"/>
      <w:contextualSpacing/>
    </w:pPr>
  </w:style>
  <w:style w:type="character" w:styleId="IntenseEmphasis">
    <w:name w:val="Intense Emphasis"/>
    <w:basedOn w:val="DefaultParagraphFont"/>
    <w:uiPriority w:val="21"/>
    <w:qFormat/>
    <w:rsid w:val="00786CD4"/>
    <w:rPr>
      <w:i/>
      <w:iCs/>
      <w:color w:val="0F4761" w:themeColor="accent1" w:themeShade="BF"/>
    </w:rPr>
  </w:style>
  <w:style w:type="paragraph" w:styleId="IntenseQuote">
    <w:name w:val="Intense Quote"/>
    <w:basedOn w:val="Normal"/>
    <w:next w:val="Normal"/>
    <w:link w:val="IntenseQuoteChar"/>
    <w:uiPriority w:val="30"/>
    <w:qFormat/>
    <w:rsid w:val="00786C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6CD4"/>
    <w:rPr>
      <w:i/>
      <w:iCs/>
      <w:color w:val="0F4761" w:themeColor="accent1" w:themeShade="BF"/>
    </w:rPr>
  </w:style>
  <w:style w:type="character" w:styleId="IntenseReference">
    <w:name w:val="Intense Reference"/>
    <w:basedOn w:val="DefaultParagraphFont"/>
    <w:uiPriority w:val="32"/>
    <w:qFormat/>
    <w:rsid w:val="00786CD4"/>
    <w:rPr>
      <w:b/>
      <w:bCs/>
      <w:smallCaps/>
      <w:color w:val="0F4761" w:themeColor="accent1" w:themeShade="BF"/>
      <w:spacing w:val="5"/>
    </w:rPr>
  </w:style>
  <w:style w:type="character" w:styleId="Hyperlink">
    <w:name w:val="Hyperlink"/>
    <w:basedOn w:val="DefaultParagraphFont"/>
    <w:uiPriority w:val="99"/>
    <w:unhideWhenUsed/>
    <w:rsid w:val="00346FED"/>
    <w:rPr>
      <w:color w:val="467886" w:themeColor="hyperlink"/>
      <w:u w:val="single"/>
    </w:rPr>
  </w:style>
  <w:style w:type="character" w:styleId="UnresolvedMention">
    <w:name w:val="Unresolved Mention"/>
    <w:basedOn w:val="DefaultParagraphFont"/>
    <w:uiPriority w:val="99"/>
    <w:semiHidden/>
    <w:unhideWhenUsed/>
    <w:rsid w:val="005A5A35"/>
    <w:rPr>
      <w:color w:val="605E5C"/>
      <w:shd w:val="clear" w:color="auto" w:fill="E1DFDD"/>
    </w:rPr>
  </w:style>
  <w:style w:type="character" w:styleId="FollowedHyperlink">
    <w:name w:val="FollowedHyperlink"/>
    <w:basedOn w:val="DefaultParagraphFont"/>
    <w:uiPriority w:val="99"/>
    <w:semiHidden/>
    <w:unhideWhenUsed/>
    <w:rsid w:val="009E5078"/>
    <w:rPr>
      <w:color w:val="96607D" w:themeColor="followedHyperlink"/>
      <w:u w:val="single"/>
    </w:rPr>
  </w:style>
  <w:style w:type="character" w:styleId="CommentReference">
    <w:name w:val="annotation reference"/>
    <w:basedOn w:val="DefaultParagraphFont"/>
    <w:uiPriority w:val="99"/>
    <w:semiHidden/>
    <w:unhideWhenUsed/>
    <w:rsid w:val="00C168B9"/>
    <w:rPr>
      <w:sz w:val="16"/>
      <w:szCs w:val="16"/>
    </w:rPr>
  </w:style>
  <w:style w:type="paragraph" w:styleId="CommentText">
    <w:name w:val="annotation text"/>
    <w:basedOn w:val="Normal"/>
    <w:link w:val="CommentTextChar"/>
    <w:uiPriority w:val="99"/>
    <w:semiHidden/>
    <w:unhideWhenUsed/>
    <w:rsid w:val="00C168B9"/>
    <w:rPr>
      <w:sz w:val="20"/>
      <w:szCs w:val="20"/>
    </w:rPr>
  </w:style>
  <w:style w:type="character" w:customStyle="1" w:styleId="CommentTextChar">
    <w:name w:val="Comment Text Char"/>
    <w:basedOn w:val="DefaultParagraphFont"/>
    <w:link w:val="CommentText"/>
    <w:uiPriority w:val="99"/>
    <w:semiHidden/>
    <w:rsid w:val="00C168B9"/>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C168B9"/>
    <w:rPr>
      <w:b/>
      <w:bCs/>
    </w:rPr>
  </w:style>
  <w:style w:type="character" w:customStyle="1" w:styleId="CommentSubjectChar">
    <w:name w:val="Comment Subject Char"/>
    <w:basedOn w:val="CommentTextChar"/>
    <w:link w:val="CommentSubject"/>
    <w:uiPriority w:val="99"/>
    <w:semiHidden/>
    <w:rsid w:val="00C168B9"/>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32118C"/>
  </w:style>
  <w:style w:type="paragraph" w:styleId="Header">
    <w:name w:val="header"/>
    <w:basedOn w:val="Normal"/>
    <w:link w:val="HeaderChar"/>
    <w:uiPriority w:val="99"/>
    <w:unhideWhenUsed/>
    <w:rsid w:val="00133ACF"/>
    <w:pPr>
      <w:tabs>
        <w:tab w:val="center" w:pos="4680"/>
        <w:tab w:val="right" w:pos="9360"/>
      </w:tabs>
    </w:pPr>
  </w:style>
  <w:style w:type="character" w:customStyle="1" w:styleId="HeaderChar">
    <w:name w:val="Header Char"/>
    <w:basedOn w:val="DefaultParagraphFont"/>
    <w:link w:val="Header"/>
    <w:uiPriority w:val="99"/>
    <w:rsid w:val="00133ACF"/>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133ACF"/>
    <w:pPr>
      <w:tabs>
        <w:tab w:val="center" w:pos="4680"/>
        <w:tab w:val="right" w:pos="9360"/>
      </w:tabs>
    </w:pPr>
  </w:style>
  <w:style w:type="character" w:customStyle="1" w:styleId="FooterChar">
    <w:name w:val="Footer Char"/>
    <w:basedOn w:val="DefaultParagraphFont"/>
    <w:link w:val="Footer"/>
    <w:uiPriority w:val="99"/>
    <w:rsid w:val="00133ACF"/>
    <w:rPr>
      <w:rFonts w:ascii="Times New Roman" w:eastAsia="Times New Roman" w:hAnsi="Times New Roman" w:cs="Times New Roman"/>
      <w:kern w:val="0"/>
      <w14:ligatures w14:val="none"/>
    </w:rPr>
  </w:style>
  <w:style w:type="table" w:styleId="TableGrid">
    <w:name w:val="Table Grid"/>
    <w:basedOn w:val="TableNormal"/>
    <w:uiPriority w:val="59"/>
    <w:rsid w:val="00133AC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5">
    <w:name w:val="Grid Table 1 Light Accent 5"/>
    <w:basedOn w:val="TableNormal"/>
    <w:uiPriority w:val="46"/>
    <w:rsid w:val="004C6B07"/>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C6B07"/>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4">
    <w:name w:val="Grid Table 4"/>
    <w:basedOn w:val="TableNormal"/>
    <w:uiPriority w:val="49"/>
    <w:rsid w:val="004C6B0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7F23B3"/>
    <w:rPr>
      <w:color w:val="666666"/>
    </w:rPr>
  </w:style>
  <w:style w:type="table" w:styleId="GridTable5Dark">
    <w:name w:val="Grid Table 5 Dark"/>
    <w:basedOn w:val="TableNormal"/>
    <w:uiPriority w:val="50"/>
    <w:rsid w:val="00E63E9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TOC1">
    <w:name w:val="toc 1"/>
    <w:basedOn w:val="Normal"/>
    <w:next w:val="Normal"/>
    <w:autoRedefine/>
    <w:uiPriority w:val="39"/>
    <w:unhideWhenUsed/>
    <w:rsid w:val="009B0460"/>
    <w:pPr>
      <w:spacing w:after="100"/>
    </w:pPr>
  </w:style>
  <w:style w:type="paragraph" w:styleId="TOC4">
    <w:name w:val="toc 4"/>
    <w:basedOn w:val="Normal"/>
    <w:next w:val="Normal"/>
    <w:autoRedefine/>
    <w:uiPriority w:val="39"/>
    <w:unhideWhenUsed/>
    <w:rsid w:val="009B0460"/>
    <w:pPr>
      <w:spacing w:after="100"/>
      <w:ind w:left="660"/>
    </w:pPr>
  </w:style>
  <w:style w:type="paragraph" w:styleId="TOC2">
    <w:name w:val="toc 2"/>
    <w:basedOn w:val="Normal"/>
    <w:next w:val="Normal"/>
    <w:autoRedefine/>
    <w:uiPriority w:val="39"/>
    <w:unhideWhenUsed/>
    <w:rsid w:val="009B0460"/>
    <w:pPr>
      <w:spacing w:after="100"/>
      <w:ind w:left="220"/>
    </w:pPr>
  </w:style>
  <w:style w:type="paragraph" w:styleId="TOC3">
    <w:name w:val="toc 3"/>
    <w:basedOn w:val="Normal"/>
    <w:next w:val="Normal"/>
    <w:autoRedefine/>
    <w:uiPriority w:val="39"/>
    <w:unhideWhenUsed/>
    <w:rsid w:val="009B0460"/>
    <w:pPr>
      <w:spacing w:after="100"/>
      <w:ind w:left="440"/>
    </w:pPr>
  </w:style>
  <w:style w:type="paragraph" w:styleId="TOC6">
    <w:name w:val="toc 6"/>
    <w:basedOn w:val="Normal"/>
    <w:next w:val="Normal"/>
    <w:autoRedefine/>
    <w:uiPriority w:val="39"/>
    <w:unhideWhenUsed/>
    <w:rsid w:val="009B0460"/>
    <w:pPr>
      <w:spacing w:after="100"/>
      <w:ind w:left="1100"/>
    </w:pPr>
  </w:style>
  <w:style w:type="character" w:styleId="EndnoteReference">
    <w:name w:val="endnote reference"/>
    <w:basedOn w:val="DefaultParagraphFont"/>
    <w:uiPriority w:val="99"/>
    <w:semiHidden/>
    <w:unhideWhenUsed/>
    <w:rsid w:val="00043497"/>
    <w:rPr>
      <w:vertAlign w:val="superscript"/>
    </w:rPr>
  </w:style>
  <w:style w:type="paragraph" w:styleId="TOC5">
    <w:name w:val="toc 5"/>
    <w:basedOn w:val="Normal"/>
    <w:next w:val="Normal"/>
    <w:autoRedefine/>
    <w:uiPriority w:val="39"/>
    <w:unhideWhenUsed/>
    <w:rsid w:val="005D7F5A"/>
    <w:pPr>
      <w:spacing w:after="100"/>
      <w:ind w:left="960"/>
    </w:pPr>
  </w:style>
  <w:style w:type="character" w:customStyle="1" w:styleId="url">
    <w:name w:val="url"/>
    <w:basedOn w:val="DefaultParagraphFont"/>
    <w:rsid w:val="00126763"/>
  </w:style>
  <w:style w:type="character" w:styleId="Emphasis">
    <w:name w:val="Emphasis"/>
    <w:basedOn w:val="DefaultParagraphFont"/>
    <w:uiPriority w:val="20"/>
    <w:qFormat/>
    <w:rsid w:val="00B13D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4852">
      <w:bodyDiv w:val="1"/>
      <w:marLeft w:val="0"/>
      <w:marRight w:val="0"/>
      <w:marTop w:val="0"/>
      <w:marBottom w:val="0"/>
      <w:divBdr>
        <w:top w:val="none" w:sz="0" w:space="0" w:color="auto"/>
        <w:left w:val="none" w:sz="0" w:space="0" w:color="auto"/>
        <w:bottom w:val="none" w:sz="0" w:space="0" w:color="auto"/>
        <w:right w:val="none" w:sz="0" w:space="0" w:color="auto"/>
      </w:divBdr>
    </w:div>
    <w:div w:id="5862668">
      <w:bodyDiv w:val="1"/>
      <w:marLeft w:val="0"/>
      <w:marRight w:val="0"/>
      <w:marTop w:val="0"/>
      <w:marBottom w:val="0"/>
      <w:divBdr>
        <w:top w:val="none" w:sz="0" w:space="0" w:color="auto"/>
        <w:left w:val="none" w:sz="0" w:space="0" w:color="auto"/>
        <w:bottom w:val="none" w:sz="0" w:space="0" w:color="auto"/>
        <w:right w:val="none" w:sz="0" w:space="0" w:color="auto"/>
      </w:divBdr>
    </w:div>
    <w:div w:id="16975267">
      <w:bodyDiv w:val="1"/>
      <w:marLeft w:val="0"/>
      <w:marRight w:val="0"/>
      <w:marTop w:val="0"/>
      <w:marBottom w:val="0"/>
      <w:divBdr>
        <w:top w:val="none" w:sz="0" w:space="0" w:color="auto"/>
        <w:left w:val="none" w:sz="0" w:space="0" w:color="auto"/>
        <w:bottom w:val="none" w:sz="0" w:space="0" w:color="auto"/>
        <w:right w:val="none" w:sz="0" w:space="0" w:color="auto"/>
      </w:divBdr>
      <w:divsChild>
        <w:div w:id="186792340">
          <w:marLeft w:val="-720"/>
          <w:marRight w:val="0"/>
          <w:marTop w:val="0"/>
          <w:marBottom w:val="0"/>
          <w:divBdr>
            <w:top w:val="none" w:sz="0" w:space="0" w:color="auto"/>
            <w:left w:val="none" w:sz="0" w:space="0" w:color="auto"/>
            <w:bottom w:val="none" w:sz="0" w:space="0" w:color="auto"/>
            <w:right w:val="none" w:sz="0" w:space="0" w:color="auto"/>
          </w:divBdr>
        </w:div>
      </w:divsChild>
    </w:div>
    <w:div w:id="29035420">
      <w:bodyDiv w:val="1"/>
      <w:marLeft w:val="0"/>
      <w:marRight w:val="0"/>
      <w:marTop w:val="0"/>
      <w:marBottom w:val="0"/>
      <w:divBdr>
        <w:top w:val="none" w:sz="0" w:space="0" w:color="auto"/>
        <w:left w:val="none" w:sz="0" w:space="0" w:color="auto"/>
        <w:bottom w:val="none" w:sz="0" w:space="0" w:color="auto"/>
        <w:right w:val="none" w:sz="0" w:space="0" w:color="auto"/>
      </w:divBdr>
      <w:divsChild>
        <w:div w:id="1182623611">
          <w:marLeft w:val="-720"/>
          <w:marRight w:val="0"/>
          <w:marTop w:val="0"/>
          <w:marBottom w:val="0"/>
          <w:divBdr>
            <w:top w:val="none" w:sz="0" w:space="0" w:color="auto"/>
            <w:left w:val="none" w:sz="0" w:space="0" w:color="auto"/>
            <w:bottom w:val="none" w:sz="0" w:space="0" w:color="auto"/>
            <w:right w:val="none" w:sz="0" w:space="0" w:color="auto"/>
          </w:divBdr>
        </w:div>
      </w:divsChild>
    </w:div>
    <w:div w:id="32275357">
      <w:bodyDiv w:val="1"/>
      <w:marLeft w:val="0"/>
      <w:marRight w:val="0"/>
      <w:marTop w:val="0"/>
      <w:marBottom w:val="0"/>
      <w:divBdr>
        <w:top w:val="none" w:sz="0" w:space="0" w:color="auto"/>
        <w:left w:val="none" w:sz="0" w:space="0" w:color="auto"/>
        <w:bottom w:val="none" w:sz="0" w:space="0" w:color="auto"/>
        <w:right w:val="none" w:sz="0" w:space="0" w:color="auto"/>
      </w:divBdr>
    </w:div>
    <w:div w:id="39327113">
      <w:bodyDiv w:val="1"/>
      <w:marLeft w:val="0"/>
      <w:marRight w:val="0"/>
      <w:marTop w:val="0"/>
      <w:marBottom w:val="0"/>
      <w:divBdr>
        <w:top w:val="none" w:sz="0" w:space="0" w:color="auto"/>
        <w:left w:val="none" w:sz="0" w:space="0" w:color="auto"/>
        <w:bottom w:val="none" w:sz="0" w:space="0" w:color="auto"/>
        <w:right w:val="none" w:sz="0" w:space="0" w:color="auto"/>
      </w:divBdr>
      <w:divsChild>
        <w:div w:id="651913390">
          <w:marLeft w:val="-720"/>
          <w:marRight w:val="0"/>
          <w:marTop w:val="0"/>
          <w:marBottom w:val="0"/>
          <w:divBdr>
            <w:top w:val="none" w:sz="0" w:space="0" w:color="auto"/>
            <w:left w:val="none" w:sz="0" w:space="0" w:color="auto"/>
            <w:bottom w:val="none" w:sz="0" w:space="0" w:color="auto"/>
            <w:right w:val="none" w:sz="0" w:space="0" w:color="auto"/>
          </w:divBdr>
        </w:div>
      </w:divsChild>
    </w:div>
    <w:div w:id="44448078">
      <w:bodyDiv w:val="1"/>
      <w:marLeft w:val="0"/>
      <w:marRight w:val="0"/>
      <w:marTop w:val="0"/>
      <w:marBottom w:val="0"/>
      <w:divBdr>
        <w:top w:val="none" w:sz="0" w:space="0" w:color="auto"/>
        <w:left w:val="none" w:sz="0" w:space="0" w:color="auto"/>
        <w:bottom w:val="none" w:sz="0" w:space="0" w:color="auto"/>
        <w:right w:val="none" w:sz="0" w:space="0" w:color="auto"/>
      </w:divBdr>
    </w:div>
    <w:div w:id="45955465">
      <w:bodyDiv w:val="1"/>
      <w:marLeft w:val="0"/>
      <w:marRight w:val="0"/>
      <w:marTop w:val="0"/>
      <w:marBottom w:val="0"/>
      <w:divBdr>
        <w:top w:val="none" w:sz="0" w:space="0" w:color="auto"/>
        <w:left w:val="none" w:sz="0" w:space="0" w:color="auto"/>
        <w:bottom w:val="none" w:sz="0" w:space="0" w:color="auto"/>
        <w:right w:val="none" w:sz="0" w:space="0" w:color="auto"/>
      </w:divBdr>
    </w:div>
    <w:div w:id="61876242">
      <w:bodyDiv w:val="1"/>
      <w:marLeft w:val="0"/>
      <w:marRight w:val="0"/>
      <w:marTop w:val="0"/>
      <w:marBottom w:val="0"/>
      <w:divBdr>
        <w:top w:val="none" w:sz="0" w:space="0" w:color="auto"/>
        <w:left w:val="none" w:sz="0" w:space="0" w:color="auto"/>
        <w:bottom w:val="none" w:sz="0" w:space="0" w:color="auto"/>
        <w:right w:val="none" w:sz="0" w:space="0" w:color="auto"/>
      </w:divBdr>
      <w:divsChild>
        <w:div w:id="644090901">
          <w:marLeft w:val="-720"/>
          <w:marRight w:val="0"/>
          <w:marTop w:val="0"/>
          <w:marBottom w:val="0"/>
          <w:divBdr>
            <w:top w:val="none" w:sz="0" w:space="0" w:color="auto"/>
            <w:left w:val="none" w:sz="0" w:space="0" w:color="auto"/>
            <w:bottom w:val="none" w:sz="0" w:space="0" w:color="auto"/>
            <w:right w:val="none" w:sz="0" w:space="0" w:color="auto"/>
          </w:divBdr>
        </w:div>
      </w:divsChild>
    </w:div>
    <w:div w:id="81529434">
      <w:bodyDiv w:val="1"/>
      <w:marLeft w:val="0"/>
      <w:marRight w:val="0"/>
      <w:marTop w:val="0"/>
      <w:marBottom w:val="0"/>
      <w:divBdr>
        <w:top w:val="none" w:sz="0" w:space="0" w:color="auto"/>
        <w:left w:val="none" w:sz="0" w:space="0" w:color="auto"/>
        <w:bottom w:val="none" w:sz="0" w:space="0" w:color="auto"/>
        <w:right w:val="none" w:sz="0" w:space="0" w:color="auto"/>
      </w:divBdr>
      <w:divsChild>
        <w:div w:id="926842082">
          <w:marLeft w:val="-720"/>
          <w:marRight w:val="0"/>
          <w:marTop w:val="0"/>
          <w:marBottom w:val="0"/>
          <w:divBdr>
            <w:top w:val="none" w:sz="0" w:space="0" w:color="auto"/>
            <w:left w:val="none" w:sz="0" w:space="0" w:color="auto"/>
            <w:bottom w:val="none" w:sz="0" w:space="0" w:color="auto"/>
            <w:right w:val="none" w:sz="0" w:space="0" w:color="auto"/>
          </w:divBdr>
        </w:div>
      </w:divsChild>
    </w:div>
    <w:div w:id="94985778">
      <w:bodyDiv w:val="1"/>
      <w:marLeft w:val="0"/>
      <w:marRight w:val="0"/>
      <w:marTop w:val="0"/>
      <w:marBottom w:val="0"/>
      <w:divBdr>
        <w:top w:val="none" w:sz="0" w:space="0" w:color="auto"/>
        <w:left w:val="none" w:sz="0" w:space="0" w:color="auto"/>
        <w:bottom w:val="none" w:sz="0" w:space="0" w:color="auto"/>
        <w:right w:val="none" w:sz="0" w:space="0" w:color="auto"/>
      </w:divBdr>
      <w:divsChild>
        <w:div w:id="1664120140">
          <w:marLeft w:val="-720"/>
          <w:marRight w:val="0"/>
          <w:marTop w:val="0"/>
          <w:marBottom w:val="0"/>
          <w:divBdr>
            <w:top w:val="none" w:sz="0" w:space="0" w:color="auto"/>
            <w:left w:val="none" w:sz="0" w:space="0" w:color="auto"/>
            <w:bottom w:val="none" w:sz="0" w:space="0" w:color="auto"/>
            <w:right w:val="none" w:sz="0" w:space="0" w:color="auto"/>
          </w:divBdr>
        </w:div>
      </w:divsChild>
    </w:div>
    <w:div w:id="96339046">
      <w:bodyDiv w:val="1"/>
      <w:marLeft w:val="0"/>
      <w:marRight w:val="0"/>
      <w:marTop w:val="0"/>
      <w:marBottom w:val="0"/>
      <w:divBdr>
        <w:top w:val="none" w:sz="0" w:space="0" w:color="auto"/>
        <w:left w:val="none" w:sz="0" w:space="0" w:color="auto"/>
        <w:bottom w:val="none" w:sz="0" w:space="0" w:color="auto"/>
        <w:right w:val="none" w:sz="0" w:space="0" w:color="auto"/>
      </w:divBdr>
    </w:div>
    <w:div w:id="105348659">
      <w:bodyDiv w:val="1"/>
      <w:marLeft w:val="0"/>
      <w:marRight w:val="0"/>
      <w:marTop w:val="0"/>
      <w:marBottom w:val="0"/>
      <w:divBdr>
        <w:top w:val="none" w:sz="0" w:space="0" w:color="auto"/>
        <w:left w:val="none" w:sz="0" w:space="0" w:color="auto"/>
        <w:bottom w:val="none" w:sz="0" w:space="0" w:color="auto"/>
        <w:right w:val="none" w:sz="0" w:space="0" w:color="auto"/>
      </w:divBdr>
      <w:divsChild>
        <w:div w:id="1386175461">
          <w:marLeft w:val="-720"/>
          <w:marRight w:val="0"/>
          <w:marTop w:val="0"/>
          <w:marBottom w:val="0"/>
          <w:divBdr>
            <w:top w:val="none" w:sz="0" w:space="0" w:color="auto"/>
            <w:left w:val="none" w:sz="0" w:space="0" w:color="auto"/>
            <w:bottom w:val="none" w:sz="0" w:space="0" w:color="auto"/>
            <w:right w:val="none" w:sz="0" w:space="0" w:color="auto"/>
          </w:divBdr>
        </w:div>
      </w:divsChild>
    </w:div>
    <w:div w:id="122429042">
      <w:bodyDiv w:val="1"/>
      <w:marLeft w:val="0"/>
      <w:marRight w:val="0"/>
      <w:marTop w:val="0"/>
      <w:marBottom w:val="0"/>
      <w:divBdr>
        <w:top w:val="none" w:sz="0" w:space="0" w:color="auto"/>
        <w:left w:val="none" w:sz="0" w:space="0" w:color="auto"/>
        <w:bottom w:val="none" w:sz="0" w:space="0" w:color="auto"/>
        <w:right w:val="none" w:sz="0" w:space="0" w:color="auto"/>
      </w:divBdr>
    </w:div>
    <w:div w:id="138807866">
      <w:bodyDiv w:val="1"/>
      <w:marLeft w:val="0"/>
      <w:marRight w:val="0"/>
      <w:marTop w:val="0"/>
      <w:marBottom w:val="0"/>
      <w:divBdr>
        <w:top w:val="none" w:sz="0" w:space="0" w:color="auto"/>
        <w:left w:val="none" w:sz="0" w:space="0" w:color="auto"/>
        <w:bottom w:val="none" w:sz="0" w:space="0" w:color="auto"/>
        <w:right w:val="none" w:sz="0" w:space="0" w:color="auto"/>
      </w:divBdr>
    </w:div>
    <w:div w:id="145249285">
      <w:bodyDiv w:val="1"/>
      <w:marLeft w:val="0"/>
      <w:marRight w:val="0"/>
      <w:marTop w:val="0"/>
      <w:marBottom w:val="0"/>
      <w:divBdr>
        <w:top w:val="none" w:sz="0" w:space="0" w:color="auto"/>
        <w:left w:val="none" w:sz="0" w:space="0" w:color="auto"/>
        <w:bottom w:val="none" w:sz="0" w:space="0" w:color="auto"/>
        <w:right w:val="none" w:sz="0" w:space="0" w:color="auto"/>
      </w:divBdr>
      <w:divsChild>
        <w:div w:id="176430806">
          <w:marLeft w:val="-720"/>
          <w:marRight w:val="0"/>
          <w:marTop w:val="0"/>
          <w:marBottom w:val="0"/>
          <w:divBdr>
            <w:top w:val="none" w:sz="0" w:space="0" w:color="auto"/>
            <w:left w:val="none" w:sz="0" w:space="0" w:color="auto"/>
            <w:bottom w:val="none" w:sz="0" w:space="0" w:color="auto"/>
            <w:right w:val="none" w:sz="0" w:space="0" w:color="auto"/>
          </w:divBdr>
        </w:div>
      </w:divsChild>
    </w:div>
    <w:div w:id="180121592">
      <w:bodyDiv w:val="1"/>
      <w:marLeft w:val="0"/>
      <w:marRight w:val="0"/>
      <w:marTop w:val="0"/>
      <w:marBottom w:val="0"/>
      <w:divBdr>
        <w:top w:val="none" w:sz="0" w:space="0" w:color="auto"/>
        <w:left w:val="none" w:sz="0" w:space="0" w:color="auto"/>
        <w:bottom w:val="none" w:sz="0" w:space="0" w:color="auto"/>
        <w:right w:val="none" w:sz="0" w:space="0" w:color="auto"/>
      </w:divBdr>
    </w:div>
    <w:div w:id="180512694">
      <w:bodyDiv w:val="1"/>
      <w:marLeft w:val="0"/>
      <w:marRight w:val="0"/>
      <w:marTop w:val="0"/>
      <w:marBottom w:val="0"/>
      <w:divBdr>
        <w:top w:val="none" w:sz="0" w:space="0" w:color="auto"/>
        <w:left w:val="none" w:sz="0" w:space="0" w:color="auto"/>
        <w:bottom w:val="none" w:sz="0" w:space="0" w:color="auto"/>
        <w:right w:val="none" w:sz="0" w:space="0" w:color="auto"/>
      </w:divBdr>
    </w:div>
    <w:div w:id="192154814">
      <w:bodyDiv w:val="1"/>
      <w:marLeft w:val="0"/>
      <w:marRight w:val="0"/>
      <w:marTop w:val="0"/>
      <w:marBottom w:val="0"/>
      <w:divBdr>
        <w:top w:val="none" w:sz="0" w:space="0" w:color="auto"/>
        <w:left w:val="none" w:sz="0" w:space="0" w:color="auto"/>
        <w:bottom w:val="none" w:sz="0" w:space="0" w:color="auto"/>
        <w:right w:val="none" w:sz="0" w:space="0" w:color="auto"/>
      </w:divBdr>
    </w:div>
    <w:div w:id="192353214">
      <w:bodyDiv w:val="1"/>
      <w:marLeft w:val="0"/>
      <w:marRight w:val="0"/>
      <w:marTop w:val="0"/>
      <w:marBottom w:val="0"/>
      <w:divBdr>
        <w:top w:val="none" w:sz="0" w:space="0" w:color="auto"/>
        <w:left w:val="none" w:sz="0" w:space="0" w:color="auto"/>
        <w:bottom w:val="none" w:sz="0" w:space="0" w:color="auto"/>
        <w:right w:val="none" w:sz="0" w:space="0" w:color="auto"/>
      </w:divBdr>
      <w:divsChild>
        <w:div w:id="810171330">
          <w:marLeft w:val="-720"/>
          <w:marRight w:val="0"/>
          <w:marTop w:val="0"/>
          <w:marBottom w:val="0"/>
          <w:divBdr>
            <w:top w:val="none" w:sz="0" w:space="0" w:color="auto"/>
            <w:left w:val="none" w:sz="0" w:space="0" w:color="auto"/>
            <w:bottom w:val="none" w:sz="0" w:space="0" w:color="auto"/>
            <w:right w:val="none" w:sz="0" w:space="0" w:color="auto"/>
          </w:divBdr>
        </w:div>
      </w:divsChild>
    </w:div>
    <w:div w:id="195772566">
      <w:bodyDiv w:val="1"/>
      <w:marLeft w:val="0"/>
      <w:marRight w:val="0"/>
      <w:marTop w:val="0"/>
      <w:marBottom w:val="0"/>
      <w:divBdr>
        <w:top w:val="none" w:sz="0" w:space="0" w:color="auto"/>
        <w:left w:val="none" w:sz="0" w:space="0" w:color="auto"/>
        <w:bottom w:val="none" w:sz="0" w:space="0" w:color="auto"/>
        <w:right w:val="none" w:sz="0" w:space="0" w:color="auto"/>
      </w:divBdr>
      <w:divsChild>
        <w:div w:id="2044598784">
          <w:marLeft w:val="-720"/>
          <w:marRight w:val="0"/>
          <w:marTop w:val="0"/>
          <w:marBottom w:val="0"/>
          <w:divBdr>
            <w:top w:val="none" w:sz="0" w:space="0" w:color="auto"/>
            <w:left w:val="none" w:sz="0" w:space="0" w:color="auto"/>
            <w:bottom w:val="none" w:sz="0" w:space="0" w:color="auto"/>
            <w:right w:val="none" w:sz="0" w:space="0" w:color="auto"/>
          </w:divBdr>
        </w:div>
      </w:divsChild>
    </w:div>
    <w:div w:id="213002929">
      <w:bodyDiv w:val="1"/>
      <w:marLeft w:val="0"/>
      <w:marRight w:val="0"/>
      <w:marTop w:val="0"/>
      <w:marBottom w:val="0"/>
      <w:divBdr>
        <w:top w:val="none" w:sz="0" w:space="0" w:color="auto"/>
        <w:left w:val="none" w:sz="0" w:space="0" w:color="auto"/>
        <w:bottom w:val="none" w:sz="0" w:space="0" w:color="auto"/>
        <w:right w:val="none" w:sz="0" w:space="0" w:color="auto"/>
      </w:divBdr>
      <w:divsChild>
        <w:div w:id="659388441">
          <w:marLeft w:val="-720"/>
          <w:marRight w:val="0"/>
          <w:marTop w:val="0"/>
          <w:marBottom w:val="0"/>
          <w:divBdr>
            <w:top w:val="none" w:sz="0" w:space="0" w:color="auto"/>
            <w:left w:val="none" w:sz="0" w:space="0" w:color="auto"/>
            <w:bottom w:val="none" w:sz="0" w:space="0" w:color="auto"/>
            <w:right w:val="none" w:sz="0" w:space="0" w:color="auto"/>
          </w:divBdr>
        </w:div>
      </w:divsChild>
    </w:div>
    <w:div w:id="213542393">
      <w:bodyDiv w:val="1"/>
      <w:marLeft w:val="0"/>
      <w:marRight w:val="0"/>
      <w:marTop w:val="0"/>
      <w:marBottom w:val="0"/>
      <w:divBdr>
        <w:top w:val="none" w:sz="0" w:space="0" w:color="auto"/>
        <w:left w:val="none" w:sz="0" w:space="0" w:color="auto"/>
        <w:bottom w:val="none" w:sz="0" w:space="0" w:color="auto"/>
        <w:right w:val="none" w:sz="0" w:space="0" w:color="auto"/>
      </w:divBdr>
      <w:divsChild>
        <w:div w:id="43332565">
          <w:marLeft w:val="-720"/>
          <w:marRight w:val="0"/>
          <w:marTop w:val="0"/>
          <w:marBottom w:val="0"/>
          <w:divBdr>
            <w:top w:val="none" w:sz="0" w:space="0" w:color="auto"/>
            <w:left w:val="none" w:sz="0" w:space="0" w:color="auto"/>
            <w:bottom w:val="none" w:sz="0" w:space="0" w:color="auto"/>
            <w:right w:val="none" w:sz="0" w:space="0" w:color="auto"/>
          </w:divBdr>
        </w:div>
      </w:divsChild>
    </w:div>
    <w:div w:id="218563306">
      <w:bodyDiv w:val="1"/>
      <w:marLeft w:val="0"/>
      <w:marRight w:val="0"/>
      <w:marTop w:val="0"/>
      <w:marBottom w:val="0"/>
      <w:divBdr>
        <w:top w:val="none" w:sz="0" w:space="0" w:color="auto"/>
        <w:left w:val="none" w:sz="0" w:space="0" w:color="auto"/>
        <w:bottom w:val="none" w:sz="0" w:space="0" w:color="auto"/>
        <w:right w:val="none" w:sz="0" w:space="0" w:color="auto"/>
      </w:divBdr>
      <w:divsChild>
        <w:div w:id="1636252299">
          <w:marLeft w:val="-720"/>
          <w:marRight w:val="0"/>
          <w:marTop w:val="0"/>
          <w:marBottom w:val="0"/>
          <w:divBdr>
            <w:top w:val="none" w:sz="0" w:space="0" w:color="auto"/>
            <w:left w:val="none" w:sz="0" w:space="0" w:color="auto"/>
            <w:bottom w:val="none" w:sz="0" w:space="0" w:color="auto"/>
            <w:right w:val="none" w:sz="0" w:space="0" w:color="auto"/>
          </w:divBdr>
        </w:div>
      </w:divsChild>
    </w:div>
    <w:div w:id="225338169">
      <w:bodyDiv w:val="1"/>
      <w:marLeft w:val="0"/>
      <w:marRight w:val="0"/>
      <w:marTop w:val="0"/>
      <w:marBottom w:val="0"/>
      <w:divBdr>
        <w:top w:val="none" w:sz="0" w:space="0" w:color="auto"/>
        <w:left w:val="none" w:sz="0" w:space="0" w:color="auto"/>
        <w:bottom w:val="none" w:sz="0" w:space="0" w:color="auto"/>
        <w:right w:val="none" w:sz="0" w:space="0" w:color="auto"/>
      </w:divBdr>
      <w:divsChild>
        <w:div w:id="1962958318">
          <w:marLeft w:val="-720"/>
          <w:marRight w:val="0"/>
          <w:marTop w:val="0"/>
          <w:marBottom w:val="0"/>
          <w:divBdr>
            <w:top w:val="none" w:sz="0" w:space="0" w:color="auto"/>
            <w:left w:val="none" w:sz="0" w:space="0" w:color="auto"/>
            <w:bottom w:val="none" w:sz="0" w:space="0" w:color="auto"/>
            <w:right w:val="none" w:sz="0" w:space="0" w:color="auto"/>
          </w:divBdr>
        </w:div>
      </w:divsChild>
    </w:div>
    <w:div w:id="227034168">
      <w:bodyDiv w:val="1"/>
      <w:marLeft w:val="0"/>
      <w:marRight w:val="0"/>
      <w:marTop w:val="0"/>
      <w:marBottom w:val="0"/>
      <w:divBdr>
        <w:top w:val="none" w:sz="0" w:space="0" w:color="auto"/>
        <w:left w:val="none" w:sz="0" w:space="0" w:color="auto"/>
        <w:bottom w:val="none" w:sz="0" w:space="0" w:color="auto"/>
        <w:right w:val="none" w:sz="0" w:space="0" w:color="auto"/>
      </w:divBdr>
      <w:divsChild>
        <w:div w:id="174925410">
          <w:marLeft w:val="-720"/>
          <w:marRight w:val="0"/>
          <w:marTop w:val="0"/>
          <w:marBottom w:val="0"/>
          <w:divBdr>
            <w:top w:val="none" w:sz="0" w:space="0" w:color="auto"/>
            <w:left w:val="none" w:sz="0" w:space="0" w:color="auto"/>
            <w:bottom w:val="none" w:sz="0" w:space="0" w:color="auto"/>
            <w:right w:val="none" w:sz="0" w:space="0" w:color="auto"/>
          </w:divBdr>
        </w:div>
      </w:divsChild>
    </w:div>
    <w:div w:id="237255405">
      <w:bodyDiv w:val="1"/>
      <w:marLeft w:val="0"/>
      <w:marRight w:val="0"/>
      <w:marTop w:val="0"/>
      <w:marBottom w:val="0"/>
      <w:divBdr>
        <w:top w:val="none" w:sz="0" w:space="0" w:color="auto"/>
        <w:left w:val="none" w:sz="0" w:space="0" w:color="auto"/>
        <w:bottom w:val="none" w:sz="0" w:space="0" w:color="auto"/>
        <w:right w:val="none" w:sz="0" w:space="0" w:color="auto"/>
      </w:divBdr>
    </w:div>
    <w:div w:id="259531707">
      <w:bodyDiv w:val="1"/>
      <w:marLeft w:val="0"/>
      <w:marRight w:val="0"/>
      <w:marTop w:val="0"/>
      <w:marBottom w:val="0"/>
      <w:divBdr>
        <w:top w:val="none" w:sz="0" w:space="0" w:color="auto"/>
        <w:left w:val="none" w:sz="0" w:space="0" w:color="auto"/>
        <w:bottom w:val="none" w:sz="0" w:space="0" w:color="auto"/>
        <w:right w:val="none" w:sz="0" w:space="0" w:color="auto"/>
      </w:divBdr>
      <w:divsChild>
        <w:div w:id="593246903">
          <w:marLeft w:val="-720"/>
          <w:marRight w:val="0"/>
          <w:marTop w:val="0"/>
          <w:marBottom w:val="0"/>
          <w:divBdr>
            <w:top w:val="none" w:sz="0" w:space="0" w:color="auto"/>
            <w:left w:val="none" w:sz="0" w:space="0" w:color="auto"/>
            <w:bottom w:val="none" w:sz="0" w:space="0" w:color="auto"/>
            <w:right w:val="none" w:sz="0" w:space="0" w:color="auto"/>
          </w:divBdr>
        </w:div>
      </w:divsChild>
    </w:div>
    <w:div w:id="260995437">
      <w:bodyDiv w:val="1"/>
      <w:marLeft w:val="0"/>
      <w:marRight w:val="0"/>
      <w:marTop w:val="0"/>
      <w:marBottom w:val="0"/>
      <w:divBdr>
        <w:top w:val="none" w:sz="0" w:space="0" w:color="auto"/>
        <w:left w:val="none" w:sz="0" w:space="0" w:color="auto"/>
        <w:bottom w:val="none" w:sz="0" w:space="0" w:color="auto"/>
        <w:right w:val="none" w:sz="0" w:space="0" w:color="auto"/>
      </w:divBdr>
      <w:divsChild>
        <w:div w:id="434521664">
          <w:marLeft w:val="-720"/>
          <w:marRight w:val="0"/>
          <w:marTop w:val="0"/>
          <w:marBottom w:val="0"/>
          <w:divBdr>
            <w:top w:val="none" w:sz="0" w:space="0" w:color="auto"/>
            <w:left w:val="none" w:sz="0" w:space="0" w:color="auto"/>
            <w:bottom w:val="none" w:sz="0" w:space="0" w:color="auto"/>
            <w:right w:val="none" w:sz="0" w:space="0" w:color="auto"/>
          </w:divBdr>
        </w:div>
      </w:divsChild>
    </w:div>
    <w:div w:id="265236418">
      <w:bodyDiv w:val="1"/>
      <w:marLeft w:val="0"/>
      <w:marRight w:val="0"/>
      <w:marTop w:val="0"/>
      <w:marBottom w:val="0"/>
      <w:divBdr>
        <w:top w:val="none" w:sz="0" w:space="0" w:color="auto"/>
        <w:left w:val="none" w:sz="0" w:space="0" w:color="auto"/>
        <w:bottom w:val="none" w:sz="0" w:space="0" w:color="auto"/>
        <w:right w:val="none" w:sz="0" w:space="0" w:color="auto"/>
      </w:divBdr>
      <w:divsChild>
        <w:div w:id="2041662346">
          <w:marLeft w:val="-720"/>
          <w:marRight w:val="0"/>
          <w:marTop w:val="0"/>
          <w:marBottom w:val="0"/>
          <w:divBdr>
            <w:top w:val="none" w:sz="0" w:space="0" w:color="auto"/>
            <w:left w:val="none" w:sz="0" w:space="0" w:color="auto"/>
            <w:bottom w:val="none" w:sz="0" w:space="0" w:color="auto"/>
            <w:right w:val="none" w:sz="0" w:space="0" w:color="auto"/>
          </w:divBdr>
        </w:div>
      </w:divsChild>
    </w:div>
    <w:div w:id="282466173">
      <w:bodyDiv w:val="1"/>
      <w:marLeft w:val="0"/>
      <w:marRight w:val="0"/>
      <w:marTop w:val="0"/>
      <w:marBottom w:val="0"/>
      <w:divBdr>
        <w:top w:val="none" w:sz="0" w:space="0" w:color="auto"/>
        <w:left w:val="none" w:sz="0" w:space="0" w:color="auto"/>
        <w:bottom w:val="none" w:sz="0" w:space="0" w:color="auto"/>
        <w:right w:val="none" w:sz="0" w:space="0" w:color="auto"/>
      </w:divBdr>
    </w:div>
    <w:div w:id="291982853">
      <w:bodyDiv w:val="1"/>
      <w:marLeft w:val="0"/>
      <w:marRight w:val="0"/>
      <w:marTop w:val="0"/>
      <w:marBottom w:val="0"/>
      <w:divBdr>
        <w:top w:val="none" w:sz="0" w:space="0" w:color="auto"/>
        <w:left w:val="none" w:sz="0" w:space="0" w:color="auto"/>
        <w:bottom w:val="none" w:sz="0" w:space="0" w:color="auto"/>
        <w:right w:val="none" w:sz="0" w:space="0" w:color="auto"/>
      </w:divBdr>
      <w:divsChild>
        <w:div w:id="809129670">
          <w:marLeft w:val="-720"/>
          <w:marRight w:val="0"/>
          <w:marTop w:val="0"/>
          <w:marBottom w:val="0"/>
          <w:divBdr>
            <w:top w:val="none" w:sz="0" w:space="0" w:color="auto"/>
            <w:left w:val="none" w:sz="0" w:space="0" w:color="auto"/>
            <w:bottom w:val="none" w:sz="0" w:space="0" w:color="auto"/>
            <w:right w:val="none" w:sz="0" w:space="0" w:color="auto"/>
          </w:divBdr>
        </w:div>
      </w:divsChild>
    </w:div>
    <w:div w:id="293874468">
      <w:bodyDiv w:val="1"/>
      <w:marLeft w:val="0"/>
      <w:marRight w:val="0"/>
      <w:marTop w:val="0"/>
      <w:marBottom w:val="0"/>
      <w:divBdr>
        <w:top w:val="none" w:sz="0" w:space="0" w:color="auto"/>
        <w:left w:val="none" w:sz="0" w:space="0" w:color="auto"/>
        <w:bottom w:val="none" w:sz="0" w:space="0" w:color="auto"/>
        <w:right w:val="none" w:sz="0" w:space="0" w:color="auto"/>
      </w:divBdr>
      <w:divsChild>
        <w:div w:id="1069426821">
          <w:marLeft w:val="-720"/>
          <w:marRight w:val="0"/>
          <w:marTop w:val="0"/>
          <w:marBottom w:val="0"/>
          <w:divBdr>
            <w:top w:val="none" w:sz="0" w:space="0" w:color="auto"/>
            <w:left w:val="none" w:sz="0" w:space="0" w:color="auto"/>
            <w:bottom w:val="none" w:sz="0" w:space="0" w:color="auto"/>
            <w:right w:val="none" w:sz="0" w:space="0" w:color="auto"/>
          </w:divBdr>
        </w:div>
      </w:divsChild>
    </w:div>
    <w:div w:id="312567418">
      <w:bodyDiv w:val="1"/>
      <w:marLeft w:val="0"/>
      <w:marRight w:val="0"/>
      <w:marTop w:val="0"/>
      <w:marBottom w:val="0"/>
      <w:divBdr>
        <w:top w:val="none" w:sz="0" w:space="0" w:color="auto"/>
        <w:left w:val="none" w:sz="0" w:space="0" w:color="auto"/>
        <w:bottom w:val="none" w:sz="0" w:space="0" w:color="auto"/>
        <w:right w:val="none" w:sz="0" w:space="0" w:color="auto"/>
      </w:divBdr>
      <w:divsChild>
        <w:div w:id="1329481773">
          <w:marLeft w:val="-720"/>
          <w:marRight w:val="0"/>
          <w:marTop w:val="0"/>
          <w:marBottom w:val="0"/>
          <w:divBdr>
            <w:top w:val="none" w:sz="0" w:space="0" w:color="auto"/>
            <w:left w:val="none" w:sz="0" w:space="0" w:color="auto"/>
            <w:bottom w:val="none" w:sz="0" w:space="0" w:color="auto"/>
            <w:right w:val="none" w:sz="0" w:space="0" w:color="auto"/>
          </w:divBdr>
        </w:div>
      </w:divsChild>
    </w:div>
    <w:div w:id="313491241">
      <w:bodyDiv w:val="1"/>
      <w:marLeft w:val="0"/>
      <w:marRight w:val="0"/>
      <w:marTop w:val="0"/>
      <w:marBottom w:val="0"/>
      <w:divBdr>
        <w:top w:val="none" w:sz="0" w:space="0" w:color="auto"/>
        <w:left w:val="none" w:sz="0" w:space="0" w:color="auto"/>
        <w:bottom w:val="none" w:sz="0" w:space="0" w:color="auto"/>
        <w:right w:val="none" w:sz="0" w:space="0" w:color="auto"/>
      </w:divBdr>
    </w:div>
    <w:div w:id="315648085">
      <w:bodyDiv w:val="1"/>
      <w:marLeft w:val="0"/>
      <w:marRight w:val="0"/>
      <w:marTop w:val="0"/>
      <w:marBottom w:val="0"/>
      <w:divBdr>
        <w:top w:val="none" w:sz="0" w:space="0" w:color="auto"/>
        <w:left w:val="none" w:sz="0" w:space="0" w:color="auto"/>
        <w:bottom w:val="none" w:sz="0" w:space="0" w:color="auto"/>
        <w:right w:val="none" w:sz="0" w:space="0" w:color="auto"/>
      </w:divBdr>
    </w:div>
    <w:div w:id="327055498">
      <w:bodyDiv w:val="1"/>
      <w:marLeft w:val="0"/>
      <w:marRight w:val="0"/>
      <w:marTop w:val="0"/>
      <w:marBottom w:val="0"/>
      <w:divBdr>
        <w:top w:val="none" w:sz="0" w:space="0" w:color="auto"/>
        <w:left w:val="none" w:sz="0" w:space="0" w:color="auto"/>
        <w:bottom w:val="none" w:sz="0" w:space="0" w:color="auto"/>
        <w:right w:val="none" w:sz="0" w:space="0" w:color="auto"/>
      </w:divBdr>
      <w:divsChild>
        <w:div w:id="762337517">
          <w:marLeft w:val="-720"/>
          <w:marRight w:val="0"/>
          <w:marTop w:val="0"/>
          <w:marBottom w:val="0"/>
          <w:divBdr>
            <w:top w:val="none" w:sz="0" w:space="0" w:color="auto"/>
            <w:left w:val="none" w:sz="0" w:space="0" w:color="auto"/>
            <w:bottom w:val="none" w:sz="0" w:space="0" w:color="auto"/>
            <w:right w:val="none" w:sz="0" w:space="0" w:color="auto"/>
          </w:divBdr>
        </w:div>
      </w:divsChild>
    </w:div>
    <w:div w:id="328018681">
      <w:bodyDiv w:val="1"/>
      <w:marLeft w:val="0"/>
      <w:marRight w:val="0"/>
      <w:marTop w:val="0"/>
      <w:marBottom w:val="0"/>
      <w:divBdr>
        <w:top w:val="none" w:sz="0" w:space="0" w:color="auto"/>
        <w:left w:val="none" w:sz="0" w:space="0" w:color="auto"/>
        <w:bottom w:val="none" w:sz="0" w:space="0" w:color="auto"/>
        <w:right w:val="none" w:sz="0" w:space="0" w:color="auto"/>
      </w:divBdr>
    </w:div>
    <w:div w:id="332145977">
      <w:bodyDiv w:val="1"/>
      <w:marLeft w:val="0"/>
      <w:marRight w:val="0"/>
      <w:marTop w:val="0"/>
      <w:marBottom w:val="0"/>
      <w:divBdr>
        <w:top w:val="none" w:sz="0" w:space="0" w:color="auto"/>
        <w:left w:val="none" w:sz="0" w:space="0" w:color="auto"/>
        <w:bottom w:val="none" w:sz="0" w:space="0" w:color="auto"/>
        <w:right w:val="none" w:sz="0" w:space="0" w:color="auto"/>
      </w:divBdr>
    </w:div>
    <w:div w:id="334965747">
      <w:bodyDiv w:val="1"/>
      <w:marLeft w:val="0"/>
      <w:marRight w:val="0"/>
      <w:marTop w:val="0"/>
      <w:marBottom w:val="0"/>
      <w:divBdr>
        <w:top w:val="none" w:sz="0" w:space="0" w:color="auto"/>
        <w:left w:val="none" w:sz="0" w:space="0" w:color="auto"/>
        <w:bottom w:val="none" w:sz="0" w:space="0" w:color="auto"/>
        <w:right w:val="none" w:sz="0" w:space="0" w:color="auto"/>
      </w:divBdr>
    </w:div>
    <w:div w:id="336343484">
      <w:bodyDiv w:val="1"/>
      <w:marLeft w:val="0"/>
      <w:marRight w:val="0"/>
      <w:marTop w:val="0"/>
      <w:marBottom w:val="0"/>
      <w:divBdr>
        <w:top w:val="none" w:sz="0" w:space="0" w:color="auto"/>
        <w:left w:val="none" w:sz="0" w:space="0" w:color="auto"/>
        <w:bottom w:val="none" w:sz="0" w:space="0" w:color="auto"/>
        <w:right w:val="none" w:sz="0" w:space="0" w:color="auto"/>
      </w:divBdr>
    </w:div>
    <w:div w:id="340158121">
      <w:bodyDiv w:val="1"/>
      <w:marLeft w:val="0"/>
      <w:marRight w:val="0"/>
      <w:marTop w:val="0"/>
      <w:marBottom w:val="0"/>
      <w:divBdr>
        <w:top w:val="none" w:sz="0" w:space="0" w:color="auto"/>
        <w:left w:val="none" w:sz="0" w:space="0" w:color="auto"/>
        <w:bottom w:val="none" w:sz="0" w:space="0" w:color="auto"/>
        <w:right w:val="none" w:sz="0" w:space="0" w:color="auto"/>
      </w:divBdr>
    </w:div>
    <w:div w:id="350883436">
      <w:bodyDiv w:val="1"/>
      <w:marLeft w:val="0"/>
      <w:marRight w:val="0"/>
      <w:marTop w:val="0"/>
      <w:marBottom w:val="0"/>
      <w:divBdr>
        <w:top w:val="none" w:sz="0" w:space="0" w:color="auto"/>
        <w:left w:val="none" w:sz="0" w:space="0" w:color="auto"/>
        <w:bottom w:val="none" w:sz="0" w:space="0" w:color="auto"/>
        <w:right w:val="none" w:sz="0" w:space="0" w:color="auto"/>
      </w:divBdr>
    </w:div>
    <w:div w:id="354817289">
      <w:bodyDiv w:val="1"/>
      <w:marLeft w:val="0"/>
      <w:marRight w:val="0"/>
      <w:marTop w:val="0"/>
      <w:marBottom w:val="0"/>
      <w:divBdr>
        <w:top w:val="none" w:sz="0" w:space="0" w:color="auto"/>
        <w:left w:val="none" w:sz="0" w:space="0" w:color="auto"/>
        <w:bottom w:val="none" w:sz="0" w:space="0" w:color="auto"/>
        <w:right w:val="none" w:sz="0" w:space="0" w:color="auto"/>
      </w:divBdr>
      <w:divsChild>
        <w:div w:id="1477795717">
          <w:marLeft w:val="0"/>
          <w:marRight w:val="0"/>
          <w:marTop w:val="0"/>
          <w:marBottom w:val="0"/>
          <w:divBdr>
            <w:top w:val="none" w:sz="0" w:space="0" w:color="auto"/>
            <w:left w:val="none" w:sz="0" w:space="0" w:color="auto"/>
            <w:bottom w:val="none" w:sz="0" w:space="0" w:color="auto"/>
            <w:right w:val="none" w:sz="0" w:space="0" w:color="auto"/>
          </w:divBdr>
          <w:divsChild>
            <w:div w:id="1489707466">
              <w:marLeft w:val="0"/>
              <w:marRight w:val="0"/>
              <w:marTop w:val="0"/>
              <w:marBottom w:val="0"/>
              <w:divBdr>
                <w:top w:val="none" w:sz="0" w:space="0" w:color="auto"/>
                <w:left w:val="none" w:sz="0" w:space="0" w:color="auto"/>
                <w:bottom w:val="none" w:sz="0" w:space="0" w:color="auto"/>
                <w:right w:val="none" w:sz="0" w:space="0" w:color="auto"/>
              </w:divBdr>
              <w:divsChild>
                <w:div w:id="1918054269">
                  <w:marLeft w:val="0"/>
                  <w:marRight w:val="0"/>
                  <w:marTop w:val="0"/>
                  <w:marBottom w:val="0"/>
                  <w:divBdr>
                    <w:top w:val="none" w:sz="0" w:space="0" w:color="auto"/>
                    <w:left w:val="none" w:sz="0" w:space="0" w:color="auto"/>
                    <w:bottom w:val="none" w:sz="0" w:space="0" w:color="auto"/>
                    <w:right w:val="none" w:sz="0" w:space="0" w:color="auto"/>
                  </w:divBdr>
                  <w:divsChild>
                    <w:div w:id="187931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67386">
          <w:marLeft w:val="0"/>
          <w:marRight w:val="0"/>
          <w:marTop w:val="0"/>
          <w:marBottom w:val="0"/>
          <w:divBdr>
            <w:top w:val="none" w:sz="0" w:space="0" w:color="auto"/>
            <w:left w:val="none" w:sz="0" w:space="0" w:color="auto"/>
            <w:bottom w:val="none" w:sz="0" w:space="0" w:color="auto"/>
            <w:right w:val="none" w:sz="0" w:space="0" w:color="auto"/>
          </w:divBdr>
          <w:divsChild>
            <w:div w:id="620842343">
              <w:marLeft w:val="0"/>
              <w:marRight w:val="0"/>
              <w:marTop w:val="0"/>
              <w:marBottom w:val="0"/>
              <w:divBdr>
                <w:top w:val="none" w:sz="0" w:space="0" w:color="auto"/>
                <w:left w:val="none" w:sz="0" w:space="0" w:color="auto"/>
                <w:bottom w:val="none" w:sz="0" w:space="0" w:color="auto"/>
                <w:right w:val="none" w:sz="0" w:space="0" w:color="auto"/>
              </w:divBdr>
              <w:divsChild>
                <w:div w:id="1741252699">
                  <w:marLeft w:val="0"/>
                  <w:marRight w:val="0"/>
                  <w:marTop w:val="0"/>
                  <w:marBottom w:val="0"/>
                  <w:divBdr>
                    <w:top w:val="none" w:sz="0" w:space="0" w:color="auto"/>
                    <w:left w:val="none" w:sz="0" w:space="0" w:color="auto"/>
                    <w:bottom w:val="none" w:sz="0" w:space="0" w:color="auto"/>
                    <w:right w:val="none" w:sz="0" w:space="0" w:color="auto"/>
                  </w:divBdr>
                  <w:divsChild>
                    <w:div w:id="1996911330">
                      <w:marLeft w:val="0"/>
                      <w:marRight w:val="0"/>
                      <w:marTop w:val="0"/>
                      <w:marBottom w:val="0"/>
                      <w:divBdr>
                        <w:top w:val="none" w:sz="0" w:space="0" w:color="auto"/>
                        <w:left w:val="none" w:sz="0" w:space="0" w:color="auto"/>
                        <w:bottom w:val="none" w:sz="0" w:space="0" w:color="auto"/>
                        <w:right w:val="none" w:sz="0" w:space="0" w:color="auto"/>
                      </w:divBdr>
                      <w:divsChild>
                        <w:div w:id="1692099607">
                          <w:marLeft w:val="0"/>
                          <w:marRight w:val="0"/>
                          <w:marTop w:val="0"/>
                          <w:marBottom w:val="0"/>
                          <w:divBdr>
                            <w:top w:val="none" w:sz="0" w:space="0" w:color="auto"/>
                            <w:left w:val="none" w:sz="0" w:space="0" w:color="auto"/>
                            <w:bottom w:val="none" w:sz="0" w:space="0" w:color="auto"/>
                            <w:right w:val="none" w:sz="0" w:space="0" w:color="auto"/>
                          </w:divBdr>
                          <w:divsChild>
                            <w:div w:id="168981538">
                              <w:marLeft w:val="0"/>
                              <w:marRight w:val="0"/>
                              <w:marTop w:val="0"/>
                              <w:marBottom w:val="0"/>
                              <w:divBdr>
                                <w:top w:val="none" w:sz="0" w:space="0" w:color="auto"/>
                                <w:left w:val="none" w:sz="0" w:space="0" w:color="auto"/>
                                <w:bottom w:val="none" w:sz="0" w:space="0" w:color="auto"/>
                                <w:right w:val="none" w:sz="0" w:space="0" w:color="auto"/>
                              </w:divBdr>
                              <w:divsChild>
                                <w:div w:id="186797932">
                                  <w:marLeft w:val="0"/>
                                  <w:marRight w:val="0"/>
                                  <w:marTop w:val="0"/>
                                  <w:marBottom w:val="0"/>
                                  <w:divBdr>
                                    <w:top w:val="none" w:sz="0" w:space="0" w:color="auto"/>
                                    <w:left w:val="none" w:sz="0" w:space="0" w:color="auto"/>
                                    <w:bottom w:val="none" w:sz="0" w:space="0" w:color="auto"/>
                                    <w:right w:val="none" w:sz="0" w:space="0" w:color="auto"/>
                                  </w:divBdr>
                                  <w:divsChild>
                                    <w:div w:id="1138643140">
                                      <w:marLeft w:val="0"/>
                                      <w:marRight w:val="0"/>
                                      <w:marTop w:val="0"/>
                                      <w:marBottom w:val="0"/>
                                      <w:divBdr>
                                        <w:top w:val="none" w:sz="0" w:space="0" w:color="auto"/>
                                        <w:left w:val="none" w:sz="0" w:space="0" w:color="auto"/>
                                        <w:bottom w:val="none" w:sz="0" w:space="0" w:color="auto"/>
                                        <w:right w:val="none" w:sz="0" w:space="0" w:color="auto"/>
                                      </w:divBdr>
                                      <w:divsChild>
                                        <w:div w:id="904796570">
                                          <w:marLeft w:val="0"/>
                                          <w:marRight w:val="0"/>
                                          <w:marTop w:val="0"/>
                                          <w:marBottom w:val="0"/>
                                          <w:divBdr>
                                            <w:top w:val="none" w:sz="0" w:space="0" w:color="auto"/>
                                            <w:left w:val="none" w:sz="0" w:space="0" w:color="auto"/>
                                            <w:bottom w:val="none" w:sz="0" w:space="0" w:color="auto"/>
                                            <w:right w:val="none" w:sz="0" w:space="0" w:color="auto"/>
                                          </w:divBdr>
                                          <w:divsChild>
                                            <w:div w:id="1205366126">
                                              <w:marLeft w:val="0"/>
                                              <w:marRight w:val="0"/>
                                              <w:marTop w:val="0"/>
                                              <w:marBottom w:val="0"/>
                                              <w:divBdr>
                                                <w:top w:val="none" w:sz="0" w:space="0" w:color="auto"/>
                                                <w:left w:val="none" w:sz="0" w:space="0" w:color="auto"/>
                                                <w:bottom w:val="none" w:sz="0" w:space="0" w:color="auto"/>
                                                <w:right w:val="none" w:sz="0" w:space="0" w:color="auto"/>
                                              </w:divBdr>
                                              <w:divsChild>
                                                <w:div w:id="654527842">
                                                  <w:marLeft w:val="0"/>
                                                  <w:marRight w:val="0"/>
                                                  <w:marTop w:val="0"/>
                                                  <w:marBottom w:val="0"/>
                                                  <w:divBdr>
                                                    <w:top w:val="none" w:sz="0" w:space="0" w:color="auto"/>
                                                    <w:left w:val="none" w:sz="0" w:space="0" w:color="auto"/>
                                                    <w:bottom w:val="none" w:sz="0" w:space="0" w:color="auto"/>
                                                    <w:right w:val="none" w:sz="0" w:space="0" w:color="auto"/>
                                                  </w:divBdr>
                                                  <w:divsChild>
                                                    <w:div w:id="1501847890">
                                                      <w:marLeft w:val="0"/>
                                                      <w:marRight w:val="0"/>
                                                      <w:marTop w:val="0"/>
                                                      <w:marBottom w:val="0"/>
                                                      <w:divBdr>
                                                        <w:top w:val="none" w:sz="0" w:space="0" w:color="auto"/>
                                                        <w:left w:val="none" w:sz="0" w:space="0" w:color="auto"/>
                                                        <w:bottom w:val="none" w:sz="0" w:space="0" w:color="auto"/>
                                                        <w:right w:val="none" w:sz="0" w:space="0" w:color="auto"/>
                                                      </w:divBdr>
                                                      <w:divsChild>
                                                        <w:div w:id="15074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7852822">
      <w:bodyDiv w:val="1"/>
      <w:marLeft w:val="0"/>
      <w:marRight w:val="0"/>
      <w:marTop w:val="0"/>
      <w:marBottom w:val="0"/>
      <w:divBdr>
        <w:top w:val="none" w:sz="0" w:space="0" w:color="auto"/>
        <w:left w:val="none" w:sz="0" w:space="0" w:color="auto"/>
        <w:bottom w:val="none" w:sz="0" w:space="0" w:color="auto"/>
        <w:right w:val="none" w:sz="0" w:space="0" w:color="auto"/>
      </w:divBdr>
    </w:div>
    <w:div w:id="360787487">
      <w:bodyDiv w:val="1"/>
      <w:marLeft w:val="0"/>
      <w:marRight w:val="0"/>
      <w:marTop w:val="0"/>
      <w:marBottom w:val="0"/>
      <w:divBdr>
        <w:top w:val="none" w:sz="0" w:space="0" w:color="auto"/>
        <w:left w:val="none" w:sz="0" w:space="0" w:color="auto"/>
        <w:bottom w:val="none" w:sz="0" w:space="0" w:color="auto"/>
        <w:right w:val="none" w:sz="0" w:space="0" w:color="auto"/>
      </w:divBdr>
      <w:divsChild>
        <w:div w:id="2115438393">
          <w:marLeft w:val="-720"/>
          <w:marRight w:val="0"/>
          <w:marTop w:val="0"/>
          <w:marBottom w:val="0"/>
          <w:divBdr>
            <w:top w:val="none" w:sz="0" w:space="0" w:color="auto"/>
            <w:left w:val="none" w:sz="0" w:space="0" w:color="auto"/>
            <w:bottom w:val="none" w:sz="0" w:space="0" w:color="auto"/>
            <w:right w:val="none" w:sz="0" w:space="0" w:color="auto"/>
          </w:divBdr>
        </w:div>
      </w:divsChild>
    </w:div>
    <w:div w:id="381946686">
      <w:bodyDiv w:val="1"/>
      <w:marLeft w:val="0"/>
      <w:marRight w:val="0"/>
      <w:marTop w:val="0"/>
      <w:marBottom w:val="0"/>
      <w:divBdr>
        <w:top w:val="none" w:sz="0" w:space="0" w:color="auto"/>
        <w:left w:val="none" w:sz="0" w:space="0" w:color="auto"/>
        <w:bottom w:val="none" w:sz="0" w:space="0" w:color="auto"/>
        <w:right w:val="none" w:sz="0" w:space="0" w:color="auto"/>
      </w:divBdr>
      <w:divsChild>
        <w:div w:id="2050184585">
          <w:marLeft w:val="-720"/>
          <w:marRight w:val="0"/>
          <w:marTop w:val="0"/>
          <w:marBottom w:val="0"/>
          <w:divBdr>
            <w:top w:val="none" w:sz="0" w:space="0" w:color="auto"/>
            <w:left w:val="none" w:sz="0" w:space="0" w:color="auto"/>
            <w:bottom w:val="none" w:sz="0" w:space="0" w:color="auto"/>
            <w:right w:val="none" w:sz="0" w:space="0" w:color="auto"/>
          </w:divBdr>
        </w:div>
      </w:divsChild>
    </w:div>
    <w:div w:id="383870732">
      <w:bodyDiv w:val="1"/>
      <w:marLeft w:val="0"/>
      <w:marRight w:val="0"/>
      <w:marTop w:val="0"/>
      <w:marBottom w:val="0"/>
      <w:divBdr>
        <w:top w:val="none" w:sz="0" w:space="0" w:color="auto"/>
        <w:left w:val="none" w:sz="0" w:space="0" w:color="auto"/>
        <w:bottom w:val="none" w:sz="0" w:space="0" w:color="auto"/>
        <w:right w:val="none" w:sz="0" w:space="0" w:color="auto"/>
      </w:divBdr>
      <w:divsChild>
        <w:div w:id="1494954992">
          <w:marLeft w:val="-720"/>
          <w:marRight w:val="0"/>
          <w:marTop w:val="0"/>
          <w:marBottom w:val="0"/>
          <w:divBdr>
            <w:top w:val="none" w:sz="0" w:space="0" w:color="auto"/>
            <w:left w:val="none" w:sz="0" w:space="0" w:color="auto"/>
            <w:bottom w:val="none" w:sz="0" w:space="0" w:color="auto"/>
            <w:right w:val="none" w:sz="0" w:space="0" w:color="auto"/>
          </w:divBdr>
        </w:div>
      </w:divsChild>
    </w:div>
    <w:div w:id="386954631">
      <w:bodyDiv w:val="1"/>
      <w:marLeft w:val="0"/>
      <w:marRight w:val="0"/>
      <w:marTop w:val="0"/>
      <w:marBottom w:val="0"/>
      <w:divBdr>
        <w:top w:val="none" w:sz="0" w:space="0" w:color="auto"/>
        <w:left w:val="none" w:sz="0" w:space="0" w:color="auto"/>
        <w:bottom w:val="none" w:sz="0" w:space="0" w:color="auto"/>
        <w:right w:val="none" w:sz="0" w:space="0" w:color="auto"/>
      </w:divBdr>
    </w:div>
    <w:div w:id="392897753">
      <w:bodyDiv w:val="1"/>
      <w:marLeft w:val="0"/>
      <w:marRight w:val="0"/>
      <w:marTop w:val="0"/>
      <w:marBottom w:val="0"/>
      <w:divBdr>
        <w:top w:val="none" w:sz="0" w:space="0" w:color="auto"/>
        <w:left w:val="none" w:sz="0" w:space="0" w:color="auto"/>
        <w:bottom w:val="none" w:sz="0" w:space="0" w:color="auto"/>
        <w:right w:val="none" w:sz="0" w:space="0" w:color="auto"/>
      </w:divBdr>
    </w:div>
    <w:div w:id="393116450">
      <w:bodyDiv w:val="1"/>
      <w:marLeft w:val="0"/>
      <w:marRight w:val="0"/>
      <w:marTop w:val="0"/>
      <w:marBottom w:val="0"/>
      <w:divBdr>
        <w:top w:val="none" w:sz="0" w:space="0" w:color="auto"/>
        <w:left w:val="none" w:sz="0" w:space="0" w:color="auto"/>
        <w:bottom w:val="none" w:sz="0" w:space="0" w:color="auto"/>
        <w:right w:val="none" w:sz="0" w:space="0" w:color="auto"/>
      </w:divBdr>
    </w:div>
    <w:div w:id="397364453">
      <w:bodyDiv w:val="1"/>
      <w:marLeft w:val="0"/>
      <w:marRight w:val="0"/>
      <w:marTop w:val="0"/>
      <w:marBottom w:val="0"/>
      <w:divBdr>
        <w:top w:val="none" w:sz="0" w:space="0" w:color="auto"/>
        <w:left w:val="none" w:sz="0" w:space="0" w:color="auto"/>
        <w:bottom w:val="none" w:sz="0" w:space="0" w:color="auto"/>
        <w:right w:val="none" w:sz="0" w:space="0" w:color="auto"/>
      </w:divBdr>
      <w:divsChild>
        <w:div w:id="1797748595">
          <w:marLeft w:val="-720"/>
          <w:marRight w:val="0"/>
          <w:marTop w:val="0"/>
          <w:marBottom w:val="0"/>
          <w:divBdr>
            <w:top w:val="none" w:sz="0" w:space="0" w:color="auto"/>
            <w:left w:val="none" w:sz="0" w:space="0" w:color="auto"/>
            <w:bottom w:val="none" w:sz="0" w:space="0" w:color="auto"/>
            <w:right w:val="none" w:sz="0" w:space="0" w:color="auto"/>
          </w:divBdr>
        </w:div>
      </w:divsChild>
    </w:div>
    <w:div w:id="405347564">
      <w:bodyDiv w:val="1"/>
      <w:marLeft w:val="0"/>
      <w:marRight w:val="0"/>
      <w:marTop w:val="0"/>
      <w:marBottom w:val="0"/>
      <w:divBdr>
        <w:top w:val="none" w:sz="0" w:space="0" w:color="auto"/>
        <w:left w:val="none" w:sz="0" w:space="0" w:color="auto"/>
        <w:bottom w:val="none" w:sz="0" w:space="0" w:color="auto"/>
        <w:right w:val="none" w:sz="0" w:space="0" w:color="auto"/>
      </w:divBdr>
      <w:divsChild>
        <w:div w:id="278756585">
          <w:marLeft w:val="-720"/>
          <w:marRight w:val="0"/>
          <w:marTop w:val="0"/>
          <w:marBottom w:val="0"/>
          <w:divBdr>
            <w:top w:val="none" w:sz="0" w:space="0" w:color="auto"/>
            <w:left w:val="none" w:sz="0" w:space="0" w:color="auto"/>
            <w:bottom w:val="none" w:sz="0" w:space="0" w:color="auto"/>
            <w:right w:val="none" w:sz="0" w:space="0" w:color="auto"/>
          </w:divBdr>
        </w:div>
      </w:divsChild>
    </w:div>
    <w:div w:id="418018205">
      <w:bodyDiv w:val="1"/>
      <w:marLeft w:val="0"/>
      <w:marRight w:val="0"/>
      <w:marTop w:val="0"/>
      <w:marBottom w:val="0"/>
      <w:divBdr>
        <w:top w:val="none" w:sz="0" w:space="0" w:color="auto"/>
        <w:left w:val="none" w:sz="0" w:space="0" w:color="auto"/>
        <w:bottom w:val="none" w:sz="0" w:space="0" w:color="auto"/>
        <w:right w:val="none" w:sz="0" w:space="0" w:color="auto"/>
      </w:divBdr>
      <w:divsChild>
        <w:div w:id="1346519749">
          <w:marLeft w:val="-720"/>
          <w:marRight w:val="0"/>
          <w:marTop w:val="0"/>
          <w:marBottom w:val="0"/>
          <w:divBdr>
            <w:top w:val="none" w:sz="0" w:space="0" w:color="auto"/>
            <w:left w:val="none" w:sz="0" w:space="0" w:color="auto"/>
            <w:bottom w:val="none" w:sz="0" w:space="0" w:color="auto"/>
            <w:right w:val="none" w:sz="0" w:space="0" w:color="auto"/>
          </w:divBdr>
        </w:div>
      </w:divsChild>
    </w:div>
    <w:div w:id="436828543">
      <w:bodyDiv w:val="1"/>
      <w:marLeft w:val="0"/>
      <w:marRight w:val="0"/>
      <w:marTop w:val="0"/>
      <w:marBottom w:val="0"/>
      <w:divBdr>
        <w:top w:val="none" w:sz="0" w:space="0" w:color="auto"/>
        <w:left w:val="none" w:sz="0" w:space="0" w:color="auto"/>
        <w:bottom w:val="none" w:sz="0" w:space="0" w:color="auto"/>
        <w:right w:val="none" w:sz="0" w:space="0" w:color="auto"/>
      </w:divBdr>
    </w:div>
    <w:div w:id="437601517">
      <w:bodyDiv w:val="1"/>
      <w:marLeft w:val="0"/>
      <w:marRight w:val="0"/>
      <w:marTop w:val="0"/>
      <w:marBottom w:val="0"/>
      <w:divBdr>
        <w:top w:val="none" w:sz="0" w:space="0" w:color="auto"/>
        <w:left w:val="none" w:sz="0" w:space="0" w:color="auto"/>
        <w:bottom w:val="none" w:sz="0" w:space="0" w:color="auto"/>
        <w:right w:val="none" w:sz="0" w:space="0" w:color="auto"/>
      </w:divBdr>
    </w:div>
    <w:div w:id="452553339">
      <w:bodyDiv w:val="1"/>
      <w:marLeft w:val="0"/>
      <w:marRight w:val="0"/>
      <w:marTop w:val="0"/>
      <w:marBottom w:val="0"/>
      <w:divBdr>
        <w:top w:val="none" w:sz="0" w:space="0" w:color="auto"/>
        <w:left w:val="none" w:sz="0" w:space="0" w:color="auto"/>
        <w:bottom w:val="none" w:sz="0" w:space="0" w:color="auto"/>
        <w:right w:val="none" w:sz="0" w:space="0" w:color="auto"/>
      </w:divBdr>
    </w:div>
    <w:div w:id="456143899">
      <w:bodyDiv w:val="1"/>
      <w:marLeft w:val="0"/>
      <w:marRight w:val="0"/>
      <w:marTop w:val="0"/>
      <w:marBottom w:val="0"/>
      <w:divBdr>
        <w:top w:val="none" w:sz="0" w:space="0" w:color="auto"/>
        <w:left w:val="none" w:sz="0" w:space="0" w:color="auto"/>
        <w:bottom w:val="none" w:sz="0" w:space="0" w:color="auto"/>
        <w:right w:val="none" w:sz="0" w:space="0" w:color="auto"/>
      </w:divBdr>
      <w:divsChild>
        <w:div w:id="63383198">
          <w:marLeft w:val="-720"/>
          <w:marRight w:val="0"/>
          <w:marTop w:val="0"/>
          <w:marBottom w:val="0"/>
          <w:divBdr>
            <w:top w:val="none" w:sz="0" w:space="0" w:color="auto"/>
            <w:left w:val="none" w:sz="0" w:space="0" w:color="auto"/>
            <w:bottom w:val="none" w:sz="0" w:space="0" w:color="auto"/>
            <w:right w:val="none" w:sz="0" w:space="0" w:color="auto"/>
          </w:divBdr>
        </w:div>
      </w:divsChild>
    </w:div>
    <w:div w:id="468480880">
      <w:bodyDiv w:val="1"/>
      <w:marLeft w:val="0"/>
      <w:marRight w:val="0"/>
      <w:marTop w:val="0"/>
      <w:marBottom w:val="0"/>
      <w:divBdr>
        <w:top w:val="none" w:sz="0" w:space="0" w:color="auto"/>
        <w:left w:val="none" w:sz="0" w:space="0" w:color="auto"/>
        <w:bottom w:val="none" w:sz="0" w:space="0" w:color="auto"/>
        <w:right w:val="none" w:sz="0" w:space="0" w:color="auto"/>
      </w:divBdr>
      <w:divsChild>
        <w:div w:id="478570994">
          <w:marLeft w:val="-720"/>
          <w:marRight w:val="0"/>
          <w:marTop w:val="0"/>
          <w:marBottom w:val="0"/>
          <w:divBdr>
            <w:top w:val="none" w:sz="0" w:space="0" w:color="auto"/>
            <w:left w:val="none" w:sz="0" w:space="0" w:color="auto"/>
            <w:bottom w:val="none" w:sz="0" w:space="0" w:color="auto"/>
            <w:right w:val="none" w:sz="0" w:space="0" w:color="auto"/>
          </w:divBdr>
        </w:div>
      </w:divsChild>
    </w:div>
    <w:div w:id="473909078">
      <w:bodyDiv w:val="1"/>
      <w:marLeft w:val="0"/>
      <w:marRight w:val="0"/>
      <w:marTop w:val="0"/>
      <w:marBottom w:val="0"/>
      <w:divBdr>
        <w:top w:val="none" w:sz="0" w:space="0" w:color="auto"/>
        <w:left w:val="none" w:sz="0" w:space="0" w:color="auto"/>
        <w:bottom w:val="none" w:sz="0" w:space="0" w:color="auto"/>
        <w:right w:val="none" w:sz="0" w:space="0" w:color="auto"/>
      </w:divBdr>
    </w:div>
    <w:div w:id="475532049">
      <w:bodyDiv w:val="1"/>
      <w:marLeft w:val="0"/>
      <w:marRight w:val="0"/>
      <w:marTop w:val="0"/>
      <w:marBottom w:val="0"/>
      <w:divBdr>
        <w:top w:val="none" w:sz="0" w:space="0" w:color="auto"/>
        <w:left w:val="none" w:sz="0" w:space="0" w:color="auto"/>
        <w:bottom w:val="none" w:sz="0" w:space="0" w:color="auto"/>
        <w:right w:val="none" w:sz="0" w:space="0" w:color="auto"/>
      </w:divBdr>
      <w:divsChild>
        <w:div w:id="1761951088">
          <w:marLeft w:val="-720"/>
          <w:marRight w:val="0"/>
          <w:marTop w:val="0"/>
          <w:marBottom w:val="0"/>
          <w:divBdr>
            <w:top w:val="none" w:sz="0" w:space="0" w:color="auto"/>
            <w:left w:val="none" w:sz="0" w:space="0" w:color="auto"/>
            <w:bottom w:val="none" w:sz="0" w:space="0" w:color="auto"/>
            <w:right w:val="none" w:sz="0" w:space="0" w:color="auto"/>
          </w:divBdr>
        </w:div>
      </w:divsChild>
    </w:div>
    <w:div w:id="492989752">
      <w:bodyDiv w:val="1"/>
      <w:marLeft w:val="0"/>
      <w:marRight w:val="0"/>
      <w:marTop w:val="0"/>
      <w:marBottom w:val="0"/>
      <w:divBdr>
        <w:top w:val="none" w:sz="0" w:space="0" w:color="auto"/>
        <w:left w:val="none" w:sz="0" w:space="0" w:color="auto"/>
        <w:bottom w:val="none" w:sz="0" w:space="0" w:color="auto"/>
        <w:right w:val="none" w:sz="0" w:space="0" w:color="auto"/>
      </w:divBdr>
    </w:div>
    <w:div w:id="496043421">
      <w:bodyDiv w:val="1"/>
      <w:marLeft w:val="0"/>
      <w:marRight w:val="0"/>
      <w:marTop w:val="0"/>
      <w:marBottom w:val="0"/>
      <w:divBdr>
        <w:top w:val="none" w:sz="0" w:space="0" w:color="auto"/>
        <w:left w:val="none" w:sz="0" w:space="0" w:color="auto"/>
        <w:bottom w:val="none" w:sz="0" w:space="0" w:color="auto"/>
        <w:right w:val="none" w:sz="0" w:space="0" w:color="auto"/>
      </w:divBdr>
      <w:divsChild>
        <w:div w:id="2088574208">
          <w:marLeft w:val="-720"/>
          <w:marRight w:val="0"/>
          <w:marTop w:val="0"/>
          <w:marBottom w:val="0"/>
          <w:divBdr>
            <w:top w:val="none" w:sz="0" w:space="0" w:color="auto"/>
            <w:left w:val="none" w:sz="0" w:space="0" w:color="auto"/>
            <w:bottom w:val="none" w:sz="0" w:space="0" w:color="auto"/>
            <w:right w:val="none" w:sz="0" w:space="0" w:color="auto"/>
          </w:divBdr>
        </w:div>
      </w:divsChild>
    </w:div>
    <w:div w:id="496504992">
      <w:bodyDiv w:val="1"/>
      <w:marLeft w:val="0"/>
      <w:marRight w:val="0"/>
      <w:marTop w:val="0"/>
      <w:marBottom w:val="0"/>
      <w:divBdr>
        <w:top w:val="none" w:sz="0" w:space="0" w:color="auto"/>
        <w:left w:val="none" w:sz="0" w:space="0" w:color="auto"/>
        <w:bottom w:val="none" w:sz="0" w:space="0" w:color="auto"/>
        <w:right w:val="none" w:sz="0" w:space="0" w:color="auto"/>
      </w:divBdr>
    </w:div>
    <w:div w:id="500198620">
      <w:bodyDiv w:val="1"/>
      <w:marLeft w:val="0"/>
      <w:marRight w:val="0"/>
      <w:marTop w:val="0"/>
      <w:marBottom w:val="0"/>
      <w:divBdr>
        <w:top w:val="none" w:sz="0" w:space="0" w:color="auto"/>
        <w:left w:val="none" w:sz="0" w:space="0" w:color="auto"/>
        <w:bottom w:val="none" w:sz="0" w:space="0" w:color="auto"/>
        <w:right w:val="none" w:sz="0" w:space="0" w:color="auto"/>
      </w:divBdr>
      <w:divsChild>
        <w:div w:id="718088384">
          <w:marLeft w:val="0"/>
          <w:marRight w:val="0"/>
          <w:marTop w:val="0"/>
          <w:marBottom w:val="0"/>
          <w:divBdr>
            <w:top w:val="none" w:sz="0" w:space="0" w:color="auto"/>
            <w:left w:val="none" w:sz="0" w:space="0" w:color="auto"/>
            <w:bottom w:val="none" w:sz="0" w:space="0" w:color="auto"/>
            <w:right w:val="none" w:sz="0" w:space="0" w:color="auto"/>
          </w:divBdr>
          <w:divsChild>
            <w:div w:id="1387679210">
              <w:marLeft w:val="0"/>
              <w:marRight w:val="0"/>
              <w:marTop w:val="0"/>
              <w:marBottom w:val="0"/>
              <w:divBdr>
                <w:top w:val="none" w:sz="0" w:space="0" w:color="auto"/>
                <w:left w:val="none" w:sz="0" w:space="0" w:color="auto"/>
                <w:bottom w:val="none" w:sz="0" w:space="0" w:color="auto"/>
                <w:right w:val="none" w:sz="0" w:space="0" w:color="auto"/>
              </w:divBdr>
              <w:divsChild>
                <w:div w:id="1420298226">
                  <w:marLeft w:val="0"/>
                  <w:marRight w:val="0"/>
                  <w:marTop w:val="0"/>
                  <w:marBottom w:val="0"/>
                  <w:divBdr>
                    <w:top w:val="none" w:sz="0" w:space="0" w:color="auto"/>
                    <w:left w:val="none" w:sz="0" w:space="0" w:color="auto"/>
                    <w:bottom w:val="none" w:sz="0" w:space="0" w:color="auto"/>
                    <w:right w:val="none" w:sz="0" w:space="0" w:color="auto"/>
                  </w:divBdr>
                  <w:divsChild>
                    <w:div w:id="1677077863">
                      <w:marLeft w:val="0"/>
                      <w:marRight w:val="0"/>
                      <w:marTop w:val="0"/>
                      <w:marBottom w:val="0"/>
                      <w:divBdr>
                        <w:top w:val="none" w:sz="0" w:space="0" w:color="auto"/>
                        <w:left w:val="none" w:sz="0" w:space="0" w:color="auto"/>
                        <w:bottom w:val="none" w:sz="0" w:space="0" w:color="auto"/>
                        <w:right w:val="none" w:sz="0" w:space="0" w:color="auto"/>
                      </w:divBdr>
                      <w:divsChild>
                        <w:div w:id="651904715">
                          <w:marLeft w:val="0"/>
                          <w:marRight w:val="0"/>
                          <w:marTop w:val="0"/>
                          <w:marBottom w:val="0"/>
                          <w:divBdr>
                            <w:top w:val="none" w:sz="0" w:space="0" w:color="auto"/>
                            <w:left w:val="none" w:sz="0" w:space="0" w:color="auto"/>
                            <w:bottom w:val="none" w:sz="0" w:space="0" w:color="auto"/>
                            <w:right w:val="none" w:sz="0" w:space="0" w:color="auto"/>
                          </w:divBdr>
                          <w:divsChild>
                            <w:div w:id="1801217516">
                              <w:marLeft w:val="0"/>
                              <w:marRight w:val="0"/>
                              <w:marTop w:val="0"/>
                              <w:marBottom w:val="0"/>
                              <w:divBdr>
                                <w:top w:val="none" w:sz="0" w:space="0" w:color="auto"/>
                                <w:left w:val="none" w:sz="0" w:space="0" w:color="auto"/>
                                <w:bottom w:val="none" w:sz="0" w:space="0" w:color="auto"/>
                                <w:right w:val="none" w:sz="0" w:space="0" w:color="auto"/>
                              </w:divBdr>
                              <w:divsChild>
                                <w:div w:id="910232379">
                                  <w:marLeft w:val="0"/>
                                  <w:marRight w:val="0"/>
                                  <w:marTop w:val="0"/>
                                  <w:marBottom w:val="0"/>
                                  <w:divBdr>
                                    <w:top w:val="none" w:sz="0" w:space="0" w:color="auto"/>
                                    <w:left w:val="none" w:sz="0" w:space="0" w:color="auto"/>
                                    <w:bottom w:val="none" w:sz="0" w:space="0" w:color="auto"/>
                                    <w:right w:val="none" w:sz="0" w:space="0" w:color="auto"/>
                                  </w:divBdr>
                                  <w:divsChild>
                                    <w:div w:id="1568418667">
                                      <w:marLeft w:val="0"/>
                                      <w:marRight w:val="0"/>
                                      <w:marTop w:val="0"/>
                                      <w:marBottom w:val="0"/>
                                      <w:divBdr>
                                        <w:top w:val="none" w:sz="0" w:space="0" w:color="auto"/>
                                        <w:left w:val="none" w:sz="0" w:space="0" w:color="auto"/>
                                        <w:bottom w:val="none" w:sz="0" w:space="0" w:color="auto"/>
                                        <w:right w:val="none" w:sz="0" w:space="0" w:color="auto"/>
                                      </w:divBdr>
                                      <w:divsChild>
                                        <w:div w:id="1735463983">
                                          <w:marLeft w:val="0"/>
                                          <w:marRight w:val="0"/>
                                          <w:marTop w:val="0"/>
                                          <w:marBottom w:val="0"/>
                                          <w:divBdr>
                                            <w:top w:val="none" w:sz="0" w:space="0" w:color="auto"/>
                                            <w:left w:val="none" w:sz="0" w:space="0" w:color="auto"/>
                                            <w:bottom w:val="none" w:sz="0" w:space="0" w:color="auto"/>
                                            <w:right w:val="none" w:sz="0" w:space="0" w:color="auto"/>
                                          </w:divBdr>
                                          <w:divsChild>
                                            <w:div w:id="1856189373">
                                              <w:marLeft w:val="0"/>
                                              <w:marRight w:val="0"/>
                                              <w:marTop w:val="0"/>
                                              <w:marBottom w:val="0"/>
                                              <w:divBdr>
                                                <w:top w:val="none" w:sz="0" w:space="0" w:color="auto"/>
                                                <w:left w:val="none" w:sz="0" w:space="0" w:color="auto"/>
                                                <w:bottom w:val="none" w:sz="0" w:space="0" w:color="auto"/>
                                                <w:right w:val="none" w:sz="0" w:space="0" w:color="auto"/>
                                              </w:divBdr>
                                              <w:divsChild>
                                                <w:div w:id="1563053164">
                                                  <w:marLeft w:val="0"/>
                                                  <w:marRight w:val="0"/>
                                                  <w:marTop w:val="0"/>
                                                  <w:marBottom w:val="0"/>
                                                  <w:divBdr>
                                                    <w:top w:val="none" w:sz="0" w:space="0" w:color="auto"/>
                                                    <w:left w:val="none" w:sz="0" w:space="0" w:color="auto"/>
                                                    <w:bottom w:val="none" w:sz="0" w:space="0" w:color="auto"/>
                                                    <w:right w:val="none" w:sz="0" w:space="0" w:color="auto"/>
                                                  </w:divBdr>
                                                  <w:divsChild>
                                                    <w:div w:id="248543613">
                                                      <w:marLeft w:val="0"/>
                                                      <w:marRight w:val="0"/>
                                                      <w:marTop w:val="0"/>
                                                      <w:marBottom w:val="0"/>
                                                      <w:divBdr>
                                                        <w:top w:val="none" w:sz="0" w:space="0" w:color="auto"/>
                                                        <w:left w:val="none" w:sz="0" w:space="0" w:color="auto"/>
                                                        <w:bottom w:val="none" w:sz="0" w:space="0" w:color="auto"/>
                                                        <w:right w:val="none" w:sz="0" w:space="0" w:color="auto"/>
                                                      </w:divBdr>
                                                      <w:divsChild>
                                                        <w:div w:id="127343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3509292">
          <w:marLeft w:val="0"/>
          <w:marRight w:val="0"/>
          <w:marTop w:val="0"/>
          <w:marBottom w:val="0"/>
          <w:divBdr>
            <w:top w:val="none" w:sz="0" w:space="0" w:color="auto"/>
            <w:left w:val="none" w:sz="0" w:space="0" w:color="auto"/>
            <w:bottom w:val="none" w:sz="0" w:space="0" w:color="auto"/>
            <w:right w:val="none" w:sz="0" w:space="0" w:color="auto"/>
          </w:divBdr>
          <w:divsChild>
            <w:div w:id="488864108">
              <w:marLeft w:val="0"/>
              <w:marRight w:val="0"/>
              <w:marTop w:val="0"/>
              <w:marBottom w:val="0"/>
              <w:divBdr>
                <w:top w:val="none" w:sz="0" w:space="0" w:color="auto"/>
                <w:left w:val="none" w:sz="0" w:space="0" w:color="auto"/>
                <w:bottom w:val="none" w:sz="0" w:space="0" w:color="auto"/>
                <w:right w:val="none" w:sz="0" w:space="0" w:color="auto"/>
              </w:divBdr>
              <w:divsChild>
                <w:div w:id="1874727818">
                  <w:marLeft w:val="0"/>
                  <w:marRight w:val="0"/>
                  <w:marTop w:val="0"/>
                  <w:marBottom w:val="0"/>
                  <w:divBdr>
                    <w:top w:val="none" w:sz="0" w:space="0" w:color="auto"/>
                    <w:left w:val="none" w:sz="0" w:space="0" w:color="auto"/>
                    <w:bottom w:val="none" w:sz="0" w:space="0" w:color="auto"/>
                    <w:right w:val="none" w:sz="0" w:space="0" w:color="auto"/>
                  </w:divBdr>
                  <w:divsChild>
                    <w:div w:id="145883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059257">
      <w:bodyDiv w:val="1"/>
      <w:marLeft w:val="0"/>
      <w:marRight w:val="0"/>
      <w:marTop w:val="0"/>
      <w:marBottom w:val="0"/>
      <w:divBdr>
        <w:top w:val="none" w:sz="0" w:space="0" w:color="auto"/>
        <w:left w:val="none" w:sz="0" w:space="0" w:color="auto"/>
        <w:bottom w:val="none" w:sz="0" w:space="0" w:color="auto"/>
        <w:right w:val="none" w:sz="0" w:space="0" w:color="auto"/>
      </w:divBdr>
    </w:div>
    <w:div w:id="524446144">
      <w:bodyDiv w:val="1"/>
      <w:marLeft w:val="0"/>
      <w:marRight w:val="0"/>
      <w:marTop w:val="0"/>
      <w:marBottom w:val="0"/>
      <w:divBdr>
        <w:top w:val="none" w:sz="0" w:space="0" w:color="auto"/>
        <w:left w:val="none" w:sz="0" w:space="0" w:color="auto"/>
        <w:bottom w:val="none" w:sz="0" w:space="0" w:color="auto"/>
        <w:right w:val="none" w:sz="0" w:space="0" w:color="auto"/>
      </w:divBdr>
    </w:div>
    <w:div w:id="532428799">
      <w:bodyDiv w:val="1"/>
      <w:marLeft w:val="0"/>
      <w:marRight w:val="0"/>
      <w:marTop w:val="0"/>
      <w:marBottom w:val="0"/>
      <w:divBdr>
        <w:top w:val="none" w:sz="0" w:space="0" w:color="auto"/>
        <w:left w:val="none" w:sz="0" w:space="0" w:color="auto"/>
        <w:bottom w:val="none" w:sz="0" w:space="0" w:color="auto"/>
        <w:right w:val="none" w:sz="0" w:space="0" w:color="auto"/>
      </w:divBdr>
    </w:div>
    <w:div w:id="545216874">
      <w:bodyDiv w:val="1"/>
      <w:marLeft w:val="0"/>
      <w:marRight w:val="0"/>
      <w:marTop w:val="0"/>
      <w:marBottom w:val="0"/>
      <w:divBdr>
        <w:top w:val="none" w:sz="0" w:space="0" w:color="auto"/>
        <w:left w:val="none" w:sz="0" w:space="0" w:color="auto"/>
        <w:bottom w:val="none" w:sz="0" w:space="0" w:color="auto"/>
        <w:right w:val="none" w:sz="0" w:space="0" w:color="auto"/>
      </w:divBdr>
      <w:divsChild>
        <w:div w:id="1852866149">
          <w:marLeft w:val="-720"/>
          <w:marRight w:val="0"/>
          <w:marTop w:val="0"/>
          <w:marBottom w:val="0"/>
          <w:divBdr>
            <w:top w:val="none" w:sz="0" w:space="0" w:color="auto"/>
            <w:left w:val="none" w:sz="0" w:space="0" w:color="auto"/>
            <w:bottom w:val="none" w:sz="0" w:space="0" w:color="auto"/>
            <w:right w:val="none" w:sz="0" w:space="0" w:color="auto"/>
          </w:divBdr>
        </w:div>
      </w:divsChild>
    </w:div>
    <w:div w:id="545264866">
      <w:bodyDiv w:val="1"/>
      <w:marLeft w:val="0"/>
      <w:marRight w:val="0"/>
      <w:marTop w:val="0"/>
      <w:marBottom w:val="0"/>
      <w:divBdr>
        <w:top w:val="none" w:sz="0" w:space="0" w:color="auto"/>
        <w:left w:val="none" w:sz="0" w:space="0" w:color="auto"/>
        <w:bottom w:val="none" w:sz="0" w:space="0" w:color="auto"/>
        <w:right w:val="none" w:sz="0" w:space="0" w:color="auto"/>
      </w:divBdr>
    </w:div>
    <w:div w:id="556744853">
      <w:bodyDiv w:val="1"/>
      <w:marLeft w:val="0"/>
      <w:marRight w:val="0"/>
      <w:marTop w:val="0"/>
      <w:marBottom w:val="0"/>
      <w:divBdr>
        <w:top w:val="none" w:sz="0" w:space="0" w:color="auto"/>
        <w:left w:val="none" w:sz="0" w:space="0" w:color="auto"/>
        <w:bottom w:val="none" w:sz="0" w:space="0" w:color="auto"/>
        <w:right w:val="none" w:sz="0" w:space="0" w:color="auto"/>
      </w:divBdr>
    </w:div>
    <w:div w:id="567422098">
      <w:bodyDiv w:val="1"/>
      <w:marLeft w:val="0"/>
      <w:marRight w:val="0"/>
      <w:marTop w:val="0"/>
      <w:marBottom w:val="0"/>
      <w:divBdr>
        <w:top w:val="none" w:sz="0" w:space="0" w:color="auto"/>
        <w:left w:val="none" w:sz="0" w:space="0" w:color="auto"/>
        <w:bottom w:val="none" w:sz="0" w:space="0" w:color="auto"/>
        <w:right w:val="none" w:sz="0" w:space="0" w:color="auto"/>
      </w:divBdr>
    </w:div>
    <w:div w:id="570627299">
      <w:bodyDiv w:val="1"/>
      <w:marLeft w:val="0"/>
      <w:marRight w:val="0"/>
      <w:marTop w:val="0"/>
      <w:marBottom w:val="0"/>
      <w:divBdr>
        <w:top w:val="none" w:sz="0" w:space="0" w:color="auto"/>
        <w:left w:val="none" w:sz="0" w:space="0" w:color="auto"/>
        <w:bottom w:val="none" w:sz="0" w:space="0" w:color="auto"/>
        <w:right w:val="none" w:sz="0" w:space="0" w:color="auto"/>
      </w:divBdr>
    </w:div>
    <w:div w:id="573664668">
      <w:bodyDiv w:val="1"/>
      <w:marLeft w:val="0"/>
      <w:marRight w:val="0"/>
      <w:marTop w:val="0"/>
      <w:marBottom w:val="0"/>
      <w:divBdr>
        <w:top w:val="none" w:sz="0" w:space="0" w:color="auto"/>
        <w:left w:val="none" w:sz="0" w:space="0" w:color="auto"/>
        <w:bottom w:val="none" w:sz="0" w:space="0" w:color="auto"/>
        <w:right w:val="none" w:sz="0" w:space="0" w:color="auto"/>
      </w:divBdr>
    </w:div>
    <w:div w:id="580070173">
      <w:bodyDiv w:val="1"/>
      <w:marLeft w:val="0"/>
      <w:marRight w:val="0"/>
      <w:marTop w:val="0"/>
      <w:marBottom w:val="0"/>
      <w:divBdr>
        <w:top w:val="none" w:sz="0" w:space="0" w:color="auto"/>
        <w:left w:val="none" w:sz="0" w:space="0" w:color="auto"/>
        <w:bottom w:val="none" w:sz="0" w:space="0" w:color="auto"/>
        <w:right w:val="none" w:sz="0" w:space="0" w:color="auto"/>
      </w:divBdr>
      <w:divsChild>
        <w:div w:id="1344815840">
          <w:marLeft w:val="-720"/>
          <w:marRight w:val="0"/>
          <w:marTop w:val="0"/>
          <w:marBottom w:val="0"/>
          <w:divBdr>
            <w:top w:val="none" w:sz="0" w:space="0" w:color="auto"/>
            <w:left w:val="none" w:sz="0" w:space="0" w:color="auto"/>
            <w:bottom w:val="none" w:sz="0" w:space="0" w:color="auto"/>
            <w:right w:val="none" w:sz="0" w:space="0" w:color="auto"/>
          </w:divBdr>
        </w:div>
      </w:divsChild>
    </w:div>
    <w:div w:id="590891235">
      <w:bodyDiv w:val="1"/>
      <w:marLeft w:val="0"/>
      <w:marRight w:val="0"/>
      <w:marTop w:val="0"/>
      <w:marBottom w:val="0"/>
      <w:divBdr>
        <w:top w:val="none" w:sz="0" w:space="0" w:color="auto"/>
        <w:left w:val="none" w:sz="0" w:space="0" w:color="auto"/>
        <w:bottom w:val="none" w:sz="0" w:space="0" w:color="auto"/>
        <w:right w:val="none" w:sz="0" w:space="0" w:color="auto"/>
      </w:divBdr>
    </w:div>
    <w:div w:id="591816345">
      <w:bodyDiv w:val="1"/>
      <w:marLeft w:val="0"/>
      <w:marRight w:val="0"/>
      <w:marTop w:val="0"/>
      <w:marBottom w:val="0"/>
      <w:divBdr>
        <w:top w:val="none" w:sz="0" w:space="0" w:color="auto"/>
        <w:left w:val="none" w:sz="0" w:space="0" w:color="auto"/>
        <w:bottom w:val="none" w:sz="0" w:space="0" w:color="auto"/>
        <w:right w:val="none" w:sz="0" w:space="0" w:color="auto"/>
      </w:divBdr>
    </w:div>
    <w:div w:id="594753163">
      <w:bodyDiv w:val="1"/>
      <w:marLeft w:val="0"/>
      <w:marRight w:val="0"/>
      <w:marTop w:val="0"/>
      <w:marBottom w:val="0"/>
      <w:divBdr>
        <w:top w:val="none" w:sz="0" w:space="0" w:color="auto"/>
        <w:left w:val="none" w:sz="0" w:space="0" w:color="auto"/>
        <w:bottom w:val="none" w:sz="0" w:space="0" w:color="auto"/>
        <w:right w:val="none" w:sz="0" w:space="0" w:color="auto"/>
      </w:divBdr>
    </w:div>
    <w:div w:id="599685493">
      <w:bodyDiv w:val="1"/>
      <w:marLeft w:val="0"/>
      <w:marRight w:val="0"/>
      <w:marTop w:val="0"/>
      <w:marBottom w:val="0"/>
      <w:divBdr>
        <w:top w:val="none" w:sz="0" w:space="0" w:color="auto"/>
        <w:left w:val="none" w:sz="0" w:space="0" w:color="auto"/>
        <w:bottom w:val="none" w:sz="0" w:space="0" w:color="auto"/>
        <w:right w:val="none" w:sz="0" w:space="0" w:color="auto"/>
      </w:divBdr>
    </w:div>
    <w:div w:id="602151606">
      <w:bodyDiv w:val="1"/>
      <w:marLeft w:val="0"/>
      <w:marRight w:val="0"/>
      <w:marTop w:val="0"/>
      <w:marBottom w:val="0"/>
      <w:divBdr>
        <w:top w:val="none" w:sz="0" w:space="0" w:color="auto"/>
        <w:left w:val="none" w:sz="0" w:space="0" w:color="auto"/>
        <w:bottom w:val="none" w:sz="0" w:space="0" w:color="auto"/>
        <w:right w:val="none" w:sz="0" w:space="0" w:color="auto"/>
      </w:divBdr>
    </w:div>
    <w:div w:id="603997669">
      <w:bodyDiv w:val="1"/>
      <w:marLeft w:val="0"/>
      <w:marRight w:val="0"/>
      <w:marTop w:val="0"/>
      <w:marBottom w:val="0"/>
      <w:divBdr>
        <w:top w:val="none" w:sz="0" w:space="0" w:color="auto"/>
        <w:left w:val="none" w:sz="0" w:space="0" w:color="auto"/>
        <w:bottom w:val="none" w:sz="0" w:space="0" w:color="auto"/>
        <w:right w:val="none" w:sz="0" w:space="0" w:color="auto"/>
      </w:divBdr>
    </w:div>
    <w:div w:id="606354239">
      <w:bodyDiv w:val="1"/>
      <w:marLeft w:val="0"/>
      <w:marRight w:val="0"/>
      <w:marTop w:val="0"/>
      <w:marBottom w:val="0"/>
      <w:divBdr>
        <w:top w:val="none" w:sz="0" w:space="0" w:color="auto"/>
        <w:left w:val="none" w:sz="0" w:space="0" w:color="auto"/>
        <w:bottom w:val="none" w:sz="0" w:space="0" w:color="auto"/>
        <w:right w:val="none" w:sz="0" w:space="0" w:color="auto"/>
      </w:divBdr>
      <w:divsChild>
        <w:div w:id="1138188005">
          <w:marLeft w:val="-720"/>
          <w:marRight w:val="0"/>
          <w:marTop w:val="0"/>
          <w:marBottom w:val="0"/>
          <w:divBdr>
            <w:top w:val="none" w:sz="0" w:space="0" w:color="auto"/>
            <w:left w:val="none" w:sz="0" w:space="0" w:color="auto"/>
            <w:bottom w:val="none" w:sz="0" w:space="0" w:color="auto"/>
            <w:right w:val="none" w:sz="0" w:space="0" w:color="auto"/>
          </w:divBdr>
        </w:div>
      </w:divsChild>
    </w:div>
    <w:div w:id="610815958">
      <w:bodyDiv w:val="1"/>
      <w:marLeft w:val="0"/>
      <w:marRight w:val="0"/>
      <w:marTop w:val="0"/>
      <w:marBottom w:val="0"/>
      <w:divBdr>
        <w:top w:val="none" w:sz="0" w:space="0" w:color="auto"/>
        <w:left w:val="none" w:sz="0" w:space="0" w:color="auto"/>
        <w:bottom w:val="none" w:sz="0" w:space="0" w:color="auto"/>
        <w:right w:val="none" w:sz="0" w:space="0" w:color="auto"/>
      </w:divBdr>
      <w:divsChild>
        <w:div w:id="1763603562">
          <w:marLeft w:val="0"/>
          <w:marRight w:val="0"/>
          <w:marTop w:val="0"/>
          <w:marBottom w:val="0"/>
          <w:divBdr>
            <w:top w:val="none" w:sz="0" w:space="0" w:color="auto"/>
            <w:left w:val="none" w:sz="0" w:space="0" w:color="auto"/>
            <w:bottom w:val="none" w:sz="0" w:space="0" w:color="auto"/>
            <w:right w:val="none" w:sz="0" w:space="0" w:color="auto"/>
          </w:divBdr>
          <w:divsChild>
            <w:div w:id="828208753">
              <w:marLeft w:val="0"/>
              <w:marRight w:val="0"/>
              <w:marTop w:val="0"/>
              <w:marBottom w:val="0"/>
              <w:divBdr>
                <w:top w:val="none" w:sz="0" w:space="0" w:color="auto"/>
                <w:left w:val="none" w:sz="0" w:space="0" w:color="auto"/>
                <w:bottom w:val="none" w:sz="0" w:space="0" w:color="auto"/>
                <w:right w:val="none" w:sz="0" w:space="0" w:color="auto"/>
              </w:divBdr>
              <w:divsChild>
                <w:div w:id="1702046027">
                  <w:marLeft w:val="0"/>
                  <w:marRight w:val="0"/>
                  <w:marTop w:val="0"/>
                  <w:marBottom w:val="0"/>
                  <w:divBdr>
                    <w:top w:val="none" w:sz="0" w:space="0" w:color="auto"/>
                    <w:left w:val="none" w:sz="0" w:space="0" w:color="auto"/>
                    <w:bottom w:val="none" w:sz="0" w:space="0" w:color="auto"/>
                    <w:right w:val="none" w:sz="0" w:space="0" w:color="auto"/>
                  </w:divBdr>
                  <w:divsChild>
                    <w:div w:id="179224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292622">
      <w:bodyDiv w:val="1"/>
      <w:marLeft w:val="0"/>
      <w:marRight w:val="0"/>
      <w:marTop w:val="0"/>
      <w:marBottom w:val="0"/>
      <w:divBdr>
        <w:top w:val="none" w:sz="0" w:space="0" w:color="auto"/>
        <w:left w:val="none" w:sz="0" w:space="0" w:color="auto"/>
        <w:bottom w:val="none" w:sz="0" w:space="0" w:color="auto"/>
        <w:right w:val="none" w:sz="0" w:space="0" w:color="auto"/>
      </w:divBdr>
    </w:div>
    <w:div w:id="613368320">
      <w:bodyDiv w:val="1"/>
      <w:marLeft w:val="0"/>
      <w:marRight w:val="0"/>
      <w:marTop w:val="0"/>
      <w:marBottom w:val="0"/>
      <w:divBdr>
        <w:top w:val="none" w:sz="0" w:space="0" w:color="auto"/>
        <w:left w:val="none" w:sz="0" w:space="0" w:color="auto"/>
        <w:bottom w:val="none" w:sz="0" w:space="0" w:color="auto"/>
        <w:right w:val="none" w:sz="0" w:space="0" w:color="auto"/>
      </w:divBdr>
    </w:div>
    <w:div w:id="619074108">
      <w:bodyDiv w:val="1"/>
      <w:marLeft w:val="0"/>
      <w:marRight w:val="0"/>
      <w:marTop w:val="0"/>
      <w:marBottom w:val="0"/>
      <w:divBdr>
        <w:top w:val="none" w:sz="0" w:space="0" w:color="auto"/>
        <w:left w:val="none" w:sz="0" w:space="0" w:color="auto"/>
        <w:bottom w:val="none" w:sz="0" w:space="0" w:color="auto"/>
        <w:right w:val="none" w:sz="0" w:space="0" w:color="auto"/>
      </w:divBdr>
      <w:divsChild>
        <w:div w:id="1166363617">
          <w:marLeft w:val="-720"/>
          <w:marRight w:val="0"/>
          <w:marTop w:val="0"/>
          <w:marBottom w:val="0"/>
          <w:divBdr>
            <w:top w:val="none" w:sz="0" w:space="0" w:color="auto"/>
            <w:left w:val="none" w:sz="0" w:space="0" w:color="auto"/>
            <w:bottom w:val="none" w:sz="0" w:space="0" w:color="auto"/>
            <w:right w:val="none" w:sz="0" w:space="0" w:color="auto"/>
          </w:divBdr>
        </w:div>
      </w:divsChild>
    </w:div>
    <w:div w:id="621956970">
      <w:bodyDiv w:val="1"/>
      <w:marLeft w:val="0"/>
      <w:marRight w:val="0"/>
      <w:marTop w:val="0"/>
      <w:marBottom w:val="0"/>
      <w:divBdr>
        <w:top w:val="none" w:sz="0" w:space="0" w:color="auto"/>
        <w:left w:val="none" w:sz="0" w:space="0" w:color="auto"/>
        <w:bottom w:val="none" w:sz="0" w:space="0" w:color="auto"/>
        <w:right w:val="none" w:sz="0" w:space="0" w:color="auto"/>
      </w:divBdr>
    </w:div>
    <w:div w:id="636839271">
      <w:bodyDiv w:val="1"/>
      <w:marLeft w:val="0"/>
      <w:marRight w:val="0"/>
      <w:marTop w:val="0"/>
      <w:marBottom w:val="0"/>
      <w:divBdr>
        <w:top w:val="none" w:sz="0" w:space="0" w:color="auto"/>
        <w:left w:val="none" w:sz="0" w:space="0" w:color="auto"/>
        <w:bottom w:val="none" w:sz="0" w:space="0" w:color="auto"/>
        <w:right w:val="none" w:sz="0" w:space="0" w:color="auto"/>
      </w:divBdr>
    </w:div>
    <w:div w:id="647705218">
      <w:bodyDiv w:val="1"/>
      <w:marLeft w:val="0"/>
      <w:marRight w:val="0"/>
      <w:marTop w:val="0"/>
      <w:marBottom w:val="0"/>
      <w:divBdr>
        <w:top w:val="none" w:sz="0" w:space="0" w:color="auto"/>
        <w:left w:val="none" w:sz="0" w:space="0" w:color="auto"/>
        <w:bottom w:val="none" w:sz="0" w:space="0" w:color="auto"/>
        <w:right w:val="none" w:sz="0" w:space="0" w:color="auto"/>
      </w:divBdr>
    </w:div>
    <w:div w:id="655573923">
      <w:bodyDiv w:val="1"/>
      <w:marLeft w:val="0"/>
      <w:marRight w:val="0"/>
      <w:marTop w:val="0"/>
      <w:marBottom w:val="0"/>
      <w:divBdr>
        <w:top w:val="none" w:sz="0" w:space="0" w:color="auto"/>
        <w:left w:val="none" w:sz="0" w:space="0" w:color="auto"/>
        <w:bottom w:val="none" w:sz="0" w:space="0" w:color="auto"/>
        <w:right w:val="none" w:sz="0" w:space="0" w:color="auto"/>
      </w:divBdr>
    </w:div>
    <w:div w:id="665746410">
      <w:bodyDiv w:val="1"/>
      <w:marLeft w:val="0"/>
      <w:marRight w:val="0"/>
      <w:marTop w:val="0"/>
      <w:marBottom w:val="0"/>
      <w:divBdr>
        <w:top w:val="none" w:sz="0" w:space="0" w:color="auto"/>
        <w:left w:val="none" w:sz="0" w:space="0" w:color="auto"/>
        <w:bottom w:val="none" w:sz="0" w:space="0" w:color="auto"/>
        <w:right w:val="none" w:sz="0" w:space="0" w:color="auto"/>
      </w:divBdr>
    </w:div>
    <w:div w:id="675233978">
      <w:bodyDiv w:val="1"/>
      <w:marLeft w:val="0"/>
      <w:marRight w:val="0"/>
      <w:marTop w:val="0"/>
      <w:marBottom w:val="0"/>
      <w:divBdr>
        <w:top w:val="none" w:sz="0" w:space="0" w:color="auto"/>
        <w:left w:val="none" w:sz="0" w:space="0" w:color="auto"/>
        <w:bottom w:val="none" w:sz="0" w:space="0" w:color="auto"/>
        <w:right w:val="none" w:sz="0" w:space="0" w:color="auto"/>
      </w:divBdr>
      <w:divsChild>
        <w:div w:id="1248033838">
          <w:marLeft w:val="0"/>
          <w:marRight w:val="0"/>
          <w:marTop w:val="0"/>
          <w:marBottom w:val="0"/>
          <w:divBdr>
            <w:top w:val="none" w:sz="0" w:space="0" w:color="auto"/>
            <w:left w:val="none" w:sz="0" w:space="0" w:color="auto"/>
            <w:bottom w:val="none" w:sz="0" w:space="0" w:color="auto"/>
            <w:right w:val="none" w:sz="0" w:space="0" w:color="auto"/>
          </w:divBdr>
          <w:divsChild>
            <w:div w:id="1037389695">
              <w:marLeft w:val="0"/>
              <w:marRight w:val="0"/>
              <w:marTop w:val="0"/>
              <w:marBottom w:val="0"/>
              <w:divBdr>
                <w:top w:val="none" w:sz="0" w:space="0" w:color="auto"/>
                <w:left w:val="none" w:sz="0" w:space="0" w:color="auto"/>
                <w:bottom w:val="none" w:sz="0" w:space="0" w:color="auto"/>
                <w:right w:val="none" w:sz="0" w:space="0" w:color="auto"/>
              </w:divBdr>
              <w:divsChild>
                <w:div w:id="2124613841">
                  <w:marLeft w:val="0"/>
                  <w:marRight w:val="0"/>
                  <w:marTop w:val="0"/>
                  <w:marBottom w:val="0"/>
                  <w:divBdr>
                    <w:top w:val="none" w:sz="0" w:space="0" w:color="auto"/>
                    <w:left w:val="none" w:sz="0" w:space="0" w:color="auto"/>
                    <w:bottom w:val="none" w:sz="0" w:space="0" w:color="auto"/>
                    <w:right w:val="none" w:sz="0" w:space="0" w:color="auto"/>
                  </w:divBdr>
                  <w:divsChild>
                    <w:div w:id="129047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888249">
      <w:bodyDiv w:val="1"/>
      <w:marLeft w:val="0"/>
      <w:marRight w:val="0"/>
      <w:marTop w:val="0"/>
      <w:marBottom w:val="0"/>
      <w:divBdr>
        <w:top w:val="none" w:sz="0" w:space="0" w:color="auto"/>
        <w:left w:val="none" w:sz="0" w:space="0" w:color="auto"/>
        <w:bottom w:val="none" w:sz="0" w:space="0" w:color="auto"/>
        <w:right w:val="none" w:sz="0" w:space="0" w:color="auto"/>
      </w:divBdr>
    </w:div>
    <w:div w:id="677847089">
      <w:bodyDiv w:val="1"/>
      <w:marLeft w:val="0"/>
      <w:marRight w:val="0"/>
      <w:marTop w:val="0"/>
      <w:marBottom w:val="0"/>
      <w:divBdr>
        <w:top w:val="none" w:sz="0" w:space="0" w:color="auto"/>
        <w:left w:val="none" w:sz="0" w:space="0" w:color="auto"/>
        <w:bottom w:val="none" w:sz="0" w:space="0" w:color="auto"/>
        <w:right w:val="none" w:sz="0" w:space="0" w:color="auto"/>
      </w:divBdr>
    </w:div>
    <w:div w:id="679041956">
      <w:bodyDiv w:val="1"/>
      <w:marLeft w:val="0"/>
      <w:marRight w:val="0"/>
      <w:marTop w:val="0"/>
      <w:marBottom w:val="0"/>
      <w:divBdr>
        <w:top w:val="none" w:sz="0" w:space="0" w:color="auto"/>
        <w:left w:val="none" w:sz="0" w:space="0" w:color="auto"/>
        <w:bottom w:val="none" w:sz="0" w:space="0" w:color="auto"/>
        <w:right w:val="none" w:sz="0" w:space="0" w:color="auto"/>
      </w:divBdr>
    </w:div>
    <w:div w:id="686521224">
      <w:bodyDiv w:val="1"/>
      <w:marLeft w:val="0"/>
      <w:marRight w:val="0"/>
      <w:marTop w:val="0"/>
      <w:marBottom w:val="0"/>
      <w:divBdr>
        <w:top w:val="none" w:sz="0" w:space="0" w:color="auto"/>
        <w:left w:val="none" w:sz="0" w:space="0" w:color="auto"/>
        <w:bottom w:val="none" w:sz="0" w:space="0" w:color="auto"/>
        <w:right w:val="none" w:sz="0" w:space="0" w:color="auto"/>
      </w:divBdr>
    </w:div>
    <w:div w:id="696931309">
      <w:bodyDiv w:val="1"/>
      <w:marLeft w:val="0"/>
      <w:marRight w:val="0"/>
      <w:marTop w:val="0"/>
      <w:marBottom w:val="0"/>
      <w:divBdr>
        <w:top w:val="none" w:sz="0" w:space="0" w:color="auto"/>
        <w:left w:val="none" w:sz="0" w:space="0" w:color="auto"/>
        <w:bottom w:val="none" w:sz="0" w:space="0" w:color="auto"/>
        <w:right w:val="none" w:sz="0" w:space="0" w:color="auto"/>
      </w:divBdr>
      <w:divsChild>
        <w:div w:id="1853301770">
          <w:marLeft w:val="-720"/>
          <w:marRight w:val="0"/>
          <w:marTop w:val="0"/>
          <w:marBottom w:val="0"/>
          <w:divBdr>
            <w:top w:val="none" w:sz="0" w:space="0" w:color="auto"/>
            <w:left w:val="none" w:sz="0" w:space="0" w:color="auto"/>
            <w:bottom w:val="none" w:sz="0" w:space="0" w:color="auto"/>
            <w:right w:val="none" w:sz="0" w:space="0" w:color="auto"/>
          </w:divBdr>
        </w:div>
      </w:divsChild>
    </w:div>
    <w:div w:id="697242237">
      <w:bodyDiv w:val="1"/>
      <w:marLeft w:val="0"/>
      <w:marRight w:val="0"/>
      <w:marTop w:val="0"/>
      <w:marBottom w:val="0"/>
      <w:divBdr>
        <w:top w:val="none" w:sz="0" w:space="0" w:color="auto"/>
        <w:left w:val="none" w:sz="0" w:space="0" w:color="auto"/>
        <w:bottom w:val="none" w:sz="0" w:space="0" w:color="auto"/>
        <w:right w:val="none" w:sz="0" w:space="0" w:color="auto"/>
      </w:divBdr>
      <w:divsChild>
        <w:div w:id="916401146">
          <w:marLeft w:val="0"/>
          <w:marRight w:val="0"/>
          <w:marTop w:val="0"/>
          <w:marBottom w:val="0"/>
          <w:divBdr>
            <w:top w:val="none" w:sz="0" w:space="0" w:color="auto"/>
            <w:left w:val="none" w:sz="0" w:space="0" w:color="auto"/>
            <w:bottom w:val="none" w:sz="0" w:space="0" w:color="auto"/>
            <w:right w:val="none" w:sz="0" w:space="0" w:color="auto"/>
          </w:divBdr>
          <w:divsChild>
            <w:div w:id="74327614">
              <w:marLeft w:val="0"/>
              <w:marRight w:val="0"/>
              <w:marTop w:val="0"/>
              <w:marBottom w:val="0"/>
              <w:divBdr>
                <w:top w:val="none" w:sz="0" w:space="0" w:color="auto"/>
                <w:left w:val="none" w:sz="0" w:space="0" w:color="auto"/>
                <w:bottom w:val="none" w:sz="0" w:space="0" w:color="auto"/>
                <w:right w:val="none" w:sz="0" w:space="0" w:color="auto"/>
              </w:divBdr>
              <w:divsChild>
                <w:div w:id="719745419">
                  <w:marLeft w:val="0"/>
                  <w:marRight w:val="0"/>
                  <w:marTop w:val="0"/>
                  <w:marBottom w:val="0"/>
                  <w:divBdr>
                    <w:top w:val="none" w:sz="0" w:space="0" w:color="auto"/>
                    <w:left w:val="none" w:sz="0" w:space="0" w:color="auto"/>
                    <w:bottom w:val="none" w:sz="0" w:space="0" w:color="auto"/>
                    <w:right w:val="none" w:sz="0" w:space="0" w:color="auto"/>
                  </w:divBdr>
                  <w:divsChild>
                    <w:div w:id="201996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924632">
          <w:marLeft w:val="0"/>
          <w:marRight w:val="0"/>
          <w:marTop w:val="0"/>
          <w:marBottom w:val="0"/>
          <w:divBdr>
            <w:top w:val="none" w:sz="0" w:space="0" w:color="auto"/>
            <w:left w:val="none" w:sz="0" w:space="0" w:color="auto"/>
            <w:bottom w:val="none" w:sz="0" w:space="0" w:color="auto"/>
            <w:right w:val="none" w:sz="0" w:space="0" w:color="auto"/>
          </w:divBdr>
          <w:divsChild>
            <w:div w:id="1809585932">
              <w:marLeft w:val="0"/>
              <w:marRight w:val="0"/>
              <w:marTop w:val="0"/>
              <w:marBottom w:val="0"/>
              <w:divBdr>
                <w:top w:val="none" w:sz="0" w:space="0" w:color="auto"/>
                <w:left w:val="none" w:sz="0" w:space="0" w:color="auto"/>
                <w:bottom w:val="none" w:sz="0" w:space="0" w:color="auto"/>
                <w:right w:val="none" w:sz="0" w:space="0" w:color="auto"/>
              </w:divBdr>
              <w:divsChild>
                <w:div w:id="2070374473">
                  <w:marLeft w:val="0"/>
                  <w:marRight w:val="0"/>
                  <w:marTop w:val="0"/>
                  <w:marBottom w:val="0"/>
                  <w:divBdr>
                    <w:top w:val="none" w:sz="0" w:space="0" w:color="auto"/>
                    <w:left w:val="none" w:sz="0" w:space="0" w:color="auto"/>
                    <w:bottom w:val="none" w:sz="0" w:space="0" w:color="auto"/>
                    <w:right w:val="none" w:sz="0" w:space="0" w:color="auto"/>
                  </w:divBdr>
                  <w:divsChild>
                    <w:div w:id="1781757129">
                      <w:marLeft w:val="0"/>
                      <w:marRight w:val="0"/>
                      <w:marTop w:val="0"/>
                      <w:marBottom w:val="0"/>
                      <w:divBdr>
                        <w:top w:val="none" w:sz="0" w:space="0" w:color="auto"/>
                        <w:left w:val="none" w:sz="0" w:space="0" w:color="auto"/>
                        <w:bottom w:val="none" w:sz="0" w:space="0" w:color="auto"/>
                        <w:right w:val="none" w:sz="0" w:space="0" w:color="auto"/>
                      </w:divBdr>
                      <w:divsChild>
                        <w:div w:id="220101216">
                          <w:marLeft w:val="0"/>
                          <w:marRight w:val="0"/>
                          <w:marTop w:val="0"/>
                          <w:marBottom w:val="0"/>
                          <w:divBdr>
                            <w:top w:val="none" w:sz="0" w:space="0" w:color="auto"/>
                            <w:left w:val="none" w:sz="0" w:space="0" w:color="auto"/>
                            <w:bottom w:val="none" w:sz="0" w:space="0" w:color="auto"/>
                            <w:right w:val="none" w:sz="0" w:space="0" w:color="auto"/>
                          </w:divBdr>
                          <w:divsChild>
                            <w:div w:id="1886986810">
                              <w:marLeft w:val="0"/>
                              <w:marRight w:val="0"/>
                              <w:marTop w:val="0"/>
                              <w:marBottom w:val="0"/>
                              <w:divBdr>
                                <w:top w:val="none" w:sz="0" w:space="0" w:color="auto"/>
                                <w:left w:val="none" w:sz="0" w:space="0" w:color="auto"/>
                                <w:bottom w:val="none" w:sz="0" w:space="0" w:color="auto"/>
                                <w:right w:val="none" w:sz="0" w:space="0" w:color="auto"/>
                              </w:divBdr>
                              <w:divsChild>
                                <w:div w:id="863323454">
                                  <w:marLeft w:val="0"/>
                                  <w:marRight w:val="0"/>
                                  <w:marTop w:val="0"/>
                                  <w:marBottom w:val="0"/>
                                  <w:divBdr>
                                    <w:top w:val="none" w:sz="0" w:space="0" w:color="auto"/>
                                    <w:left w:val="none" w:sz="0" w:space="0" w:color="auto"/>
                                    <w:bottom w:val="none" w:sz="0" w:space="0" w:color="auto"/>
                                    <w:right w:val="none" w:sz="0" w:space="0" w:color="auto"/>
                                  </w:divBdr>
                                  <w:divsChild>
                                    <w:div w:id="2103799160">
                                      <w:marLeft w:val="0"/>
                                      <w:marRight w:val="0"/>
                                      <w:marTop w:val="0"/>
                                      <w:marBottom w:val="0"/>
                                      <w:divBdr>
                                        <w:top w:val="none" w:sz="0" w:space="0" w:color="auto"/>
                                        <w:left w:val="none" w:sz="0" w:space="0" w:color="auto"/>
                                        <w:bottom w:val="none" w:sz="0" w:space="0" w:color="auto"/>
                                        <w:right w:val="none" w:sz="0" w:space="0" w:color="auto"/>
                                      </w:divBdr>
                                      <w:divsChild>
                                        <w:div w:id="699551849">
                                          <w:marLeft w:val="0"/>
                                          <w:marRight w:val="0"/>
                                          <w:marTop w:val="0"/>
                                          <w:marBottom w:val="0"/>
                                          <w:divBdr>
                                            <w:top w:val="none" w:sz="0" w:space="0" w:color="auto"/>
                                            <w:left w:val="none" w:sz="0" w:space="0" w:color="auto"/>
                                            <w:bottom w:val="none" w:sz="0" w:space="0" w:color="auto"/>
                                            <w:right w:val="none" w:sz="0" w:space="0" w:color="auto"/>
                                          </w:divBdr>
                                          <w:divsChild>
                                            <w:div w:id="117576369">
                                              <w:marLeft w:val="0"/>
                                              <w:marRight w:val="0"/>
                                              <w:marTop w:val="0"/>
                                              <w:marBottom w:val="0"/>
                                              <w:divBdr>
                                                <w:top w:val="none" w:sz="0" w:space="0" w:color="auto"/>
                                                <w:left w:val="none" w:sz="0" w:space="0" w:color="auto"/>
                                                <w:bottom w:val="none" w:sz="0" w:space="0" w:color="auto"/>
                                                <w:right w:val="none" w:sz="0" w:space="0" w:color="auto"/>
                                              </w:divBdr>
                                              <w:divsChild>
                                                <w:div w:id="229199774">
                                                  <w:marLeft w:val="0"/>
                                                  <w:marRight w:val="0"/>
                                                  <w:marTop w:val="0"/>
                                                  <w:marBottom w:val="0"/>
                                                  <w:divBdr>
                                                    <w:top w:val="none" w:sz="0" w:space="0" w:color="auto"/>
                                                    <w:left w:val="none" w:sz="0" w:space="0" w:color="auto"/>
                                                    <w:bottom w:val="none" w:sz="0" w:space="0" w:color="auto"/>
                                                    <w:right w:val="none" w:sz="0" w:space="0" w:color="auto"/>
                                                  </w:divBdr>
                                                  <w:divsChild>
                                                    <w:div w:id="1703896031">
                                                      <w:marLeft w:val="0"/>
                                                      <w:marRight w:val="0"/>
                                                      <w:marTop w:val="0"/>
                                                      <w:marBottom w:val="0"/>
                                                      <w:divBdr>
                                                        <w:top w:val="none" w:sz="0" w:space="0" w:color="auto"/>
                                                        <w:left w:val="none" w:sz="0" w:space="0" w:color="auto"/>
                                                        <w:bottom w:val="none" w:sz="0" w:space="0" w:color="auto"/>
                                                        <w:right w:val="none" w:sz="0" w:space="0" w:color="auto"/>
                                                      </w:divBdr>
                                                      <w:divsChild>
                                                        <w:div w:id="205187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00328593">
      <w:bodyDiv w:val="1"/>
      <w:marLeft w:val="0"/>
      <w:marRight w:val="0"/>
      <w:marTop w:val="0"/>
      <w:marBottom w:val="0"/>
      <w:divBdr>
        <w:top w:val="none" w:sz="0" w:space="0" w:color="auto"/>
        <w:left w:val="none" w:sz="0" w:space="0" w:color="auto"/>
        <w:bottom w:val="none" w:sz="0" w:space="0" w:color="auto"/>
        <w:right w:val="none" w:sz="0" w:space="0" w:color="auto"/>
      </w:divBdr>
      <w:divsChild>
        <w:div w:id="1347251275">
          <w:marLeft w:val="-720"/>
          <w:marRight w:val="0"/>
          <w:marTop w:val="0"/>
          <w:marBottom w:val="0"/>
          <w:divBdr>
            <w:top w:val="none" w:sz="0" w:space="0" w:color="auto"/>
            <w:left w:val="none" w:sz="0" w:space="0" w:color="auto"/>
            <w:bottom w:val="none" w:sz="0" w:space="0" w:color="auto"/>
            <w:right w:val="none" w:sz="0" w:space="0" w:color="auto"/>
          </w:divBdr>
        </w:div>
      </w:divsChild>
    </w:div>
    <w:div w:id="712539324">
      <w:bodyDiv w:val="1"/>
      <w:marLeft w:val="0"/>
      <w:marRight w:val="0"/>
      <w:marTop w:val="0"/>
      <w:marBottom w:val="0"/>
      <w:divBdr>
        <w:top w:val="none" w:sz="0" w:space="0" w:color="auto"/>
        <w:left w:val="none" w:sz="0" w:space="0" w:color="auto"/>
        <w:bottom w:val="none" w:sz="0" w:space="0" w:color="auto"/>
        <w:right w:val="none" w:sz="0" w:space="0" w:color="auto"/>
      </w:divBdr>
      <w:divsChild>
        <w:div w:id="1206484822">
          <w:marLeft w:val="0"/>
          <w:marRight w:val="0"/>
          <w:marTop w:val="0"/>
          <w:marBottom w:val="0"/>
          <w:divBdr>
            <w:top w:val="none" w:sz="0" w:space="0" w:color="auto"/>
            <w:left w:val="none" w:sz="0" w:space="0" w:color="auto"/>
            <w:bottom w:val="none" w:sz="0" w:space="0" w:color="auto"/>
            <w:right w:val="none" w:sz="0" w:space="0" w:color="auto"/>
          </w:divBdr>
          <w:divsChild>
            <w:div w:id="206064957">
              <w:marLeft w:val="0"/>
              <w:marRight w:val="0"/>
              <w:marTop w:val="0"/>
              <w:marBottom w:val="0"/>
              <w:divBdr>
                <w:top w:val="none" w:sz="0" w:space="0" w:color="auto"/>
                <w:left w:val="none" w:sz="0" w:space="0" w:color="auto"/>
                <w:bottom w:val="none" w:sz="0" w:space="0" w:color="auto"/>
                <w:right w:val="none" w:sz="0" w:space="0" w:color="auto"/>
              </w:divBdr>
              <w:divsChild>
                <w:div w:id="1275943592">
                  <w:marLeft w:val="0"/>
                  <w:marRight w:val="0"/>
                  <w:marTop w:val="0"/>
                  <w:marBottom w:val="0"/>
                  <w:divBdr>
                    <w:top w:val="none" w:sz="0" w:space="0" w:color="auto"/>
                    <w:left w:val="none" w:sz="0" w:space="0" w:color="auto"/>
                    <w:bottom w:val="none" w:sz="0" w:space="0" w:color="auto"/>
                    <w:right w:val="none" w:sz="0" w:space="0" w:color="auto"/>
                  </w:divBdr>
                  <w:divsChild>
                    <w:div w:id="4041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246746">
      <w:bodyDiv w:val="1"/>
      <w:marLeft w:val="0"/>
      <w:marRight w:val="0"/>
      <w:marTop w:val="0"/>
      <w:marBottom w:val="0"/>
      <w:divBdr>
        <w:top w:val="none" w:sz="0" w:space="0" w:color="auto"/>
        <w:left w:val="none" w:sz="0" w:space="0" w:color="auto"/>
        <w:bottom w:val="none" w:sz="0" w:space="0" w:color="auto"/>
        <w:right w:val="none" w:sz="0" w:space="0" w:color="auto"/>
      </w:divBdr>
      <w:divsChild>
        <w:div w:id="1515680470">
          <w:marLeft w:val="-720"/>
          <w:marRight w:val="0"/>
          <w:marTop w:val="0"/>
          <w:marBottom w:val="0"/>
          <w:divBdr>
            <w:top w:val="none" w:sz="0" w:space="0" w:color="auto"/>
            <w:left w:val="none" w:sz="0" w:space="0" w:color="auto"/>
            <w:bottom w:val="none" w:sz="0" w:space="0" w:color="auto"/>
            <w:right w:val="none" w:sz="0" w:space="0" w:color="auto"/>
          </w:divBdr>
        </w:div>
      </w:divsChild>
    </w:div>
    <w:div w:id="725186190">
      <w:bodyDiv w:val="1"/>
      <w:marLeft w:val="0"/>
      <w:marRight w:val="0"/>
      <w:marTop w:val="0"/>
      <w:marBottom w:val="0"/>
      <w:divBdr>
        <w:top w:val="none" w:sz="0" w:space="0" w:color="auto"/>
        <w:left w:val="none" w:sz="0" w:space="0" w:color="auto"/>
        <w:bottom w:val="none" w:sz="0" w:space="0" w:color="auto"/>
        <w:right w:val="none" w:sz="0" w:space="0" w:color="auto"/>
      </w:divBdr>
      <w:divsChild>
        <w:div w:id="1649437888">
          <w:marLeft w:val="-720"/>
          <w:marRight w:val="0"/>
          <w:marTop w:val="0"/>
          <w:marBottom w:val="0"/>
          <w:divBdr>
            <w:top w:val="none" w:sz="0" w:space="0" w:color="auto"/>
            <w:left w:val="none" w:sz="0" w:space="0" w:color="auto"/>
            <w:bottom w:val="none" w:sz="0" w:space="0" w:color="auto"/>
            <w:right w:val="none" w:sz="0" w:space="0" w:color="auto"/>
          </w:divBdr>
        </w:div>
      </w:divsChild>
    </w:div>
    <w:div w:id="727188688">
      <w:bodyDiv w:val="1"/>
      <w:marLeft w:val="0"/>
      <w:marRight w:val="0"/>
      <w:marTop w:val="0"/>
      <w:marBottom w:val="0"/>
      <w:divBdr>
        <w:top w:val="none" w:sz="0" w:space="0" w:color="auto"/>
        <w:left w:val="none" w:sz="0" w:space="0" w:color="auto"/>
        <w:bottom w:val="none" w:sz="0" w:space="0" w:color="auto"/>
        <w:right w:val="none" w:sz="0" w:space="0" w:color="auto"/>
      </w:divBdr>
      <w:divsChild>
        <w:div w:id="1689213949">
          <w:marLeft w:val="-720"/>
          <w:marRight w:val="0"/>
          <w:marTop w:val="0"/>
          <w:marBottom w:val="0"/>
          <w:divBdr>
            <w:top w:val="none" w:sz="0" w:space="0" w:color="auto"/>
            <w:left w:val="none" w:sz="0" w:space="0" w:color="auto"/>
            <w:bottom w:val="none" w:sz="0" w:space="0" w:color="auto"/>
            <w:right w:val="none" w:sz="0" w:space="0" w:color="auto"/>
          </w:divBdr>
        </w:div>
      </w:divsChild>
    </w:div>
    <w:div w:id="730005561">
      <w:bodyDiv w:val="1"/>
      <w:marLeft w:val="0"/>
      <w:marRight w:val="0"/>
      <w:marTop w:val="0"/>
      <w:marBottom w:val="0"/>
      <w:divBdr>
        <w:top w:val="none" w:sz="0" w:space="0" w:color="auto"/>
        <w:left w:val="none" w:sz="0" w:space="0" w:color="auto"/>
        <w:bottom w:val="none" w:sz="0" w:space="0" w:color="auto"/>
        <w:right w:val="none" w:sz="0" w:space="0" w:color="auto"/>
      </w:divBdr>
    </w:div>
    <w:div w:id="736515623">
      <w:bodyDiv w:val="1"/>
      <w:marLeft w:val="0"/>
      <w:marRight w:val="0"/>
      <w:marTop w:val="0"/>
      <w:marBottom w:val="0"/>
      <w:divBdr>
        <w:top w:val="none" w:sz="0" w:space="0" w:color="auto"/>
        <w:left w:val="none" w:sz="0" w:space="0" w:color="auto"/>
        <w:bottom w:val="none" w:sz="0" w:space="0" w:color="auto"/>
        <w:right w:val="none" w:sz="0" w:space="0" w:color="auto"/>
      </w:divBdr>
      <w:divsChild>
        <w:div w:id="415326916">
          <w:marLeft w:val="-720"/>
          <w:marRight w:val="0"/>
          <w:marTop w:val="0"/>
          <w:marBottom w:val="0"/>
          <w:divBdr>
            <w:top w:val="none" w:sz="0" w:space="0" w:color="auto"/>
            <w:left w:val="none" w:sz="0" w:space="0" w:color="auto"/>
            <w:bottom w:val="none" w:sz="0" w:space="0" w:color="auto"/>
            <w:right w:val="none" w:sz="0" w:space="0" w:color="auto"/>
          </w:divBdr>
        </w:div>
      </w:divsChild>
    </w:div>
    <w:div w:id="746727458">
      <w:bodyDiv w:val="1"/>
      <w:marLeft w:val="0"/>
      <w:marRight w:val="0"/>
      <w:marTop w:val="0"/>
      <w:marBottom w:val="0"/>
      <w:divBdr>
        <w:top w:val="none" w:sz="0" w:space="0" w:color="auto"/>
        <w:left w:val="none" w:sz="0" w:space="0" w:color="auto"/>
        <w:bottom w:val="none" w:sz="0" w:space="0" w:color="auto"/>
        <w:right w:val="none" w:sz="0" w:space="0" w:color="auto"/>
      </w:divBdr>
    </w:div>
    <w:div w:id="750005090">
      <w:bodyDiv w:val="1"/>
      <w:marLeft w:val="0"/>
      <w:marRight w:val="0"/>
      <w:marTop w:val="0"/>
      <w:marBottom w:val="0"/>
      <w:divBdr>
        <w:top w:val="none" w:sz="0" w:space="0" w:color="auto"/>
        <w:left w:val="none" w:sz="0" w:space="0" w:color="auto"/>
        <w:bottom w:val="none" w:sz="0" w:space="0" w:color="auto"/>
        <w:right w:val="none" w:sz="0" w:space="0" w:color="auto"/>
      </w:divBdr>
    </w:div>
    <w:div w:id="756369853">
      <w:bodyDiv w:val="1"/>
      <w:marLeft w:val="0"/>
      <w:marRight w:val="0"/>
      <w:marTop w:val="0"/>
      <w:marBottom w:val="0"/>
      <w:divBdr>
        <w:top w:val="none" w:sz="0" w:space="0" w:color="auto"/>
        <w:left w:val="none" w:sz="0" w:space="0" w:color="auto"/>
        <w:bottom w:val="none" w:sz="0" w:space="0" w:color="auto"/>
        <w:right w:val="none" w:sz="0" w:space="0" w:color="auto"/>
      </w:divBdr>
      <w:divsChild>
        <w:div w:id="1745495023">
          <w:marLeft w:val="-720"/>
          <w:marRight w:val="0"/>
          <w:marTop w:val="0"/>
          <w:marBottom w:val="0"/>
          <w:divBdr>
            <w:top w:val="none" w:sz="0" w:space="0" w:color="auto"/>
            <w:left w:val="none" w:sz="0" w:space="0" w:color="auto"/>
            <w:bottom w:val="none" w:sz="0" w:space="0" w:color="auto"/>
            <w:right w:val="none" w:sz="0" w:space="0" w:color="auto"/>
          </w:divBdr>
        </w:div>
      </w:divsChild>
    </w:div>
    <w:div w:id="761679346">
      <w:bodyDiv w:val="1"/>
      <w:marLeft w:val="0"/>
      <w:marRight w:val="0"/>
      <w:marTop w:val="0"/>
      <w:marBottom w:val="0"/>
      <w:divBdr>
        <w:top w:val="none" w:sz="0" w:space="0" w:color="auto"/>
        <w:left w:val="none" w:sz="0" w:space="0" w:color="auto"/>
        <w:bottom w:val="none" w:sz="0" w:space="0" w:color="auto"/>
        <w:right w:val="none" w:sz="0" w:space="0" w:color="auto"/>
      </w:divBdr>
      <w:divsChild>
        <w:div w:id="1725063629">
          <w:marLeft w:val="-720"/>
          <w:marRight w:val="0"/>
          <w:marTop w:val="0"/>
          <w:marBottom w:val="0"/>
          <w:divBdr>
            <w:top w:val="none" w:sz="0" w:space="0" w:color="auto"/>
            <w:left w:val="none" w:sz="0" w:space="0" w:color="auto"/>
            <w:bottom w:val="none" w:sz="0" w:space="0" w:color="auto"/>
            <w:right w:val="none" w:sz="0" w:space="0" w:color="auto"/>
          </w:divBdr>
        </w:div>
      </w:divsChild>
    </w:div>
    <w:div w:id="765883628">
      <w:bodyDiv w:val="1"/>
      <w:marLeft w:val="0"/>
      <w:marRight w:val="0"/>
      <w:marTop w:val="0"/>
      <w:marBottom w:val="0"/>
      <w:divBdr>
        <w:top w:val="none" w:sz="0" w:space="0" w:color="auto"/>
        <w:left w:val="none" w:sz="0" w:space="0" w:color="auto"/>
        <w:bottom w:val="none" w:sz="0" w:space="0" w:color="auto"/>
        <w:right w:val="none" w:sz="0" w:space="0" w:color="auto"/>
      </w:divBdr>
    </w:div>
    <w:div w:id="766269706">
      <w:bodyDiv w:val="1"/>
      <w:marLeft w:val="0"/>
      <w:marRight w:val="0"/>
      <w:marTop w:val="0"/>
      <w:marBottom w:val="0"/>
      <w:divBdr>
        <w:top w:val="none" w:sz="0" w:space="0" w:color="auto"/>
        <w:left w:val="none" w:sz="0" w:space="0" w:color="auto"/>
        <w:bottom w:val="none" w:sz="0" w:space="0" w:color="auto"/>
        <w:right w:val="none" w:sz="0" w:space="0" w:color="auto"/>
      </w:divBdr>
      <w:divsChild>
        <w:div w:id="138885068">
          <w:marLeft w:val="-720"/>
          <w:marRight w:val="0"/>
          <w:marTop w:val="0"/>
          <w:marBottom w:val="0"/>
          <w:divBdr>
            <w:top w:val="none" w:sz="0" w:space="0" w:color="auto"/>
            <w:left w:val="none" w:sz="0" w:space="0" w:color="auto"/>
            <w:bottom w:val="none" w:sz="0" w:space="0" w:color="auto"/>
            <w:right w:val="none" w:sz="0" w:space="0" w:color="auto"/>
          </w:divBdr>
        </w:div>
      </w:divsChild>
    </w:div>
    <w:div w:id="780107355">
      <w:bodyDiv w:val="1"/>
      <w:marLeft w:val="0"/>
      <w:marRight w:val="0"/>
      <w:marTop w:val="0"/>
      <w:marBottom w:val="0"/>
      <w:divBdr>
        <w:top w:val="none" w:sz="0" w:space="0" w:color="auto"/>
        <w:left w:val="none" w:sz="0" w:space="0" w:color="auto"/>
        <w:bottom w:val="none" w:sz="0" w:space="0" w:color="auto"/>
        <w:right w:val="none" w:sz="0" w:space="0" w:color="auto"/>
      </w:divBdr>
      <w:divsChild>
        <w:div w:id="2059356053">
          <w:marLeft w:val="-720"/>
          <w:marRight w:val="0"/>
          <w:marTop w:val="0"/>
          <w:marBottom w:val="0"/>
          <w:divBdr>
            <w:top w:val="none" w:sz="0" w:space="0" w:color="auto"/>
            <w:left w:val="none" w:sz="0" w:space="0" w:color="auto"/>
            <w:bottom w:val="none" w:sz="0" w:space="0" w:color="auto"/>
            <w:right w:val="none" w:sz="0" w:space="0" w:color="auto"/>
          </w:divBdr>
        </w:div>
      </w:divsChild>
    </w:div>
    <w:div w:id="789783097">
      <w:bodyDiv w:val="1"/>
      <w:marLeft w:val="0"/>
      <w:marRight w:val="0"/>
      <w:marTop w:val="0"/>
      <w:marBottom w:val="0"/>
      <w:divBdr>
        <w:top w:val="none" w:sz="0" w:space="0" w:color="auto"/>
        <w:left w:val="none" w:sz="0" w:space="0" w:color="auto"/>
        <w:bottom w:val="none" w:sz="0" w:space="0" w:color="auto"/>
        <w:right w:val="none" w:sz="0" w:space="0" w:color="auto"/>
      </w:divBdr>
    </w:div>
    <w:div w:id="800422801">
      <w:bodyDiv w:val="1"/>
      <w:marLeft w:val="0"/>
      <w:marRight w:val="0"/>
      <w:marTop w:val="0"/>
      <w:marBottom w:val="0"/>
      <w:divBdr>
        <w:top w:val="none" w:sz="0" w:space="0" w:color="auto"/>
        <w:left w:val="none" w:sz="0" w:space="0" w:color="auto"/>
        <w:bottom w:val="none" w:sz="0" w:space="0" w:color="auto"/>
        <w:right w:val="none" w:sz="0" w:space="0" w:color="auto"/>
      </w:divBdr>
      <w:divsChild>
        <w:div w:id="53046724">
          <w:marLeft w:val="0"/>
          <w:marRight w:val="0"/>
          <w:marTop w:val="0"/>
          <w:marBottom w:val="0"/>
          <w:divBdr>
            <w:top w:val="none" w:sz="0" w:space="0" w:color="auto"/>
            <w:left w:val="none" w:sz="0" w:space="0" w:color="auto"/>
            <w:bottom w:val="none" w:sz="0" w:space="0" w:color="auto"/>
            <w:right w:val="none" w:sz="0" w:space="0" w:color="auto"/>
          </w:divBdr>
          <w:divsChild>
            <w:div w:id="1426265099">
              <w:marLeft w:val="0"/>
              <w:marRight w:val="0"/>
              <w:marTop w:val="0"/>
              <w:marBottom w:val="0"/>
              <w:divBdr>
                <w:top w:val="none" w:sz="0" w:space="0" w:color="auto"/>
                <w:left w:val="none" w:sz="0" w:space="0" w:color="auto"/>
                <w:bottom w:val="none" w:sz="0" w:space="0" w:color="auto"/>
                <w:right w:val="none" w:sz="0" w:space="0" w:color="auto"/>
              </w:divBdr>
              <w:divsChild>
                <w:div w:id="523134879">
                  <w:marLeft w:val="0"/>
                  <w:marRight w:val="0"/>
                  <w:marTop w:val="0"/>
                  <w:marBottom w:val="0"/>
                  <w:divBdr>
                    <w:top w:val="none" w:sz="0" w:space="0" w:color="auto"/>
                    <w:left w:val="none" w:sz="0" w:space="0" w:color="auto"/>
                    <w:bottom w:val="none" w:sz="0" w:space="0" w:color="auto"/>
                    <w:right w:val="none" w:sz="0" w:space="0" w:color="auto"/>
                  </w:divBdr>
                  <w:divsChild>
                    <w:div w:id="630985733">
                      <w:marLeft w:val="0"/>
                      <w:marRight w:val="0"/>
                      <w:marTop w:val="0"/>
                      <w:marBottom w:val="0"/>
                      <w:divBdr>
                        <w:top w:val="none" w:sz="0" w:space="0" w:color="auto"/>
                        <w:left w:val="none" w:sz="0" w:space="0" w:color="auto"/>
                        <w:bottom w:val="none" w:sz="0" w:space="0" w:color="auto"/>
                        <w:right w:val="none" w:sz="0" w:space="0" w:color="auto"/>
                      </w:divBdr>
                      <w:divsChild>
                        <w:div w:id="653875771">
                          <w:marLeft w:val="0"/>
                          <w:marRight w:val="0"/>
                          <w:marTop w:val="0"/>
                          <w:marBottom w:val="0"/>
                          <w:divBdr>
                            <w:top w:val="none" w:sz="0" w:space="0" w:color="auto"/>
                            <w:left w:val="none" w:sz="0" w:space="0" w:color="auto"/>
                            <w:bottom w:val="none" w:sz="0" w:space="0" w:color="auto"/>
                            <w:right w:val="none" w:sz="0" w:space="0" w:color="auto"/>
                          </w:divBdr>
                          <w:divsChild>
                            <w:div w:id="1804155635">
                              <w:marLeft w:val="0"/>
                              <w:marRight w:val="0"/>
                              <w:marTop w:val="0"/>
                              <w:marBottom w:val="0"/>
                              <w:divBdr>
                                <w:top w:val="none" w:sz="0" w:space="0" w:color="auto"/>
                                <w:left w:val="none" w:sz="0" w:space="0" w:color="auto"/>
                                <w:bottom w:val="none" w:sz="0" w:space="0" w:color="auto"/>
                                <w:right w:val="none" w:sz="0" w:space="0" w:color="auto"/>
                              </w:divBdr>
                              <w:divsChild>
                                <w:div w:id="2119909867">
                                  <w:marLeft w:val="0"/>
                                  <w:marRight w:val="0"/>
                                  <w:marTop w:val="0"/>
                                  <w:marBottom w:val="0"/>
                                  <w:divBdr>
                                    <w:top w:val="none" w:sz="0" w:space="0" w:color="auto"/>
                                    <w:left w:val="none" w:sz="0" w:space="0" w:color="auto"/>
                                    <w:bottom w:val="none" w:sz="0" w:space="0" w:color="auto"/>
                                    <w:right w:val="none" w:sz="0" w:space="0" w:color="auto"/>
                                  </w:divBdr>
                                  <w:divsChild>
                                    <w:div w:id="44049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287939">
                  <w:marLeft w:val="0"/>
                  <w:marRight w:val="0"/>
                  <w:marTop w:val="0"/>
                  <w:marBottom w:val="0"/>
                  <w:divBdr>
                    <w:top w:val="none" w:sz="0" w:space="0" w:color="auto"/>
                    <w:left w:val="none" w:sz="0" w:space="0" w:color="auto"/>
                    <w:bottom w:val="none" w:sz="0" w:space="0" w:color="auto"/>
                    <w:right w:val="none" w:sz="0" w:space="0" w:color="auto"/>
                  </w:divBdr>
                  <w:divsChild>
                    <w:div w:id="1113135362">
                      <w:marLeft w:val="0"/>
                      <w:marRight w:val="0"/>
                      <w:marTop w:val="0"/>
                      <w:marBottom w:val="0"/>
                      <w:divBdr>
                        <w:top w:val="none" w:sz="0" w:space="0" w:color="auto"/>
                        <w:left w:val="none" w:sz="0" w:space="0" w:color="auto"/>
                        <w:bottom w:val="none" w:sz="0" w:space="0" w:color="auto"/>
                        <w:right w:val="none" w:sz="0" w:space="0" w:color="auto"/>
                      </w:divBdr>
                      <w:divsChild>
                        <w:div w:id="2017924486">
                          <w:marLeft w:val="0"/>
                          <w:marRight w:val="0"/>
                          <w:marTop w:val="0"/>
                          <w:marBottom w:val="0"/>
                          <w:divBdr>
                            <w:top w:val="none" w:sz="0" w:space="0" w:color="auto"/>
                            <w:left w:val="none" w:sz="0" w:space="0" w:color="auto"/>
                            <w:bottom w:val="none" w:sz="0" w:space="0" w:color="auto"/>
                            <w:right w:val="none" w:sz="0" w:space="0" w:color="auto"/>
                          </w:divBdr>
                          <w:divsChild>
                            <w:div w:id="1704280615">
                              <w:marLeft w:val="0"/>
                              <w:marRight w:val="0"/>
                              <w:marTop w:val="0"/>
                              <w:marBottom w:val="0"/>
                              <w:divBdr>
                                <w:top w:val="none" w:sz="0" w:space="0" w:color="auto"/>
                                <w:left w:val="none" w:sz="0" w:space="0" w:color="auto"/>
                                <w:bottom w:val="none" w:sz="0" w:space="0" w:color="auto"/>
                                <w:right w:val="none" w:sz="0" w:space="0" w:color="auto"/>
                              </w:divBdr>
                              <w:divsChild>
                                <w:div w:id="905335396">
                                  <w:marLeft w:val="0"/>
                                  <w:marRight w:val="0"/>
                                  <w:marTop w:val="0"/>
                                  <w:marBottom w:val="0"/>
                                  <w:divBdr>
                                    <w:top w:val="none" w:sz="0" w:space="0" w:color="auto"/>
                                    <w:left w:val="none" w:sz="0" w:space="0" w:color="auto"/>
                                    <w:bottom w:val="none" w:sz="0" w:space="0" w:color="auto"/>
                                    <w:right w:val="none" w:sz="0" w:space="0" w:color="auto"/>
                                  </w:divBdr>
                                  <w:divsChild>
                                    <w:div w:id="6214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511834">
          <w:marLeft w:val="0"/>
          <w:marRight w:val="0"/>
          <w:marTop w:val="0"/>
          <w:marBottom w:val="0"/>
          <w:divBdr>
            <w:top w:val="none" w:sz="0" w:space="0" w:color="auto"/>
            <w:left w:val="none" w:sz="0" w:space="0" w:color="auto"/>
            <w:bottom w:val="none" w:sz="0" w:space="0" w:color="auto"/>
            <w:right w:val="none" w:sz="0" w:space="0" w:color="auto"/>
          </w:divBdr>
          <w:divsChild>
            <w:div w:id="934706132">
              <w:marLeft w:val="0"/>
              <w:marRight w:val="0"/>
              <w:marTop w:val="0"/>
              <w:marBottom w:val="0"/>
              <w:divBdr>
                <w:top w:val="none" w:sz="0" w:space="0" w:color="auto"/>
                <w:left w:val="none" w:sz="0" w:space="0" w:color="auto"/>
                <w:bottom w:val="none" w:sz="0" w:space="0" w:color="auto"/>
                <w:right w:val="none" w:sz="0" w:space="0" w:color="auto"/>
              </w:divBdr>
              <w:divsChild>
                <w:div w:id="431824159">
                  <w:marLeft w:val="0"/>
                  <w:marRight w:val="0"/>
                  <w:marTop w:val="0"/>
                  <w:marBottom w:val="0"/>
                  <w:divBdr>
                    <w:top w:val="none" w:sz="0" w:space="0" w:color="auto"/>
                    <w:left w:val="none" w:sz="0" w:space="0" w:color="auto"/>
                    <w:bottom w:val="none" w:sz="0" w:space="0" w:color="auto"/>
                    <w:right w:val="none" w:sz="0" w:space="0" w:color="auto"/>
                  </w:divBdr>
                  <w:divsChild>
                    <w:div w:id="1081678957">
                      <w:marLeft w:val="0"/>
                      <w:marRight w:val="0"/>
                      <w:marTop w:val="0"/>
                      <w:marBottom w:val="0"/>
                      <w:divBdr>
                        <w:top w:val="none" w:sz="0" w:space="0" w:color="auto"/>
                        <w:left w:val="none" w:sz="0" w:space="0" w:color="auto"/>
                        <w:bottom w:val="none" w:sz="0" w:space="0" w:color="auto"/>
                        <w:right w:val="none" w:sz="0" w:space="0" w:color="auto"/>
                      </w:divBdr>
                      <w:divsChild>
                        <w:div w:id="1046682337">
                          <w:marLeft w:val="0"/>
                          <w:marRight w:val="0"/>
                          <w:marTop w:val="0"/>
                          <w:marBottom w:val="0"/>
                          <w:divBdr>
                            <w:top w:val="none" w:sz="0" w:space="0" w:color="auto"/>
                            <w:left w:val="none" w:sz="0" w:space="0" w:color="auto"/>
                            <w:bottom w:val="none" w:sz="0" w:space="0" w:color="auto"/>
                            <w:right w:val="none" w:sz="0" w:space="0" w:color="auto"/>
                          </w:divBdr>
                          <w:divsChild>
                            <w:div w:id="1336420203">
                              <w:marLeft w:val="0"/>
                              <w:marRight w:val="0"/>
                              <w:marTop w:val="0"/>
                              <w:marBottom w:val="0"/>
                              <w:divBdr>
                                <w:top w:val="none" w:sz="0" w:space="0" w:color="auto"/>
                                <w:left w:val="none" w:sz="0" w:space="0" w:color="auto"/>
                                <w:bottom w:val="none" w:sz="0" w:space="0" w:color="auto"/>
                                <w:right w:val="none" w:sz="0" w:space="0" w:color="auto"/>
                              </w:divBdr>
                              <w:divsChild>
                                <w:div w:id="1451633172">
                                  <w:marLeft w:val="0"/>
                                  <w:marRight w:val="0"/>
                                  <w:marTop w:val="0"/>
                                  <w:marBottom w:val="0"/>
                                  <w:divBdr>
                                    <w:top w:val="none" w:sz="0" w:space="0" w:color="auto"/>
                                    <w:left w:val="none" w:sz="0" w:space="0" w:color="auto"/>
                                    <w:bottom w:val="none" w:sz="0" w:space="0" w:color="auto"/>
                                    <w:right w:val="none" w:sz="0" w:space="0" w:color="auto"/>
                                  </w:divBdr>
                                  <w:divsChild>
                                    <w:div w:id="1542940291">
                                      <w:marLeft w:val="0"/>
                                      <w:marRight w:val="0"/>
                                      <w:marTop w:val="0"/>
                                      <w:marBottom w:val="0"/>
                                      <w:divBdr>
                                        <w:top w:val="none" w:sz="0" w:space="0" w:color="auto"/>
                                        <w:left w:val="none" w:sz="0" w:space="0" w:color="auto"/>
                                        <w:bottom w:val="none" w:sz="0" w:space="0" w:color="auto"/>
                                        <w:right w:val="none" w:sz="0" w:space="0" w:color="auto"/>
                                      </w:divBdr>
                                      <w:divsChild>
                                        <w:div w:id="129841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560036">
          <w:marLeft w:val="0"/>
          <w:marRight w:val="0"/>
          <w:marTop w:val="0"/>
          <w:marBottom w:val="0"/>
          <w:divBdr>
            <w:top w:val="none" w:sz="0" w:space="0" w:color="auto"/>
            <w:left w:val="none" w:sz="0" w:space="0" w:color="auto"/>
            <w:bottom w:val="none" w:sz="0" w:space="0" w:color="auto"/>
            <w:right w:val="none" w:sz="0" w:space="0" w:color="auto"/>
          </w:divBdr>
          <w:divsChild>
            <w:div w:id="1191140034">
              <w:marLeft w:val="0"/>
              <w:marRight w:val="0"/>
              <w:marTop w:val="0"/>
              <w:marBottom w:val="0"/>
              <w:divBdr>
                <w:top w:val="none" w:sz="0" w:space="0" w:color="auto"/>
                <w:left w:val="none" w:sz="0" w:space="0" w:color="auto"/>
                <w:bottom w:val="none" w:sz="0" w:space="0" w:color="auto"/>
                <w:right w:val="none" w:sz="0" w:space="0" w:color="auto"/>
              </w:divBdr>
              <w:divsChild>
                <w:div w:id="1207647301">
                  <w:marLeft w:val="0"/>
                  <w:marRight w:val="0"/>
                  <w:marTop w:val="0"/>
                  <w:marBottom w:val="0"/>
                  <w:divBdr>
                    <w:top w:val="none" w:sz="0" w:space="0" w:color="auto"/>
                    <w:left w:val="none" w:sz="0" w:space="0" w:color="auto"/>
                    <w:bottom w:val="none" w:sz="0" w:space="0" w:color="auto"/>
                    <w:right w:val="none" w:sz="0" w:space="0" w:color="auto"/>
                  </w:divBdr>
                  <w:divsChild>
                    <w:div w:id="1021979976">
                      <w:marLeft w:val="0"/>
                      <w:marRight w:val="0"/>
                      <w:marTop w:val="0"/>
                      <w:marBottom w:val="0"/>
                      <w:divBdr>
                        <w:top w:val="none" w:sz="0" w:space="0" w:color="auto"/>
                        <w:left w:val="none" w:sz="0" w:space="0" w:color="auto"/>
                        <w:bottom w:val="none" w:sz="0" w:space="0" w:color="auto"/>
                        <w:right w:val="none" w:sz="0" w:space="0" w:color="auto"/>
                      </w:divBdr>
                      <w:divsChild>
                        <w:div w:id="1698460995">
                          <w:marLeft w:val="0"/>
                          <w:marRight w:val="0"/>
                          <w:marTop w:val="0"/>
                          <w:marBottom w:val="0"/>
                          <w:divBdr>
                            <w:top w:val="none" w:sz="0" w:space="0" w:color="auto"/>
                            <w:left w:val="none" w:sz="0" w:space="0" w:color="auto"/>
                            <w:bottom w:val="none" w:sz="0" w:space="0" w:color="auto"/>
                            <w:right w:val="none" w:sz="0" w:space="0" w:color="auto"/>
                          </w:divBdr>
                          <w:divsChild>
                            <w:div w:id="1134568580">
                              <w:marLeft w:val="0"/>
                              <w:marRight w:val="0"/>
                              <w:marTop w:val="0"/>
                              <w:marBottom w:val="0"/>
                              <w:divBdr>
                                <w:top w:val="none" w:sz="0" w:space="0" w:color="auto"/>
                                <w:left w:val="none" w:sz="0" w:space="0" w:color="auto"/>
                                <w:bottom w:val="none" w:sz="0" w:space="0" w:color="auto"/>
                                <w:right w:val="none" w:sz="0" w:space="0" w:color="auto"/>
                              </w:divBdr>
                              <w:divsChild>
                                <w:div w:id="1567496909">
                                  <w:marLeft w:val="0"/>
                                  <w:marRight w:val="0"/>
                                  <w:marTop w:val="0"/>
                                  <w:marBottom w:val="0"/>
                                  <w:divBdr>
                                    <w:top w:val="none" w:sz="0" w:space="0" w:color="auto"/>
                                    <w:left w:val="none" w:sz="0" w:space="0" w:color="auto"/>
                                    <w:bottom w:val="none" w:sz="0" w:space="0" w:color="auto"/>
                                    <w:right w:val="none" w:sz="0" w:space="0" w:color="auto"/>
                                  </w:divBdr>
                                  <w:divsChild>
                                    <w:div w:id="13037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1116145">
      <w:bodyDiv w:val="1"/>
      <w:marLeft w:val="0"/>
      <w:marRight w:val="0"/>
      <w:marTop w:val="0"/>
      <w:marBottom w:val="0"/>
      <w:divBdr>
        <w:top w:val="none" w:sz="0" w:space="0" w:color="auto"/>
        <w:left w:val="none" w:sz="0" w:space="0" w:color="auto"/>
        <w:bottom w:val="none" w:sz="0" w:space="0" w:color="auto"/>
        <w:right w:val="none" w:sz="0" w:space="0" w:color="auto"/>
      </w:divBdr>
      <w:divsChild>
        <w:div w:id="728919843">
          <w:marLeft w:val="-720"/>
          <w:marRight w:val="0"/>
          <w:marTop w:val="0"/>
          <w:marBottom w:val="0"/>
          <w:divBdr>
            <w:top w:val="none" w:sz="0" w:space="0" w:color="auto"/>
            <w:left w:val="none" w:sz="0" w:space="0" w:color="auto"/>
            <w:bottom w:val="none" w:sz="0" w:space="0" w:color="auto"/>
            <w:right w:val="none" w:sz="0" w:space="0" w:color="auto"/>
          </w:divBdr>
        </w:div>
      </w:divsChild>
    </w:div>
    <w:div w:id="801656088">
      <w:bodyDiv w:val="1"/>
      <w:marLeft w:val="0"/>
      <w:marRight w:val="0"/>
      <w:marTop w:val="0"/>
      <w:marBottom w:val="0"/>
      <w:divBdr>
        <w:top w:val="none" w:sz="0" w:space="0" w:color="auto"/>
        <w:left w:val="none" w:sz="0" w:space="0" w:color="auto"/>
        <w:bottom w:val="none" w:sz="0" w:space="0" w:color="auto"/>
        <w:right w:val="none" w:sz="0" w:space="0" w:color="auto"/>
      </w:divBdr>
    </w:div>
    <w:div w:id="801924703">
      <w:bodyDiv w:val="1"/>
      <w:marLeft w:val="0"/>
      <w:marRight w:val="0"/>
      <w:marTop w:val="0"/>
      <w:marBottom w:val="0"/>
      <w:divBdr>
        <w:top w:val="none" w:sz="0" w:space="0" w:color="auto"/>
        <w:left w:val="none" w:sz="0" w:space="0" w:color="auto"/>
        <w:bottom w:val="none" w:sz="0" w:space="0" w:color="auto"/>
        <w:right w:val="none" w:sz="0" w:space="0" w:color="auto"/>
      </w:divBdr>
    </w:div>
    <w:div w:id="811599646">
      <w:bodyDiv w:val="1"/>
      <w:marLeft w:val="0"/>
      <w:marRight w:val="0"/>
      <w:marTop w:val="0"/>
      <w:marBottom w:val="0"/>
      <w:divBdr>
        <w:top w:val="none" w:sz="0" w:space="0" w:color="auto"/>
        <w:left w:val="none" w:sz="0" w:space="0" w:color="auto"/>
        <w:bottom w:val="none" w:sz="0" w:space="0" w:color="auto"/>
        <w:right w:val="none" w:sz="0" w:space="0" w:color="auto"/>
      </w:divBdr>
    </w:div>
    <w:div w:id="813522342">
      <w:bodyDiv w:val="1"/>
      <w:marLeft w:val="0"/>
      <w:marRight w:val="0"/>
      <w:marTop w:val="0"/>
      <w:marBottom w:val="0"/>
      <w:divBdr>
        <w:top w:val="none" w:sz="0" w:space="0" w:color="auto"/>
        <w:left w:val="none" w:sz="0" w:space="0" w:color="auto"/>
        <w:bottom w:val="none" w:sz="0" w:space="0" w:color="auto"/>
        <w:right w:val="none" w:sz="0" w:space="0" w:color="auto"/>
      </w:divBdr>
      <w:divsChild>
        <w:div w:id="1720083264">
          <w:marLeft w:val="-720"/>
          <w:marRight w:val="0"/>
          <w:marTop w:val="0"/>
          <w:marBottom w:val="0"/>
          <w:divBdr>
            <w:top w:val="none" w:sz="0" w:space="0" w:color="auto"/>
            <w:left w:val="none" w:sz="0" w:space="0" w:color="auto"/>
            <w:bottom w:val="none" w:sz="0" w:space="0" w:color="auto"/>
            <w:right w:val="none" w:sz="0" w:space="0" w:color="auto"/>
          </w:divBdr>
        </w:div>
      </w:divsChild>
    </w:div>
    <w:div w:id="817037989">
      <w:bodyDiv w:val="1"/>
      <w:marLeft w:val="0"/>
      <w:marRight w:val="0"/>
      <w:marTop w:val="0"/>
      <w:marBottom w:val="0"/>
      <w:divBdr>
        <w:top w:val="none" w:sz="0" w:space="0" w:color="auto"/>
        <w:left w:val="none" w:sz="0" w:space="0" w:color="auto"/>
        <w:bottom w:val="none" w:sz="0" w:space="0" w:color="auto"/>
        <w:right w:val="none" w:sz="0" w:space="0" w:color="auto"/>
      </w:divBdr>
    </w:div>
    <w:div w:id="817956845">
      <w:bodyDiv w:val="1"/>
      <w:marLeft w:val="0"/>
      <w:marRight w:val="0"/>
      <w:marTop w:val="0"/>
      <w:marBottom w:val="0"/>
      <w:divBdr>
        <w:top w:val="none" w:sz="0" w:space="0" w:color="auto"/>
        <w:left w:val="none" w:sz="0" w:space="0" w:color="auto"/>
        <w:bottom w:val="none" w:sz="0" w:space="0" w:color="auto"/>
        <w:right w:val="none" w:sz="0" w:space="0" w:color="auto"/>
      </w:divBdr>
    </w:div>
    <w:div w:id="820195253">
      <w:bodyDiv w:val="1"/>
      <w:marLeft w:val="0"/>
      <w:marRight w:val="0"/>
      <w:marTop w:val="0"/>
      <w:marBottom w:val="0"/>
      <w:divBdr>
        <w:top w:val="none" w:sz="0" w:space="0" w:color="auto"/>
        <w:left w:val="none" w:sz="0" w:space="0" w:color="auto"/>
        <w:bottom w:val="none" w:sz="0" w:space="0" w:color="auto"/>
        <w:right w:val="none" w:sz="0" w:space="0" w:color="auto"/>
      </w:divBdr>
    </w:div>
    <w:div w:id="825173865">
      <w:bodyDiv w:val="1"/>
      <w:marLeft w:val="0"/>
      <w:marRight w:val="0"/>
      <w:marTop w:val="0"/>
      <w:marBottom w:val="0"/>
      <w:divBdr>
        <w:top w:val="none" w:sz="0" w:space="0" w:color="auto"/>
        <w:left w:val="none" w:sz="0" w:space="0" w:color="auto"/>
        <w:bottom w:val="none" w:sz="0" w:space="0" w:color="auto"/>
        <w:right w:val="none" w:sz="0" w:space="0" w:color="auto"/>
      </w:divBdr>
    </w:div>
    <w:div w:id="825976200">
      <w:bodyDiv w:val="1"/>
      <w:marLeft w:val="0"/>
      <w:marRight w:val="0"/>
      <w:marTop w:val="0"/>
      <w:marBottom w:val="0"/>
      <w:divBdr>
        <w:top w:val="none" w:sz="0" w:space="0" w:color="auto"/>
        <w:left w:val="none" w:sz="0" w:space="0" w:color="auto"/>
        <w:bottom w:val="none" w:sz="0" w:space="0" w:color="auto"/>
        <w:right w:val="none" w:sz="0" w:space="0" w:color="auto"/>
      </w:divBdr>
    </w:div>
    <w:div w:id="828592728">
      <w:bodyDiv w:val="1"/>
      <w:marLeft w:val="0"/>
      <w:marRight w:val="0"/>
      <w:marTop w:val="0"/>
      <w:marBottom w:val="0"/>
      <w:divBdr>
        <w:top w:val="none" w:sz="0" w:space="0" w:color="auto"/>
        <w:left w:val="none" w:sz="0" w:space="0" w:color="auto"/>
        <w:bottom w:val="none" w:sz="0" w:space="0" w:color="auto"/>
        <w:right w:val="none" w:sz="0" w:space="0" w:color="auto"/>
      </w:divBdr>
      <w:divsChild>
        <w:div w:id="560793718">
          <w:marLeft w:val="-720"/>
          <w:marRight w:val="0"/>
          <w:marTop w:val="0"/>
          <w:marBottom w:val="0"/>
          <w:divBdr>
            <w:top w:val="none" w:sz="0" w:space="0" w:color="auto"/>
            <w:left w:val="none" w:sz="0" w:space="0" w:color="auto"/>
            <w:bottom w:val="none" w:sz="0" w:space="0" w:color="auto"/>
            <w:right w:val="none" w:sz="0" w:space="0" w:color="auto"/>
          </w:divBdr>
        </w:div>
      </w:divsChild>
    </w:div>
    <w:div w:id="828669197">
      <w:bodyDiv w:val="1"/>
      <w:marLeft w:val="0"/>
      <w:marRight w:val="0"/>
      <w:marTop w:val="0"/>
      <w:marBottom w:val="0"/>
      <w:divBdr>
        <w:top w:val="none" w:sz="0" w:space="0" w:color="auto"/>
        <w:left w:val="none" w:sz="0" w:space="0" w:color="auto"/>
        <w:bottom w:val="none" w:sz="0" w:space="0" w:color="auto"/>
        <w:right w:val="none" w:sz="0" w:space="0" w:color="auto"/>
      </w:divBdr>
    </w:div>
    <w:div w:id="830557477">
      <w:bodyDiv w:val="1"/>
      <w:marLeft w:val="0"/>
      <w:marRight w:val="0"/>
      <w:marTop w:val="0"/>
      <w:marBottom w:val="0"/>
      <w:divBdr>
        <w:top w:val="none" w:sz="0" w:space="0" w:color="auto"/>
        <w:left w:val="none" w:sz="0" w:space="0" w:color="auto"/>
        <w:bottom w:val="none" w:sz="0" w:space="0" w:color="auto"/>
        <w:right w:val="none" w:sz="0" w:space="0" w:color="auto"/>
      </w:divBdr>
      <w:divsChild>
        <w:div w:id="552811442">
          <w:marLeft w:val="-720"/>
          <w:marRight w:val="0"/>
          <w:marTop w:val="0"/>
          <w:marBottom w:val="0"/>
          <w:divBdr>
            <w:top w:val="none" w:sz="0" w:space="0" w:color="auto"/>
            <w:left w:val="none" w:sz="0" w:space="0" w:color="auto"/>
            <w:bottom w:val="none" w:sz="0" w:space="0" w:color="auto"/>
            <w:right w:val="none" w:sz="0" w:space="0" w:color="auto"/>
          </w:divBdr>
        </w:div>
      </w:divsChild>
    </w:div>
    <w:div w:id="831262664">
      <w:bodyDiv w:val="1"/>
      <w:marLeft w:val="0"/>
      <w:marRight w:val="0"/>
      <w:marTop w:val="0"/>
      <w:marBottom w:val="0"/>
      <w:divBdr>
        <w:top w:val="none" w:sz="0" w:space="0" w:color="auto"/>
        <w:left w:val="none" w:sz="0" w:space="0" w:color="auto"/>
        <w:bottom w:val="none" w:sz="0" w:space="0" w:color="auto"/>
        <w:right w:val="none" w:sz="0" w:space="0" w:color="auto"/>
      </w:divBdr>
      <w:divsChild>
        <w:div w:id="680934782">
          <w:marLeft w:val="-720"/>
          <w:marRight w:val="0"/>
          <w:marTop w:val="0"/>
          <w:marBottom w:val="0"/>
          <w:divBdr>
            <w:top w:val="none" w:sz="0" w:space="0" w:color="auto"/>
            <w:left w:val="none" w:sz="0" w:space="0" w:color="auto"/>
            <w:bottom w:val="none" w:sz="0" w:space="0" w:color="auto"/>
            <w:right w:val="none" w:sz="0" w:space="0" w:color="auto"/>
          </w:divBdr>
        </w:div>
      </w:divsChild>
    </w:div>
    <w:div w:id="839975056">
      <w:bodyDiv w:val="1"/>
      <w:marLeft w:val="0"/>
      <w:marRight w:val="0"/>
      <w:marTop w:val="0"/>
      <w:marBottom w:val="0"/>
      <w:divBdr>
        <w:top w:val="none" w:sz="0" w:space="0" w:color="auto"/>
        <w:left w:val="none" w:sz="0" w:space="0" w:color="auto"/>
        <w:bottom w:val="none" w:sz="0" w:space="0" w:color="auto"/>
        <w:right w:val="none" w:sz="0" w:space="0" w:color="auto"/>
      </w:divBdr>
      <w:divsChild>
        <w:div w:id="1017928224">
          <w:marLeft w:val="-720"/>
          <w:marRight w:val="0"/>
          <w:marTop w:val="0"/>
          <w:marBottom w:val="0"/>
          <w:divBdr>
            <w:top w:val="none" w:sz="0" w:space="0" w:color="auto"/>
            <w:left w:val="none" w:sz="0" w:space="0" w:color="auto"/>
            <w:bottom w:val="none" w:sz="0" w:space="0" w:color="auto"/>
            <w:right w:val="none" w:sz="0" w:space="0" w:color="auto"/>
          </w:divBdr>
        </w:div>
      </w:divsChild>
    </w:div>
    <w:div w:id="842280411">
      <w:bodyDiv w:val="1"/>
      <w:marLeft w:val="0"/>
      <w:marRight w:val="0"/>
      <w:marTop w:val="0"/>
      <w:marBottom w:val="0"/>
      <w:divBdr>
        <w:top w:val="none" w:sz="0" w:space="0" w:color="auto"/>
        <w:left w:val="none" w:sz="0" w:space="0" w:color="auto"/>
        <w:bottom w:val="none" w:sz="0" w:space="0" w:color="auto"/>
        <w:right w:val="none" w:sz="0" w:space="0" w:color="auto"/>
      </w:divBdr>
    </w:div>
    <w:div w:id="843087115">
      <w:bodyDiv w:val="1"/>
      <w:marLeft w:val="0"/>
      <w:marRight w:val="0"/>
      <w:marTop w:val="0"/>
      <w:marBottom w:val="0"/>
      <w:divBdr>
        <w:top w:val="none" w:sz="0" w:space="0" w:color="auto"/>
        <w:left w:val="none" w:sz="0" w:space="0" w:color="auto"/>
        <w:bottom w:val="none" w:sz="0" w:space="0" w:color="auto"/>
        <w:right w:val="none" w:sz="0" w:space="0" w:color="auto"/>
      </w:divBdr>
    </w:div>
    <w:div w:id="846558698">
      <w:bodyDiv w:val="1"/>
      <w:marLeft w:val="0"/>
      <w:marRight w:val="0"/>
      <w:marTop w:val="0"/>
      <w:marBottom w:val="0"/>
      <w:divBdr>
        <w:top w:val="none" w:sz="0" w:space="0" w:color="auto"/>
        <w:left w:val="none" w:sz="0" w:space="0" w:color="auto"/>
        <w:bottom w:val="none" w:sz="0" w:space="0" w:color="auto"/>
        <w:right w:val="none" w:sz="0" w:space="0" w:color="auto"/>
      </w:divBdr>
    </w:div>
    <w:div w:id="849297477">
      <w:bodyDiv w:val="1"/>
      <w:marLeft w:val="0"/>
      <w:marRight w:val="0"/>
      <w:marTop w:val="0"/>
      <w:marBottom w:val="0"/>
      <w:divBdr>
        <w:top w:val="none" w:sz="0" w:space="0" w:color="auto"/>
        <w:left w:val="none" w:sz="0" w:space="0" w:color="auto"/>
        <w:bottom w:val="none" w:sz="0" w:space="0" w:color="auto"/>
        <w:right w:val="none" w:sz="0" w:space="0" w:color="auto"/>
      </w:divBdr>
    </w:div>
    <w:div w:id="851452279">
      <w:bodyDiv w:val="1"/>
      <w:marLeft w:val="0"/>
      <w:marRight w:val="0"/>
      <w:marTop w:val="0"/>
      <w:marBottom w:val="0"/>
      <w:divBdr>
        <w:top w:val="none" w:sz="0" w:space="0" w:color="auto"/>
        <w:left w:val="none" w:sz="0" w:space="0" w:color="auto"/>
        <w:bottom w:val="none" w:sz="0" w:space="0" w:color="auto"/>
        <w:right w:val="none" w:sz="0" w:space="0" w:color="auto"/>
      </w:divBdr>
      <w:divsChild>
        <w:div w:id="1909799061">
          <w:marLeft w:val="-720"/>
          <w:marRight w:val="0"/>
          <w:marTop w:val="0"/>
          <w:marBottom w:val="0"/>
          <w:divBdr>
            <w:top w:val="none" w:sz="0" w:space="0" w:color="auto"/>
            <w:left w:val="none" w:sz="0" w:space="0" w:color="auto"/>
            <w:bottom w:val="none" w:sz="0" w:space="0" w:color="auto"/>
            <w:right w:val="none" w:sz="0" w:space="0" w:color="auto"/>
          </w:divBdr>
        </w:div>
      </w:divsChild>
    </w:div>
    <w:div w:id="855534927">
      <w:bodyDiv w:val="1"/>
      <w:marLeft w:val="0"/>
      <w:marRight w:val="0"/>
      <w:marTop w:val="0"/>
      <w:marBottom w:val="0"/>
      <w:divBdr>
        <w:top w:val="none" w:sz="0" w:space="0" w:color="auto"/>
        <w:left w:val="none" w:sz="0" w:space="0" w:color="auto"/>
        <w:bottom w:val="none" w:sz="0" w:space="0" w:color="auto"/>
        <w:right w:val="none" w:sz="0" w:space="0" w:color="auto"/>
      </w:divBdr>
      <w:divsChild>
        <w:div w:id="1101754414">
          <w:marLeft w:val="-720"/>
          <w:marRight w:val="0"/>
          <w:marTop w:val="0"/>
          <w:marBottom w:val="0"/>
          <w:divBdr>
            <w:top w:val="none" w:sz="0" w:space="0" w:color="auto"/>
            <w:left w:val="none" w:sz="0" w:space="0" w:color="auto"/>
            <w:bottom w:val="none" w:sz="0" w:space="0" w:color="auto"/>
            <w:right w:val="none" w:sz="0" w:space="0" w:color="auto"/>
          </w:divBdr>
        </w:div>
      </w:divsChild>
    </w:div>
    <w:div w:id="873737906">
      <w:bodyDiv w:val="1"/>
      <w:marLeft w:val="0"/>
      <w:marRight w:val="0"/>
      <w:marTop w:val="0"/>
      <w:marBottom w:val="0"/>
      <w:divBdr>
        <w:top w:val="none" w:sz="0" w:space="0" w:color="auto"/>
        <w:left w:val="none" w:sz="0" w:space="0" w:color="auto"/>
        <w:bottom w:val="none" w:sz="0" w:space="0" w:color="auto"/>
        <w:right w:val="none" w:sz="0" w:space="0" w:color="auto"/>
      </w:divBdr>
    </w:div>
    <w:div w:id="874275084">
      <w:bodyDiv w:val="1"/>
      <w:marLeft w:val="0"/>
      <w:marRight w:val="0"/>
      <w:marTop w:val="0"/>
      <w:marBottom w:val="0"/>
      <w:divBdr>
        <w:top w:val="none" w:sz="0" w:space="0" w:color="auto"/>
        <w:left w:val="none" w:sz="0" w:space="0" w:color="auto"/>
        <w:bottom w:val="none" w:sz="0" w:space="0" w:color="auto"/>
        <w:right w:val="none" w:sz="0" w:space="0" w:color="auto"/>
      </w:divBdr>
    </w:div>
    <w:div w:id="885802331">
      <w:bodyDiv w:val="1"/>
      <w:marLeft w:val="0"/>
      <w:marRight w:val="0"/>
      <w:marTop w:val="0"/>
      <w:marBottom w:val="0"/>
      <w:divBdr>
        <w:top w:val="none" w:sz="0" w:space="0" w:color="auto"/>
        <w:left w:val="none" w:sz="0" w:space="0" w:color="auto"/>
        <w:bottom w:val="none" w:sz="0" w:space="0" w:color="auto"/>
        <w:right w:val="none" w:sz="0" w:space="0" w:color="auto"/>
      </w:divBdr>
      <w:divsChild>
        <w:div w:id="529032214">
          <w:marLeft w:val="0"/>
          <w:marRight w:val="0"/>
          <w:marTop w:val="0"/>
          <w:marBottom w:val="0"/>
          <w:divBdr>
            <w:top w:val="none" w:sz="0" w:space="0" w:color="auto"/>
            <w:left w:val="none" w:sz="0" w:space="0" w:color="auto"/>
            <w:bottom w:val="none" w:sz="0" w:space="0" w:color="auto"/>
            <w:right w:val="none" w:sz="0" w:space="0" w:color="auto"/>
          </w:divBdr>
          <w:divsChild>
            <w:div w:id="2049524174">
              <w:marLeft w:val="0"/>
              <w:marRight w:val="0"/>
              <w:marTop w:val="0"/>
              <w:marBottom w:val="0"/>
              <w:divBdr>
                <w:top w:val="none" w:sz="0" w:space="0" w:color="auto"/>
                <w:left w:val="none" w:sz="0" w:space="0" w:color="auto"/>
                <w:bottom w:val="none" w:sz="0" w:space="0" w:color="auto"/>
                <w:right w:val="none" w:sz="0" w:space="0" w:color="auto"/>
              </w:divBdr>
              <w:divsChild>
                <w:div w:id="2115711720">
                  <w:marLeft w:val="0"/>
                  <w:marRight w:val="0"/>
                  <w:marTop w:val="0"/>
                  <w:marBottom w:val="0"/>
                  <w:divBdr>
                    <w:top w:val="none" w:sz="0" w:space="0" w:color="auto"/>
                    <w:left w:val="none" w:sz="0" w:space="0" w:color="auto"/>
                    <w:bottom w:val="none" w:sz="0" w:space="0" w:color="auto"/>
                    <w:right w:val="none" w:sz="0" w:space="0" w:color="auto"/>
                  </w:divBdr>
                  <w:divsChild>
                    <w:div w:id="77964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920274">
      <w:bodyDiv w:val="1"/>
      <w:marLeft w:val="0"/>
      <w:marRight w:val="0"/>
      <w:marTop w:val="0"/>
      <w:marBottom w:val="0"/>
      <w:divBdr>
        <w:top w:val="none" w:sz="0" w:space="0" w:color="auto"/>
        <w:left w:val="none" w:sz="0" w:space="0" w:color="auto"/>
        <w:bottom w:val="none" w:sz="0" w:space="0" w:color="auto"/>
        <w:right w:val="none" w:sz="0" w:space="0" w:color="auto"/>
      </w:divBdr>
      <w:divsChild>
        <w:div w:id="448671799">
          <w:marLeft w:val="-720"/>
          <w:marRight w:val="0"/>
          <w:marTop w:val="0"/>
          <w:marBottom w:val="0"/>
          <w:divBdr>
            <w:top w:val="none" w:sz="0" w:space="0" w:color="auto"/>
            <w:left w:val="none" w:sz="0" w:space="0" w:color="auto"/>
            <w:bottom w:val="none" w:sz="0" w:space="0" w:color="auto"/>
            <w:right w:val="none" w:sz="0" w:space="0" w:color="auto"/>
          </w:divBdr>
        </w:div>
      </w:divsChild>
    </w:div>
    <w:div w:id="896864606">
      <w:bodyDiv w:val="1"/>
      <w:marLeft w:val="0"/>
      <w:marRight w:val="0"/>
      <w:marTop w:val="0"/>
      <w:marBottom w:val="0"/>
      <w:divBdr>
        <w:top w:val="none" w:sz="0" w:space="0" w:color="auto"/>
        <w:left w:val="none" w:sz="0" w:space="0" w:color="auto"/>
        <w:bottom w:val="none" w:sz="0" w:space="0" w:color="auto"/>
        <w:right w:val="none" w:sz="0" w:space="0" w:color="auto"/>
      </w:divBdr>
      <w:divsChild>
        <w:div w:id="70545490">
          <w:marLeft w:val="0"/>
          <w:marRight w:val="0"/>
          <w:marTop w:val="0"/>
          <w:marBottom w:val="0"/>
          <w:divBdr>
            <w:top w:val="none" w:sz="0" w:space="0" w:color="auto"/>
            <w:left w:val="none" w:sz="0" w:space="0" w:color="auto"/>
            <w:bottom w:val="none" w:sz="0" w:space="0" w:color="auto"/>
            <w:right w:val="none" w:sz="0" w:space="0" w:color="auto"/>
          </w:divBdr>
          <w:divsChild>
            <w:div w:id="518618458">
              <w:marLeft w:val="0"/>
              <w:marRight w:val="0"/>
              <w:marTop w:val="0"/>
              <w:marBottom w:val="0"/>
              <w:divBdr>
                <w:top w:val="none" w:sz="0" w:space="0" w:color="auto"/>
                <w:left w:val="none" w:sz="0" w:space="0" w:color="auto"/>
                <w:bottom w:val="none" w:sz="0" w:space="0" w:color="auto"/>
                <w:right w:val="none" w:sz="0" w:space="0" w:color="auto"/>
              </w:divBdr>
              <w:divsChild>
                <w:div w:id="238056056">
                  <w:marLeft w:val="0"/>
                  <w:marRight w:val="0"/>
                  <w:marTop w:val="0"/>
                  <w:marBottom w:val="0"/>
                  <w:divBdr>
                    <w:top w:val="none" w:sz="0" w:space="0" w:color="auto"/>
                    <w:left w:val="none" w:sz="0" w:space="0" w:color="auto"/>
                    <w:bottom w:val="none" w:sz="0" w:space="0" w:color="auto"/>
                    <w:right w:val="none" w:sz="0" w:space="0" w:color="auto"/>
                  </w:divBdr>
                  <w:divsChild>
                    <w:div w:id="1743329876">
                      <w:marLeft w:val="0"/>
                      <w:marRight w:val="0"/>
                      <w:marTop w:val="0"/>
                      <w:marBottom w:val="0"/>
                      <w:divBdr>
                        <w:top w:val="none" w:sz="0" w:space="0" w:color="auto"/>
                        <w:left w:val="none" w:sz="0" w:space="0" w:color="auto"/>
                        <w:bottom w:val="none" w:sz="0" w:space="0" w:color="auto"/>
                        <w:right w:val="none" w:sz="0" w:space="0" w:color="auto"/>
                      </w:divBdr>
                      <w:divsChild>
                        <w:div w:id="800994871">
                          <w:marLeft w:val="0"/>
                          <w:marRight w:val="0"/>
                          <w:marTop w:val="0"/>
                          <w:marBottom w:val="0"/>
                          <w:divBdr>
                            <w:top w:val="none" w:sz="0" w:space="0" w:color="auto"/>
                            <w:left w:val="none" w:sz="0" w:space="0" w:color="auto"/>
                            <w:bottom w:val="none" w:sz="0" w:space="0" w:color="auto"/>
                            <w:right w:val="none" w:sz="0" w:space="0" w:color="auto"/>
                          </w:divBdr>
                          <w:divsChild>
                            <w:div w:id="1601720143">
                              <w:marLeft w:val="0"/>
                              <w:marRight w:val="0"/>
                              <w:marTop w:val="0"/>
                              <w:marBottom w:val="0"/>
                              <w:divBdr>
                                <w:top w:val="none" w:sz="0" w:space="0" w:color="auto"/>
                                <w:left w:val="none" w:sz="0" w:space="0" w:color="auto"/>
                                <w:bottom w:val="none" w:sz="0" w:space="0" w:color="auto"/>
                                <w:right w:val="none" w:sz="0" w:space="0" w:color="auto"/>
                              </w:divBdr>
                              <w:divsChild>
                                <w:div w:id="2042854875">
                                  <w:marLeft w:val="0"/>
                                  <w:marRight w:val="0"/>
                                  <w:marTop w:val="0"/>
                                  <w:marBottom w:val="0"/>
                                  <w:divBdr>
                                    <w:top w:val="none" w:sz="0" w:space="0" w:color="auto"/>
                                    <w:left w:val="none" w:sz="0" w:space="0" w:color="auto"/>
                                    <w:bottom w:val="none" w:sz="0" w:space="0" w:color="auto"/>
                                    <w:right w:val="none" w:sz="0" w:space="0" w:color="auto"/>
                                  </w:divBdr>
                                  <w:divsChild>
                                    <w:div w:id="156729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423896">
                  <w:marLeft w:val="0"/>
                  <w:marRight w:val="0"/>
                  <w:marTop w:val="0"/>
                  <w:marBottom w:val="0"/>
                  <w:divBdr>
                    <w:top w:val="none" w:sz="0" w:space="0" w:color="auto"/>
                    <w:left w:val="none" w:sz="0" w:space="0" w:color="auto"/>
                    <w:bottom w:val="none" w:sz="0" w:space="0" w:color="auto"/>
                    <w:right w:val="none" w:sz="0" w:space="0" w:color="auto"/>
                  </w:divBdr>
                  <w:divsChild>
                    <w:div w:id="1486239821">
                      <w:marLeft w:val="0"/>
                      <w:marRight w:val="0"/>
                      <w:marTop w:val="0"/>
                      <w:marBottom w:val="0"/>
                      <w:divBdr>
                        <w:top w:val="none" w:sz="0" w:space="0" w:color="auto"/>
                        <w:left w:val="none" w:sz="0" w:space="0" w:color="auto"/>
                        <w:bottom w:val="none" w:sz="0" w:space="0" w:color="auto"/>
                        <w:right w:val="none" w:sz="0" w:space="0" w:color="auto"/>
                      </w:divBdr>
                      <w:divsChild>
                        <w:div w:id="1636913857">
                          <w:marLeft w:val="0"/>
                          <w:marRight w:val="0"/>
                          <w:marTop w:val="0"/>
                          <w:marBottom w:val="0"/>
                          <w:divBdr>
                            <w:top w:val="none" w:sz="0" w:space="0" w:color="auto"/>
                            <w:left w:val="none" w:sz="0" w:space="0" w:color="auto"/>
                            <w:bottom w:val="none" w:sz="0" w:space="0" w:color="auto"/>
                            <w:right w:val="none" w:sz="0" w:space="0" w:color="auto"/>
                          </w:divBdr>
                          <w:divsChild>
                            <w:div w:id="1975523085">
                              <w:marLeft w:val="0"/>
                              <w:marRight w:val="0"/>
                              <w:marTop w:val="0"/>
                              <w:marBottom w:val="0"/>
                              <w:divBdr>
                                <w:top w:val="none" w:sz="0" w:space="0" w:color="auto"/>
                                <w:left w:val="none" w:sz="0" w:space="0" w:color="auto"/>
                                <w:bottom w:val="none" w:sz="0" w:space="0" w:color="auto"/>
                                <w:right w:val="none" w:sz="0" w:space="0" w:color="auto"/>
                              </w:divBdr>
                              <w:divsChild>
                                <w:div w:id="596787431">
                                  <w:marLeft w:val="0"/>
                                  <w:marRight w:val="0"/>
                                  <w:marTop w:val="0"/>
                                  <w:marBottom w:val="0"/>
                                  <w:divBdr>
                                    <w:top w:val="none" w:sz="0" w:space="0" w:color="auto"/>
                                    <w:left w:val="none" w:sz="0" w:space="0" w:color="auto"/>
                                    <w:bottom w:val="none" w:sz="0" w:space="0" w:color="auto"/>
                                    <w:right w:val="none" w:sz="0" w:space="0" w:color="auto"/>
                                  </w:divBdr>
                                  <w:divsChild>
                                    <w:div w:id="137431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810656">
          <w:marLeft w:val="0"/>
          <w:marRight w:val="0"/>
          <w:marTop w:val="0"/>
          <w:marBottom w:val="0"/>
          <w:divBdr>
            <w:top w:val="none" w:sz="0" w:space="0" w:color="auto"/>
            <w:left w:val="none" w:sz="0" w:space="0" w:color="auto"/>
            <w:bottom w:val="none" w:sz="0" w:space="0" w:color="auto"/>
            <w:right w:val="none" w:sz="0" w:space="0" w:color="auto"/>
          </w:divBdr>
          <w:divsChild>
            <w:div w:id="1685936034">
              <w:marLeft w:val="0"/>
              <w:marRight w:val="0"/>
              <w:marTop w:val="0"/>
              <w:marBottom w:val="0"/>
              <w:divBdr>
                <w:top w:val="none" w:sz="0" w:space="0" w:color="auto"/>
                <w:left w:val="none" w:sz="0" w:space="0" w:color="auto"/>
                <w:bottom w:val="none" w:sz="0" w:space="0" w:color="auto"/>
                <w:right w:val="none" w:sz="0" w:space="0" w:color="auto"/>
              </w:divBdr>
              <w:divsChild>
                <w:div w:id="442269584">
                  <w:marLeft w:val="0"/>
                  <w:marRight w:val="0"/>
                  <w:marTop w:val="0"/>
                  <w:marBottom w:val="0"/>
                  <w:divBdr>
                    <w:top w:val="none" w:sz="0" w:space="0" w:color="auto"/>
                    <w:left w:val="none" w:sz="0" w:space="0" w:color="auto"/>
                    <w:bottom w:val="none" w:sz="0" w:space="0" w:color="auto"/>
                    <w:right w:val="none" w:sz="0" w:space="0" w:color="auto"/>
                  </w:divBdr>
                  <w:divsChild>
                    <w:div w:id="2102026594">
                      <w:marLeft w:val="0"/>
                      <w:marRight w:val="0"/>
                      <w:marTop w:val="0"/>
                      <w:marBottom w:val="0"/>
                      <w:divBdr>
                        <w:top w:val="none" w:sz="0" w:space="0" w:color="auto"/>
                        <w:left w:val="none" w:sz="0" w:space="0" w:color="auto"/>
                        <w:bottom w:val="none" w:sz="0" w:space="0" w:color="auto"/>
                        <w:right w:val="none" w:sz="0" w:space="0" w:color="auto"/>
                      </w:divBdr>
                      <w:divsChild>
                        <w:div w:id="1602377377">
                          <w:marLeft w:val="0"/>
                          <w:marRight w:val="0"/>
                          <w:marTop w:val="0"/>
                          <w:marBottom w:val="0"/>
                          <w:divBdr>
                            <w:top w:val="none" w:sz="0" w:space="0" w:color="auto"/>
                            <w:left w:val="none" w:sz="0" w:space="0" w:color="auto"/>
                            <w:bottom w:val="none" w:sz="0" w:space="0" w:color="auto"/>
                            <w:right w:val="none" w:sz="0" w:space="0" w:color="auto"/>
                          </w:divBdr>
                          <w:divsChild>
                            <w:div w:id="931816204">
                              <w:marLeft w:val="0"/>
                              <w:marRight w:val="0"/>
                              <w:marTop w:val="0"/>
                              <w:marBottom w:val="0"/>
                              <w:divBdr>
                                <w:top w:val="none" w:sz="0" w:space="0" w:color="auto"/>
                                <w:left w:val="none" w:sz="0" w:space="0" w:color="auto"/>
                                <w:bottom w:val="none" w:sz="0" w:space="0" w:color="auto"/>
                                <w:right w:val="none" w:sz="0" w:space="0" w:color="auto"/>
                              </w:divBdr>
                              <w:divsChild>
                                <w:div w:id="2070034714">
                                  <w:marLeft w:val="0"/>
                                  <w:marRight w:val="0"/>
                                  <w:marTop w:val="0"/>
                                  <w:marBottom w:val="0"/>
                                  <w:divBdr>
                                    <w:top w:val="none" w:sz="0" w:space="0" w:color="auto"/>
                                    <w:left w:val="none" w:sz="0" w:space="0" w:color="auto"/>
                                    <w:bottom w:val="none" w:sz="0" w:space="0" w:color="auto"/>
                                    <w:right w:val="none" w:sz="0" w:space="0" w:color="auto"/>
                                  </w:divBdr>
                                  <w:divsChild>
                                    <w:div w:id="1609041790">
                                      <w:marLeft w:val="0"/>
                                      <w:marRight w:val="0"/>
                                      <w:marTop w:val="0"/>
                                      <w:marBottom w:val="0"/>
                                      <w:divBdr>
                                        <w:top w:val="none" w:sz="0" w:space="0" w:color="auto"/>
                                        <w:left w:val="none" w:sz="0" w:space="0" w:color="auto"/>
                                        <w:bottom w:val="none" w:sz="0" w:space="0" w:color="auto"/>
                                        <w:right w:val="none" w:sz="0" w:space="0" w:color="auto"/>
                                      </w:divBdr>
                                      <w:divsChild>
                                        <w:div w:id="5058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1449340">
          <w:marLeft w:val="0"/>
          <w:marRight w:val="0"/>
          <w:marTop w:val="0"/>
          <w:marBottom w:val="0"/>
          <w:divBdr>
            <w:top w:val="none" w:sz="0" w:space="0" w:color="auto"/>
            <w:left w:val="none" w:sz="0" w:space="0" w:color="auto"/>
            <w:bottom w:val="none" w:sz="0" w:space="0" w:color="auto"/>
            <w:right w:val="none" w:sz="0" w:space="0" w:color="auto"/>
          </w:divBdr>
          <w:divsChild>
            <w:div w:id="1587809290">
              <w:marLeft w:val="0"/>
              <w:marRight w:val="0"/>
              <w:marTop w:val="0"/>
              <w:marBottom w:val="0"/>
              <w:divBdr>
                <w:top w:val="none" w:sz="0" w:space="0" w:color="auto"/>
                <w:left w:val="none" w:sz="0" w:space="0" w:color="auto"/>
                <w:bottom w:val="none" w:sz="0" w:space="0" w:color="auto"/>
                <w:right w:val="none" w:sz="0" w:space="0" w:color="auto"/>
              </w:divBdr>
              <w:divsChild>
                <w:div w:id="1379891448">
                  <w:marLeft w:val="0"/>
                  <w:marRight w:val="0"/>
                  <w:marTop w:val="0"/>
                  <w:marBottom w:val="0"/>
                  <w:divBdr>
                    <w:top w:val="none" w:sz="0" w:space="0" w:color="auto"/>
                    <w:left w:val="none" w:sz="0" w:space="0" w:color="auto"/>
                    <w:bottom w:val="none" w:sz="0" w:space="0" w:color="auto"/>
                    <w:right w:val="none" w:sz="0" w:space="0" w:color="auto"/>
                  </w:divBdr>
                  <w:divsChild>
                    <w:div w:id="605313266">
                      <w:marLeft w:val="0"/>
                      <w:marRight w:val="0"/>
                      <w:marTop w:val="0"/>
                      <w:marBottom w:val="0"/>
                      <w:divBdr>
                        <w:top w:val="none" w:sz="0" w:space="0" w:color="auto"/>
                        <w:left w:val="none" w:sz="0" w:space="0" w:color="auto"/>
                        <w:bottom w:val="none" w:sz="0" w:space="0" w:color="auto"/>
                        <w:right w:val="none" w:sz="0" w:space="0" w:color="auto"/>
                      </w:divBdr>
                      <w:divsChild>
                        <w:div w:id="803353821">
                          <w:marLeft w:val="0"/>
                          <w:marRight w:val="0"/>
                          <w:marTop w:val="0"/>
                          <w:marBottom w:val="0"/>
                          <w:divBdr>
                            <w:top w:val="none" w:sz="0" w:space="0" w:color="auto"/>
                            <w:left w:val="none" w:sz="0" w:space="0" w:color="auto"/>
                            <w:bottom w:val="none" w:sz="0" w:space="0" w:color="auto"/>
                            <w:right w:val="none" w:sz="0" w:space="0" w:color="auto"/>
                          </w:divBdr>
                          <w:divsChild>
                            <w:div w:id="2038190781">
                              <w:marLeft w:val="0"/>
                              <w:marRight w:val="0"/>
                              <w:marTop w:val="0"/>
                              <w:marBottom w:val="0"/>
                              <w:divBdr>
                                <w:top w:val="none" w:sz="0" w:space="0" w:color="auto"/>
                                <w:left w:val="none" w:sz="0" w:space="0" w:color="auto"/>
                                <w:bottom w:val="none" w:sz="0" w:space="0" w:color="auto"/>
                                <w:right w:val="none" w:sz="0" w:space="0" w:color="auto"/>
                              </w:divBdr>
                              <w:divsChild>
                                <w:div w:id="779837873">
                                  <w:marLeft w:val="0"/>
                                  <w:marRight w:val="0"/>
                                  <w:marTop w:val="0"/>
                                  <w:marBottom w:val="0"/>
                                  <w:divBdr>
                                    <w:top w:val="none" w:sz="0" w:space="0" w:color="auto"/>
                                    <w:left w:val="none" w:sz="0" w:space="0" w:color="auto"/>
                                    <w:bottom w:val="none" w:sz="0" w:space="0" w:color="auto"/>
                                    <w:right w:val="none" w:sz="0" w:space="0" w:color="auto"/>
                                  </w:divBdr>
                                  <w:divsChild>
                                    <w:div w:id="19057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3563080">
      <w:bodyDiv w:val="1"/>
      <w:marLeft w:val="0"/>
      <w:marRight w:val="0"/>
      <w:marTop w:val="0"/>
      <w:marBottom w:val="0"/>
      <w:divBdr>
        <w:top w:val="none" w:sz="0" w:space="0" w:color="auto"/>
        <w:left w:val="none" w:sz="0" w:space="0" w:color="auto"/>
        <w:bottom w:val="none" w:sz="0" w:space="0" w:color="auto"/>
        <w:right w:val="none" w:sz="0" w:space="0" w:color="auto"/>
      </w:divBdr>
      <w:divsChild>
        <w:div w:id="1330408427">
          <w:marLeft w:val="-720"/>
          <w:marRight w:val="0"/>
          <w:marTop w:val="0"/>
          <w:marBottom w:val="0"/>
          <w:divBdr>
            <w:top w:val="none" w:sz="0" w:space="0" w:color="auto"/>
            <w:left w:val="none" w:sz="0" w:space="0" w:color="auto"/>
            <w:bottom w:val="none" w:sz="0" w:space="0" w:color="auto"/>
            <w:right w:val="none" w:sz="0" w:space="0" w:color="auto"/>
          </w:divBdr>
        </w:div>
      </w:divsChild>
    </w:div>
    <w:div w:id="911045558">
      <w:bodyDiv w:val="1"/>
      <w:marLeft w:val="0"/>
      <w:marRight w:val="0"/>
      <w:marTop w:val="0"/>
      <w:marBottom w:val="0"/>
      <w:divBdr>
        <w:top w:val="none" w:sz="0" w:space="0" w:color="auto"/>
        <w:left w:val="none" w:sz="0" w:space="0" w:color="auto"/>
        <w:bottom w:val="none" w:sz="0" w:space="0" w:color="auto"/>
        <w:right w:val="none" w:sz="0" w:space="0" w:color="auto"/>
      </w:divBdr>
    </w:div>
    <w:div w:id="935869574">
      <w:bodyDiv w:val="1"/>
      <w:marLeft w:val="0"/>
      <w:marRight w:val="0"/>
      <w:marTop w:val="0"/>
      <w:marBottom w:val="0"/>
      <w:divBdr>
        <w:top w:val="none" w:sz="0" w:space="0" w:color="auto"/>
        <w:left w:val="none" w:sz="0" w:space="0" w:color="auto"/>
        <w:bottom w:val="none" w:sz="0" w:space="0" w:color="auto"/>
        <w:right w:val="none" w:sz="0" w:space="0" w:color="auto"/>
      </w:divBdr>
    </w:div>
    <w:div w:id="939020650">
      <w:bodyDiv w:val="1"/>
      <w:marLeft w:val="0"/>
      <w:marRight w:val="0"/>
      <w:marTop w:val="0"/>
      <w:marBottom w:val="0"/>
      <w:divBdr>
        <w:top w:val="none" w:sz="0" w:space="0" w:color="auto"/>
        <w:left w:val="none" w:sz="0" w:space="0" w:color="auto"/>
        <w:bottom w:val="none" w:sz="0" w:space="0" w:color="auto"/>
        <w:right w:val="none" w:sz="0" w:space="0" w:color="auto"/>
      </w:divBdr>
    </w:div>
    <w:div w:id="944923043">
      <w:bodyDiv w:val="1"/>
      <w:marLeft w:val="0"/>
      <w:marRight w:val="0"/>
      <w:marTop w:val="0"/>
      <w:marBottom w:val="0"/>
      <w:divBdr>
        <w:top w:val="none" w:sz="0" w:space="0" w:color="auto"/>
        <w:left w:val="none" w:sz="0" w:space="0" w:color="auto"/>
        <w:bottom w:val="none" w:sz="0" w:space="0" w:color="auto"/>
        <w:right w:val="none" w:sz="0" w:space="0" w:color="auto"/>
      </w:divBdr>
    </w:div>
    <w:div w:id="951287067">
      <w:bodyDiv w:val="1"/>
      <w:marLeft w:val="0"/>
      <w:marRight w:val="0"/>
      <w:marTop w:val="0"/>
      <w:marBottom w:val="0"/>
      <w:divBdr>
        <w:top w:val="none" w:sz="0" w:space="0" w:color="auto"/>
        <w:left w:val="none" w:sz="0" w:space="0" w:color="auto"/>
        <w:bottom w:val="none" w:sz="0" w:space="0" w:color="auto"/>
        <w:right w:val="none" w:sz="0" w:space="0" w:color="auto"/>
      </w:divBdr>
    </w:div>
    <w:div w:id="955716146">
      <w:bodyDiv w:val="1"/>
      <w:marLeft w:val="0"/>
      <w:marRight w:val="0"/>
      <w:marTop w:val="0"/>
      <w:marBottom w:val="0"/>
      <w:divBdr>
        <w:top w:val="none" w:sz="0" w:space="0" w:color="auto"/>
        <w:left w:val="none" w:sz="0" w:space="0" w:color="auto"/>
        <w:bottom w:val="none" w:sz="0" w:space="0" w:color="auto"/>
        <w:right w:val="none" w:sz="0" w:space="0" w:color="auto"/>
      </w:divBdr>
    </w:div>
    <w:div w:id="957759480">
      <w:bodyDiv w:val="1"/>
      <w:marLeft w:val="0"/>
      <w:marRight w:val="0"/>
      <w:marTop w:val="0"/>
      <w:marBottom w:val="0"/>
      <w:divBdr>
        <w:top w:val="none" w:sz="0" w:space="0" w:color="auto"/>
        <w:left w:val="none" w:sz="0" w:space="0" w:color="auto"/>
        <w:bottom w:val="none" w:sz="0" w:space="0" w:color="auto"/>
        <w:right w:val="none" w:sz="0" w:space="0" w:color="auto"/>
      </w:divBdr>
    </w:div>
    <w:div w:id="971593802">
      <w:bodyDiv w:val="1"/>
      <w:marLeft w:val="0"/>
      <w:marRight w:val="0"/>
      <w:marTop w:val="0"/>
      <w:marBottom w:val="0"/>
      <w:divBdr>
        <w:top w:val="none" w:sz="0" w:space="0" w:color="auto"/>
        <w:left w:val="none" w:sz="0" w:space="0" w:color="auto"/>
        <w:bottom w:val="none" w:sz="0" w:space="0" w:color="auto"/>
        <w:right w:val="none" w:sz="0" w:space="0" w:color="auto"/>
      </w:divBdr>
    </w:div>
    <w:div w:id="972908157">
      <w:bodyDiv w:val="1"/>
      <w:marLeft w:val="0"/>
      <w:marRight w:val="0"/>
      <w:marTop w:val="0"/>
      <w:marBottom w:val="0"/>
      <w:divBdr>
        <w:top w:val="none" w:sz="0" w:space="0" w:color="auto"/>
        <w:left w:val="none" w:sz="0" w:space="0" w:color="auto"/>
        <w:bottom w:val="none" w:sz="0" w:space="0" w:color="auto"/>
        <w:right w:val="none" w:sz="0" w:space="0" w:color="auto"/>
      </w:divBdr>
      <w:divsChild>
        <w:div w:id="739593440">
          <w:marLeft w:val="-720"/>
          <w:marRight w:val="0"/>
          <w:marTop w:val="0"/>
          <w:marBottom w:val="0"/>
          <w:divBdr>
            <w:top w:val="none" w:sz="0" w:space="0" w:color="auto"/>
            <w:left w:val="none" w:sz="0" w:space="0" w:color="auto"/>
            <w:bottom w:val="none" w:sz="0" w:space="0" w:color="auto"/>
            <w:right w:val="none" w:sz="0" w:space="0" w:color="auto"/>
          </w:divBdr>
        </w:div>
      </w:divsChild>
    </w:div>
    <w:div w:id="996029174">
      <w:bodyDiv w:val="1"/>
      <w:marLeft w:val="0"/>
      <w:marRight w:val="0"/>
      <w:marTop w:val="0"/>
      <w:marBottom w:val="0"/>
      <w:divBdr>
        <w:top w:val="none" w:sz="0" w:space="0" w:color="auto"/>
        <w:left w:val="none" w:sz="0" w:space="0" w:color="auto"/>
        <w:bottom w:val="none" w:sz="0" w:space="0" w:color="auto"/>
        <w:right w:val="none" w:sz="0" w:space="0" w:color="auto"/>
      </w:divBdr>
    </w:div>
    <w:div w:id="1001853780">
      <w:bodyDiv w:val="1"/>
      <w:marLeft w:val="0"/>
      <w:marRight w:val="0"/>
      <w:marTop w:val="0"/>
      <w:marBottom w:val="0"/>
      <w:divBdr>
        <w:top w:val="none" w:sz="0" w:space="0" w:color="auto"/>
        <w:left w:val="none" w:sz="0" w:space="0" w:color="auto"/>
        <w:bottom w:val="none" w:sz="0" w:space="0" w:color="auto"/>
        <w:right w:val="none" w:sz="0" w:space="0" w:color="auto"/>
      </w:divBdr>
    </w:div>
    <w:div w:id="1002665187">
      <w:bodyDiv w:val="1"/>
      <w:marLeft w:val="0"/>
      <w:marRight w:val="0"/>
      <w:marTop w:val="0"/>
      <w:marBottom w:val="0"/>
      <w:divBdr>
        <w:top w:val="none" w:sz="0" w:space="0" w:color="auto"/>
        <w:left w:val="none" w:sz="0" w:space="0" w:color="auto"/>
        <w:bottom w:val="none" w:sz="0" w:space="0" w:color="auto"/>
        <w:right w:val="none" w:sz="0" w:space="0" w:color="auto"/>
      </w:divBdr>
      <w:divsChild>
        <w:div w:id="984049136">
          <w:marLeft w:val="-720"/>
          <w:marRight w:val="0"/>
          <w:marTop w:val="0"/>
          <w:marBottom w:val="0"/>
          <w:divBdr>
            <w:top w:val="none" w:sz="0" w:space="0" w:color="auto"/>
            <w:left w:val="none" w:sz="0" w:space="0" w:color="auto"/>
            <w:bottom w:val="none" w:sz="0" w:space="0" w:color="auto"/>
            <w:right w:val="none" w:sz="0" w:space="0" w:color="auto"/>
          </w:divBdr>
        </w:div>
      </w:divsChild>
    </w:div>
    <w:div w:id="1012954944">
      <w:bodyDiv w:val="1"/>
      <w:marLeft w:val="0"/>
      <w:marRight w:val="0"/>
      <w:marTop w:val="0"/>
      <w:marBottom w:val="0"/>
      <w:divBdr>
        <w:top w:val="none" w:sz="0" w:space="0" w:color="auto"/>
        <w:left w:val="none" w:sz="0" w:space="0" w:color="auto"/>
        <w:bottom w:val="none" w:sz="0" w:space="0" w:color="auto"/>
        <w:right w:val="none" w:sz="0" w:space="0" w:color="auto"/>
      </w:divBdr>
    </w:div>
    <w:div w:id="1033115430">
      <w:bodyDiv w:val="1"/>
      <w:marLeft w:val="0"/>
      <w:marRight w:val="0"/>
      <w:marTop w:val="0"/>
      <w:marBottom w:val="0"/>
      <w:divBdr>
        <w:top w:val="none" w:sz="0" w:space="0" w:color="auto"/>
        <w:left w:val="none" w:sz="0" w:space="0" w:color="auto"/>
        <w:bottom w:val="none" w:sz="0" w:space="0" w:color="auto"/>
        <w:right w:val="none" w:sz="0" w:space="0" w:color="auto"/>
      </w:divBdr>
    </w:div>
    <w:div w:id="1033653654">
      <w:bodyDiv w:val="1"/>
      <w:marLeft w:val="0"/>
      <w:marRight w:val="0"/>
      <w:marTop w:val="0"/>
      <w:marBottom w:val="0"/>
      <w:divBdr>
        <w:top w:val="none" w:sz="0" w:space="0" w:color="auto"/>
        <w:left w:val="none" w:sz="0" w:space="0" w:color="auto"/>
        <w:bottom w:val="none" w:sz="0" w:space="0" w:color="auto"/>
        <w:right w:val="none" w:sz="0" w:space="0" w:color="auto"/>
      </w:divBdr>
    </w:div>
    <w:div w:id="1040714203">
      <w:bodyDiv w:val="1"/>
      <w:marLeft w:val="0"/>
      <w:marRight w:val="0"/>
      <w:marTop w:val="0"/>
      <w:marBottom w:val="0"/>
      <w:divBdr>
        <w:top w:val="none" w:sz="0" w:space="0" w:color="auto"/>
        <w:left w:val="none" w:sz="0" w:space="0" w:color="auto"/>
        <w:bottom w:val="none" w:sz="0" w:space="0" w:color="auto"/>
        <w:right w:val="none" w:sz="0" w:space="0" w:color="auto"/>
      </w:divBdr>
    </w:div>
    <w:div w:id="1051223255">
      <w:bodyDiv w:val="1"/>
      <w:marLeft w:val="0"/>
      <w:marRight w:val="0"/>
      <w:marTop w:val="0"/>
      <w:marBottom w:val="0"/>
      <w:divBdr>
        <w:top w:val="none" w:sz="0" w:space="0" w:color="auto"/>
        <w:left w:val="none" w:sz="0" w:space="0" w:color="auto"/>
        <w:bottom w:val="none" w:sz="0" w:space="0" w:color="auto"/>
        <w:right w:val="none" w:sz="0" w:space="0" w:color="auto"/>
      </w:divBdr>
      <w:divsChild>
        <w:div w:id="947272700">
          <w:marLeft w:val="0"/>
          <w:marRight w:val="0"/>
          <w:marTop w:val="0"/>
          <w:marBottom w:val="0"/>
          <w:divBdr>
            <w:top w:val="none" w:sz="0" w:space="0" w:color="auto"/>
            <w:left w:val="none" w:sz="0" w:space="0" w:color="auto"/>
            <w:bottom w:val="none" w:sz="0" w:space="0" w:color="auto"/>
            <w:right w:val="none" w:sz="0" w:space="0" w:color="auto"/>
          </w:divBdr>
          <w:divsChild>
            <w:div w:id="903372091">
              <w:marLeft w:val="0"/>
              <w:marRight w:val="0"/>
              <w:marTop w:val="0"/>
              <w:marBottom w:val="0"/>
              <w:divBdr>
                <w:top w:val="none" w:sz="0" w:space="0" w:color="auto"/>
                <w:left w:val="none" w:sz="0" w:space="0" w:color="auto"/>
                <w:bottom w:val="none" w:sz="0" w:space="0" w:color="auto"/>
                <w:right w:val="none" w:sz="0" w:space="0" w:color="auto"/>
              </w:divBdr>
              <w:divsChild>
                <w:div w:id="1813599703">
                  <w:marLeft w:val="0"/>
                  <w:marRight w:val="0"/>
                  <w:marTop w:val="0"/>
                  <w:marBottom w:val="0"/>
                  <w:divBdr>
                    <w:top w:val="none" w:sz="0" w:space="0" w:color="auto"/>
                    <w:left w:val="none" w:sz="0" w:space="0" w:color="auto"/>
                    <w:bottom w:val="none" w:sz="0" w:space="0" w:color="auto"/>
                    <w:right w:val="none" w:sz="0" w:space="0" w:color="auto"/>
                  </w:divBdr>
                  <w:divsChild>
                    <w:div w:id="1964069883">
                      <w:marLeft w:val="0"/>
                      <w:marRight w:val="0"/>
                      <w:marTop w:val="0"/>
                      <w:marBottom w:val="0"/>
                      <w:divBdr>
                        <w:top w:val="none" w:sz="0" w:space="0" w:color="auto"/>
                        <w:left w:val="none" w:sz="0" w:space="0" w:color="auto"/>
                        <w:bottom w:val="none" w:sz="0" w:space="0" w:color="auto"/>
                        <w:right w:val="none" w:sz="0" w:space="0" w:color="auto"/>
                      </w:divBdr>
                      <w:divsChild>
                        <w:div w:id="1972860559">
                          <w:marLeft w:val="0"/>
                          <w:marRight w:val="0"/>
                          <w:marTop w:val="0"/>
                          <w:marBottom w:val="0"/>
                          <w:divBdr>
                            <w:top w:val="none" w:sz="0" w:space="0" w:color="auto"/>
                            <w:left w:val="none" w:sz="0" w:space="0" w:color="auto"/>
                            <w:bottom w:val="none" w:sz="0" w:space="0" w:color="auto"/>
                            <w:right w:val="none" w:sz="0" w:space="0" w:color="auto"/>
                          </w:divBdr>
                          <w:divsChild>
                            <w:div w:id="2049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524472">
      <w:bodyDiv w:val="1"/>
      <w:marLeft w:val="0"/>
      <w:marRight w:val="0"/>
      <w:marTop w:val="0"/>
      <w:marBottom w:val="0"/>
      <w:divBdr>
        <w:top w:val="none" w:sz="0" w:space="0" w:color="auto"/>
        <w:left w:val="none" w:sz="0" w:space="0" w:color="auto"/>
        <w:bottom w:val="none" w:sz="0" w:space="0" w:color="auto"/>
        <w:right w:val="none" w:sz="0" w:space="0" w:color="auto"/>
      </w:divBdr>
      <w:divsChild>
        <w:div w:id="1479951740">
          <w:marLeft w:val="-720"/>
          <w:marRight w:val="0"/>
          <w:marTop w:val="0"/>
          <w:marBottom w:val="0"/>
          <w:divBdr>
            <w:top w:val="none" w:sz="0" w:space="0" w:color="auto"/>
            <w:left w:val="none" w:sz="0" w:space="0" w:color="auto"/>
            <w:bottom w:val="none" w:sz="0" w:space="0" w:color="auto"/>
            <w:right w:val="none" w:sz="0" w:space="0" w:color="auto"/>
          </w:divBdr>
        </w:div>
      </w:divsChild>
    </w:div>
    <w:div w:id="1077702327">
      <w:bodyDiv w:val="1"/>
      <w:marLeft w:val="0"/>
      <w:marRight w:val="0"/>
      <w:marTop w:val="0"/>
      <w:marBottom w:val="0"/>
      <w:divBdr>
        <w:top w:val="none" w:sz="0" w:space="0" w:color="auto"/>
        <w:left w:val="none" w:sz="0" w:space="0" w:color="auto"/>
        <w:bottom w:val="none" w:sz="0" w:space="0" w:color="auto"/>
        <w:right w:val="none" w:sz="0" w:space="0" w:color="auto"/>
      </w:divBdr>
    </w:div>
    <w:div w:id="1092773094">
      <w:bodyDiv w:val="1"/>
      <w:marLeft w:val="0"/>
      <w:marRight w:val="0"/>
      <w:marTop w:val="0"/>
      <w:marBottom w:val="0"/>
      <w:divBdr>
        <w:top w:val="none" w:sz="0" w:space="0" w:color="auto"/>
        <w:left w:val="none" w:sz="0" w:space="0" w:color="auto"/>
        <w:bottom w:val="none" w:sz="0" w:space="0" w:color="auto"/>
        <w:right w:val="none" w:sz="0" w:space="0" w:color="auto"/>
      </w:divBdr>
      <w:divsChild>
        <w:div w:id="2067684690">
          <w:marLeft w:val="-720"/>
          <w:marRight w:val="0"/>
          <w:marTop w:val="0"/>
          <w:marBottom w:val="0"/>
          <w:divBdr>
            <w:top w:val="none" w:sz="0" w:space="0" w:color="auto"/>
            <w:left w:val="none" w:sz="0" w:space="0" w:color="auto"/>
            <w:bottom w:val="none" w:sz="0" w:space="0" w:color="auto"/>
            <w:right w:val="none" w:sz="0" w:space="0" w:color="auto"/>
          </w:divBdr>
        </w:div>
      </w:divsChild>
    </w:div>
    <w:div w:id="1100876330">
      <w:bodyDiv w:val="1"/>
      <w:marLeft w:val="0"/>
      <w:marRight w:val="0"/>
      <w:marTop w:val="0"/>
      <w:marBottom w:val="0"/>
      <w:divBdr>
        <w:top w:val="none" w:sz="0" w:space="0" w:color="auto"/>
        <w:left w:val="none" w:sz="0" w:space="0" w:color="auto"/>
        <w:bottom w:val="none" w:sz="0" w:space="0" w:color="auto"/>
        <w:right w:val="none" w:sz="0" w:space="0" w:color="auto"/>
      </w:divBdr>
      <w:divsChild>
        <w:div w:id="2061514254">
          <w:marLeft w:val="-720"/>
          <w:marRight w:val="0"/>
          <w:marTop w:val="0"/>
          <w:marBottom w:val="0"/>
          <w:divBdr>
            <w:top w:val="none" w:sz="0" w:space="0" w:color="auto"/>
            <w:left w:val="none" w:sz="0" w:space="0" w:color="auto"/>
            <w:bottom w:val="none" w:sz="0" w:space="0" w:color="auto"/>
            <w:right w:val="none" w:sz="0" w:space="0" w:color="auto"/>
          </w:divBdr>
        </w:div>
      </w:divsChild>
    </w:div>
    <w:div w:id="1105539900">
      <w:bodyDiv w:val="1"/>
      <w:marLeft w:val="0"/>
      <w:marRight w:val="0"/>
      <w:marTop w:val="0"/>
      <w:marBottom w:val="0"/>
      <w:divBdr>
        <w:top w:val="none" w:sz="0" w:space="0" w:color="auto"/>
        <w:left w:val="none" w:sz="0" w:space="0" w:color="auto"/>
        <w:bottom w:val="none" w:sz="0" w:space="0" w:color="auto"/>
        <w:right w:val="none" w:sz="0" w:space="0" w:color="auto"/>
      </w:divBdr>
    </w:div>
    <w:div w:id="1106584717">
      <w:bodyDiv w:val="1"/>
      <w:marLeft w:val="0"/>
      <w:marRight w:val="0"/>
      <w:marTop w:val="0"/>
      <w:marBottom w:val="0"/>
      <w:divBdr>
        <w:top w:val="none" w:sz="0" w:space="0" w:color="auto"/>
        <w:left w:val="none" w:sz="0" w:space="0" w:color="auto"/>
        <w:bottom w:val="none" w:sz="0" w:space="0" w:color="auto"/>
        <w:right w:val="none" w:sz="0" w:space="0" w:color="auto"/>
      </w:divBdr>
      <w:divsChild>
        <w:div w:id="2066758825">
          <w:marLeft w:val="-720"/>
          <w:marRight w:val="0"/>
          <w:marTop w:val="0"/>
          <w:marBottom w:val="0"/>
          <w:divBdr>
            <w:top w:val="none" w:sz="0" w:space="0" w:color="auto"/>
            <w:left w:val="none" w:sz="0" w:space="0" w:color="auto"/>
            <w:bottom w:val="none" w:sz="0" w:space="0" w:color="auto"/>
            <w:right w:val="none" w:sz="0" w:space="0" w:color="auto"/>
          </w:divBdr>
        </w:div>
      </w:divsChild>
    </w:div>
    <w:div w:id="1118253119">
      <w:bodyDiv w:val="1"/>
      <w:marLeft w:val="0"/>
      <w:marRight w:val="0"/>
      <w:marTop w:val="0"/>
      <w:marBottom w:val="0"/>
      <w:divBdr>
        <w:top w:val="none" w:sz="0" w:space="0" w:color="auto"/>
        <w:left w:val="none" w:sz="0" w:space="0" w:color="auto"/>
        <w:bottom w:val="none" w:sz="0" w:space="0" w:color="auto"/>
        <w:right w:val="none" w:sz="0" w:space="0" w:color="auto"/>
      </w:divBdr>
      <w:divsChild>
        <w:div w:id="1126776818">
          <w:marLeft w:val="0"/>
          <w:marRight w:val="0"/>
          <w:marTop w:val="0"/>
          <w:marBottom w:val="0"/>
          <w:divBdr>
            <w:top w:val="none" w:sz="0" w:space="0" w:color="auto"/>
            <w:left w:val="none" w:sz="0" w:space="0" w:color="auto"/>
            <w:bottom w:val="none" w:sz="0" w:space="0" w:color="auto"/>
            <w:right w:val="none" w:sz="0" w:space="0" w:color="auto"/>
          </w:divBdr>
          <w:divsChild>
            <w:div w:id="634726618">
              <w:marLeft w:val="0"/>
              <w:marRight w:val="0"/>
              <w:marTop w:val="0"/>
              <w:marBottom w:val="0"/>
              <w:divBdr>
                <w:top w:val="none" w:sz="0" w:space="0" w:color="auto"/>
                <w:left w:val="none" w:sz="0" w:space="0" w:color="auto"/>
                <w:bottom w:val="none" w:sz="0" w:space="0" w:color="auto"/>
                <w:right w:val="none" w:sz="0" w:space="0" w:color="auto"/>
              </w:divBdr>
              <w:divsChild>
                <w:div w:id="1496149167">
                  <w:marLeft w:val="0"/>
                  <w:marRight w:val="0"/>
                  <w:marTop w:val="0"/>
                  <w:marBottom w:val="0"/>
                  <w:divBdr>
                    <w:top w:val="none" w:sz="0" w:space="0" w:color="auto"/>
                    <w:left w:val="none" w:sz="0" w:space="0" w:color="auto"/>
                    <w:bottom w:val="none" w:sz="0" w:space="0" w:color="auto"/>
                    <w:right w:val="none" w:sz="0" w:space="0" w:color="auto"/>
                  </w:divBdr>
                  <w:divsChild>
                    <w:div w:id="309142466">
                      <w:marLeft w:val="0"/>
                      <w:marRight w:val="0"/>
                      <w:marTop w:val="0"/>
                      <w:marBottom w:val="0"/>
                      <w:divBdr>
                        <w:top w:val="none" w:sz="0" w:space="0" w:color="auto"/>
                        <w:left w:val="none" w:sz="0" w:space="0" w:color="auto"/>
                        <w:bottom w:val="none" w:sz="0" w:space="0" w:color="auto"/>
                        <w:right w:val="none" w:sz="0" w:space="0" w:color="auto"/>
                      </w:divBdr>
                      <w:divsChild>
                        <w:div w:id="369845592">
                          <w:marLeft w:val="0"/>
                          <w:marRight w:val="0"/>
                          <w:marTop w:val="0"/>
                          <w:marBottom w:val="0"/>
                          <w:divBdr>
                            <w:top w:val="none" w:sz="0" w:space="0" w:color="auto"/>
                            <w:left w:val="none" w:sz="0" w:space="0" w:color="auto"/>
                            <w:bottom w:val="none" w:sz="0" w:space="0" w:color="auto"/>
                            <w:right w:val="none" w:sz="0" w:space="0" w:color="auto"/>
                          </w:divBdr>
                          <w:divsChild>
                            <w:div w:id="15488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695132">
      <w:bodyDiv w:val="1"/>
      <w:marLeft w:val="0"/>
      <w:marRight w:val="0"/>
      <w:marTop w:val="0"/>
      <w:marBottom w:val="0"/>
      <w:divBdr>
        <w:top w:val="none" w:sz="0" w:space="0" w:color="auto"/>
        <w:left w:val="none" w:sz="0" w:space="0" w:color="auto"/>
        <w:bottom w:val="none" w:sz="0" w:space="0" w:color="auto"/>
        <w:right w:val="none" w:sz="0" w:space="0" w:color="auto"/>
      </w:divBdr>
      <w:divsChild>
        <w:div w:id="2075350791">
          <w:marLeft w:val="-720"/>
          <w:marRight w:val="0"/>
          <w:marTop w:val="0"/>
          <w:marBottom w:val="0"/>
          <w:divBdr>
            <w:top w:val="none" w:sz="0" w:space="0" w:color="auto"/>
            <w:left w:val="none" w:sz="0" w:space="0" w:color="auto"/>
            <w:bottom w:val="none" w:sz="0" w:space="0" w:color="auto"/>
            <w:right w:val="none" w:sz="0" w:space="0" w:color="auto"/>
          </w:divBdr>
        </w:div>
      </w:divsChild>
    </w:div>
    <w:div w:id="1133250297">
      <w:bodyDiv w:val="1"/>
      <w:marLeft w:val="0"/>
      <w:marRight w:val="0"/>
      <w:marTop w:val="0"/>
      <w:marBottom w:val="0"/>
      <w:divBdr>
        <w:top w:val="none" w:sz="0" w:space="0" w:color="auto"/>
        <w:left w:val="none" w:sz="0" w:space="0" w:color="auto"/>
        <w:bottom w:val="none" w:sz="0" w:space="0" w:color="auto"/>
        <w:right w:val="none" w:sz="0" w:space="0" w:color="auto"/>
      </w:divBdr>
      <w:divsChild>
        <w:div w:id="307125997">
          <w:marLeft w:val="-720"/>
          <w:marRight w:val="0"/>
          <w:marTop w:val="0"/>
          <w:marBottom w:val="0"/>
          <w:divBdr>
            <w:top w:val="none" w:sz="0" w:space="0" w:color="auto"/>
            <w:left w:val="none" w:sz="0" w:space="0" w:color="auto"/>
            <w:bottom w:val="none" w:sz="0" w:space="0" w:color="auto"/>
            <w:right w:val="none" w:sz="0" w:space="0" w:color="auto"/>
          </w:divBdr>
        </w:div>
      </w:divsChild>
    </w:div>
    <w:div w:id="1148211362">
      <w:bodyDiv w:val="1"/>
      <w:marLeft w:val="0"/>
      <w:marRight w:val="0"/>
      <w:marTop w:val="0"/>
      <w:marBottom w:val="0"/>
      <w:divBdr>
        <w:top w:val="none" w:sz="0" w:space="0" w:color="auto"/>
        <w:left w:val="none" w:sz="0" w:space="0" w:color="auto"/>
        <w:bottom w:val="none" w:sz="0" w:space="0" w:color="auto"/>
        <w:right w:val="none" w:sz="0" w:space="0" w:color="auto"/>
      </w:divBdr>
      <w:divsChild>
        <w:div w:id="386270964">
          <w:marLeft w:val="-720"/>
          <w:marRight w:val="0"/>
          <w:marTop w:val="0"/>
          <w:marBottom w:val="0"/>
          <w:divBdr>
            <w:top w:val="none" w:sz="0" w:space="0" w:color="auto"/>
            <w:left w:val="none" w:sz="0" w:space="0" w:color="auto"/>
            <w:bottom w:val="none" w:sz="0" w:space="0" w:color="auto"/>
            <w:right w:val="none" w:sz="0" w:space="0" w:color="auto"/>
          </w:divBdr>
        </w:div>
      </w:divsChild>
    </w:div>
    <w:div w:id="1167935745">
      <w:bodyDiv w:val="1"/>
      <w:marLeft w:val="0"/>
      <w:marRight w:val="0"/>
      <w:marTop w:val="0"/>
      <w:marBottom w:val="0"/>
      <w:divBdr>
        <w:top w:val="none" w:sz="0" w:space="0" w:color="auto"/>
        <w:left w:val="none" w:sz="0" w:space="0" w:color="auto"/>
        <w:bottom w:val="none" w:sz="0" w:space="0" w:color="auto"/>
        <w:right w:val="none" w:sz="0" w:space="0" w:color="auto"/>
      </w:divBdr>
    </w:div>
    <w:div w:id="1184519581">
      <w:bodyDiv w:val="1"/>
      <w:marLeft w:val="0"/>
      <w:marRight w:val="0"/>
      <w:marTop w:val="0"/>
      <w:marBottom w:val="0"/>
      <w:divBdr>
        <w:top w:val="none" w:sz="0" w:space="0" w:color="auto"/>
        <w:left w:val="none" w:sz="0" w:space="0" w:color="auto"/>
        <w:bottom w:val="none" w:sz="0" w:space="0" w:color="auto"/>
        <w:right w:val="none" w:sz="0" w:space="0" w:color="auto"/>
      </w:divBdr>
      <w:divsChild>
        <w:div w:id="1604915877">
          <w:marLeft w:val="-720"/>
          <w:marRight w:val="0"/>
          <w:marTop w:val="0"/>
          <w:marBottom w:val="0"/>
          <w:divBdr>
            <w:top w:val="none" w:sz="0" w:space="0" w:color="auto"/>
            <w:left w:val="none" w:sz="0" w:space="0" w:color="auto"/>
            <w:bottom w:val="none" w:sz="0" w:space="0" w:color="auto"/>
            <w:right w:val="none" w:sz="0" w:space="0" w:color="auto"/>
          </w:divBdr>
        </w:div>
      </w:divsChild>
    </w:div>
    <w:div w:id="1185170905">
      <w:bodyDiv w:val="1"/>
      <w:marLeft w:val="0"/>
      <w:marRight w:val="0"/>
      <w:marTop w:val="0"/>
      <w:marBottom w:val="0"/>
      <w:divBdr>
        <w:top w:val="none" w:sz="0" w:space="0" w:color="auto"/>
        <w:left w:val="none" w:sz="0" w:space="0" w:color="auto"/>
        <w:bottom w:val="none" w:sz="0" w:space="0" w:color="auto"/>
        <w:right w:val="none" w:sz="0" w:space="0" w:color="auto"/>
      </w:divBdr>
    </w:div>
    <w:div w:id="1189370589">
      <w:bodyDiv w:val="1"/>
      <w:marLeft w:val="0"/>
      <w:marRight w:val="0"/>
      <w:marTop w:val="0"/>
      <w:marBottom w:val="0"/>
      <w:divBdr>
        <w:top w:val="none" w:sz="0" w:space="0" w:color="auto"/>
        <w:left w:val="none" w:sz="0" w:space="0" w:color="auto"/>
        <w:bottom w:val="none" w:sz="0" w:space="0" w:color="auto"/>
        <w:right w:val="none" w:sz="0" w:space="0" w:color="auto"/>
      </w:divBdr>
      <w:divsChild>
        <w:div w:id="2127117528">
          <w:marLeft w:val="-720"/>
          <w:marRight w:val="0"/>
          <w:marTop w:val="0"/>
          <w:marBottom w:val="0"/>
          <w:divBdr>
            <w:top w:val="none" w:sz="0" w:space="0" w:color="auto"/>
            <w:left w:val="none" w:sz="0" w:space="0" w:color="auto"/>
            <w:bottom w:val="none" w:sz="0" w:space="0" w:color="auto"/>
            <w:right w:val="none" w:sz="0" w:space="0" w:color="auto"/>
          </w:divBdr>
        </w:div>
      </w:divsChild>
    </w:div>
    <w:div w:id="1203060969">
      <w:bodyDiv w:val="1"/>
      <w:marLeft w:val="0"/>
      <w:marRight w:val="0"/>
      <w:marTop w:val="0"/>
      <w:marBottom w:val="0"/>
      <w:divBdr>
        <w:top w:val="none" w:sz="0" w:space="0" w:color="auto"/>
        <w:left w:val="none" w:sz="0" w:space="0" w:color="auto"/>
        <w:bottom w:val="none" w:sz="0" w:space="0" w:color="auto"/>
        <w:right w:val="none" w:sz="0" w:space="0" w:color="auto"/>
      </w:divBdr>
    </w:div>
    <w:div w:id="1211111969">
      <w:bodyDiv w:val="1"/>
      <w:marLeft w:val="0"/>
      <w:marRight w:val="0"/>
      <w:marTop w:val="0"/>
      <w:marBottom w:val="0"/>
      <w:divBdr>
        <w:top w:val="none" w:sz="0" w:space="0" w:color="auto"/>
        <w:left w:val="none" w:sz="0" w:space="0" w:color="auto"/>
        <w:bottom w:val="none" w:sz="0" w:space="0" w:color="auto"/>
        <w:right w:val="none" w:sz="0" w:space="0" w:color="auto"/>
      </w:divBdr>
    </w:div>
    <w:div w:id="1217736388">
      <w:bodyDiv w:val="1"/>
      <w:marLeft w:val="0"/>
      <w:marRight w:val="0"/>
      <w:marTop w:val="0"/>
      <w:marBottom w:val="0"/>
      <w:divBdr>
        <w:top w:val="none" w:sz="0" w:space="0" w:color="auto"/>
        <w:left w:val="none" w:sz="0" w:space="0" w:color="auto"/>
        <w:bottom w:val="none" w:sz="0" w:space="0" w:color="auto"/>
        <w:right w:val="none" w:sz="0" w:space="0" w:color="auto"/>
      </w:divBdr>
    </w:div>
    <w:div w:id="1219896134">
      <w:bodyDiv w:val="1"/>
      <w:marLeft w:val="0"/>
      <w:marRight w:val="0"/>
      <w:marTop w:val="0"/>
      <w:marBottom w:val="0"/>
      <w:divBdr>
        <w:top w:val="none" w:sz="0" w:space="0" w:color="auto"/>
        <w:left w:val="none" w:sz="0" w:space="0" w:color="auto"/>
        <w:bottom w:val="none" w:sz="0" w:space="0" w:color="auto"/>
        <w:right w:val="none" w:sz="0" w:space="0" w:color="auto"/>
      </w:divBdr>
      <w:divsChild>
        <w:div w:id="22561145">
          <w:marLeft w:val="-720"/>
          <w:marRight w:val="0"/>
          <w:marTop w:val="0"/>
          <w:marBottom w:val="0"/>
          <w:divBdr>
            <w:top w:val="none" w:sz="0" w:space="0" w:color="auto"/>
            <w:left w:val="none" w:sz="0" w:space="0" w:color="auto"/>
            <w:bottom w:val="none" w:sz="0" w:space="0" w:color="auto"/>
            <w:right w:val="none" w:sz="0" w:space="0" w:color="auto"/>
          </w:divBdr>
        </w:div>
      </w:divsChild>
    </w:div>
    <w:div w:id="1225336409">
      <w:bodyDiv w:val="1"/>
      <w:marLeft w:val="0"/>
      <w:marRight w:val="0"/>
      <w:marTop w:val="0"/>
      <w:marBottom w:val="0"/>
      <w:divBdr>
        <w:top w:val="none" w:sz="0" w:space="0" w:color="auto"/>
        <w:left w:val="none" w:sz="0" w:space="0" w:color="auto"/>
        <w:bottom w:val="none" w:sz="0" w:space="0" w:color="auto"/>
        <w:right w:val="none" w:sz="0" w:space="0" w:color="auto"/>
      </w:divBdr>
      <w:divsChild>
        <w:div w:id="1028141271">
          <w:marLeft w:val="-720"/>
          <w:marRight w:val="0"/>
          <w:marTop w:val="0"/>
          <w:marBottom w:val="0"/>
          <w:divBdr>
            <w:top w:val="none" w:sz="0" w:space="0" w:color="auto"/>
            <w:left w:val="none" w:sz="0" w:space="0" w:color="auto"/>
            <w:bottom w:val="none" w:sz="0" w:space="0" w:color="auto"/>
            <w:right w:val="none" w:sz="0" w:space="0" w:color="auto"/>
          </w:divBdr>
        </w:div>
      </w:divsChild>
    </w:div>
    <w:div w:id="1232279406">
      <w:bodyDiv w:val="1"/>
      <w:marLeft w:val="0"/>
      <w:marRight w:val="0"/>
      <w:marTop w:val="0"/>
      <w:marBottom w:val="0"/>
      <w:divBdr>
        <w:top w:val="none" w:sz="0" w:space="0" w:color="auto"/>
        <w:left w:val="none" w:sz="0" w:space="0" w:color="auto"/>
        <w:bottom w:val="none" w:sz="0" w:space="0" w:color="auto"/>
        <w:right w:val="none" w:sz="0" w:space="0" w:color="auto"/>
      </w:divBdr>
      <w:divsChild>
        <w:div w:id="34738082">
          <w:marLeft w:val="-720"/>
          <w:marRight w:val="0"/>
          <w:marTop w:val="0"/>
          <w:marBottom w:val="0"/>
          <w:divBdr>
            <w:top w:val="none" w:sz="0" w:space="0" w:color="auto"/>
            <w:left w:val="none" w:sz="0" w:space="0" w:color="auto"/>
            <w:bottom w:val="none" w:sz="0" w:space="0" w:color="auto"/>
            <w:right w:val="none" w:sz="0" w:space="0" w:color="auto"/>
          </w:divBdr>
        </w:div>
      </w:divsChild>
    </w:div>
    <w:div w:id="1234388661">
      <w:bodyDiv w:val="1"/>
      <w:marLeft w:val="0"/>
      <w:marRight w:val="0"/>
      <w:marTop w:val="0"/>
      <w:marBottom w:val="0"/>
      <w:divBdr>
        <w:top w:val="none" w:sz="0" w:space="0" w:color="auto"/>
        <w:left w:val="none" w:sz="0" w:space="0" w:color="auto"/>
        <w:bottom w:val="none" w:sz="0" w:space="0" w:color="auto"/>
        <w:right w:val="none" w:sz="0" w:space="0" w:color="auto"/>
      </w:divBdr>
    </w:div>
    <w:div w:id="1234437104">
      <w:bodyDiv w:val="1"/>
      <w:marLeft w:val="0"/>
      <w:marRight w:val="0"/>
      <w:marTop w:val="0"/>
      <w:marBottom w:val="0"/>
      <w:divBdr>
        <w:top w:val="none" w:sz="0" w:space="0" w:color="auto"/>
        <w:left w:val="none" w:sz="0" w:space="0" w:color="auto"/>
        <w:bottom w:val="none" w:sz="0" w:space="0" w:color="auto"/>
        <w:right w:val="none" w:sz="0" w:space="0" w:color="auto"/>
      </w:divBdr>
    </w:div>
    <w:div w:id="1239482660">
      <w:bodyDiv w:val="1"/>
      <w:marLeft w:val="0"/>
      <w:marRight w:val="0"/>
      <w:marTop w:val="0"/>
      <w:marBottom w:val="0"/>
      <w:divBdr>
        <w:top w:val="none" w:sz="0" w:space="0" w:color="auto"/>
        <w:left w:val="none" w:sz="0" w:space="0" w:color="auto"/>
        <w:bottom w:val="none" w:sz="0" w:space="0" w:color="auto"/>
        <w:right w:val="none" w:sz="0" w:space="0" w:color="auto"/>
      </w:divBdr>
    </w:div>
    <w:div w:id="1243031829">
      <w:bodyDiv w:val="1"/>
      <w:marLeft w:val="0"/>
      <w:marRight w:val="0"/>
      <w:marTop w:val="0"/>
      <w:marBottom w:val="0"/>
      <w:divBdr>
        <w:top w:val="none" w:sz="0" w:space="0" w:color="auto"/>
        <w:left w:val="none" w:sz="0" w:space="0" w:color="auto"/>
        <w:bottom w:val="none" w:sz="0" w:space="0" w:color="auto"/>
        <w:right w:val="none" w:sz="0" w:space="0" w:color="auto"/>
      </w:divBdr>
    </w:div>
    <w:div w:id="1249268255">
      <w:bodyDiv w:val="1"/>
      <w:marLeft w:val="0"/>
      <w:marRight w:val="0"/>
      <w:marTop w:val="0"/>
      <w:marBottom w:val="0"/>
      <w:divBdr>
        <w:top w:val="none" w:sz="0" w:space="0" w:color="auto"/>
        <w:left w:val="none" w:sz="0" w:space="0" w:color="auto"/>
        <w:bottom w:val="none" w:sz="0" w:space="0" w:color="auto"/>
        <w:right w:val="none" w:sz="0" w:space="0" w:color="auto"/>
      </w:divBdr>
    </w:div>
    <w:div w:id="1265187426">
      <w:bodyDiv w:val="1"/>
      <w:marLeft w:val="0"/>
      <w:marRight w:val="0"/>
      <w:marTop w:val="0"/>
      <w:marBottom w:val="0"/>
      <w:divBdr>
        <w:top w:val="none" w:sz="0" w:space="0" w:color="auto"/>
        <w:left w:val="none" w:sz="0" w:space="0" w:color="auto"/>
        <w:bottom w:val="none" w:sz="0" w:space="0" w:color="auto"/>
        <w:right w:val="none" w:sz="0" w:space="0" w:color="auto"/>
      </w:divBdr>
    </w:div>
    <w:div w:id="1267039416">
      <w:bodyDiv w:val="1"/>
      <w:marLeft w:val="0"/>
      <w:marRight w:val="0"/>
      <w:marTop w:val="0"/>
      <w:marBottom w:val="0"/>
      <w:divBdr>
        <w:top w:val="none" w:sz="0" w:space="0" w:color="auto"/>
        <w:left w:val="none" w:sz="0" w:space="0" w:color="auto"/>
        <w:bottom w:val="none" w:sz="0" w:space="0" w:color="auto"/>
        <w:right w:val="none" w:sz="0" w:space="0" w:color="auto"/>
      </w:divBdr>
      <w:divsChild>
        <w:div w:id="546071898">
          <w:marLeft w:val="-720"/>
          <w:marRight w:val="0"/>
          <w:marTop w:val="0"/>
          <w:marBottom w:val="0"/>
          <w:divBdr>
            <w:top w:val="none" w:sz="0" w:space="0" w:color="auto"/>
            <w:left w:val="none" w:sz="0" w:space="0" w:color="auto"/>
            <w:bottom w:val="none" w:sz="0" w:space="0" w:color="auto"/>
            <w:right w:val="none" w:sz="0" w:space="0" w:color="auto"/>
          </w:divBdr>
        </w:div>
      </w:divsChild>
    </w:div>
    <w:div w:id="1280992806">
      <w:bodyDiv w:val="1"/>
      <w:marLeft w:val="0"/>
      <w:marRight w:val="0"/>
      <w:marTop w:val="0"/>
      <w:marBottom w:val="0"/>
      <w:divBdr>
        <w:top w:val="none" w:sz="0" w:space="0" w:color="auto"/>
        <w:left w:val="none" w:sz="0" w:space="0" w:color="auto"/>
        <w:bottom w:val="none" w:sz="0" w:space="0" w:color="auto"/>
        <w:right w:val="none" w:sz="0" w:space="0" w:color="auto"/>
      </w:divBdr>
      <w:divsChild>
        <w:div w:id="1986159024">
          <w:marLeft w:val="-720"/>
          <w:marRight w:val="0"/>
          <w:marTop w:val="0"/>
          <w:marBottom w:val="0"/>
          <w:divBdr>
            <w:top w:val="none" w:sz="0" w:space="0" w:color="auto"/>
            <w:left w:val="none" w:sz="0" w:space="0" w:color="auto"/>
            <w:bottom w:val="none" w:sz="0" w:space="0" w:color="auto"/>
            <w:right w:val="none" w:sz="0" w:space="0" w:color="auto"/>
          </w:divBdr>
        </w:div>
      </w:divsChild>
    </w:div>
    <w:div w:id="1295520218">
      <w:bodyDiv w:val="1"/>
      <w:marLeft w:val="0"/>
      <w:marRight w:val="0"/>
      <w:marTop w:val="0"/>
      <w:marBottom w:val="0"/>
      <w:divBdr>
        <w:top w:val="none" w:sz="0" w:space="0" w:color="auto"/>
        <w:left w:val="none" w:sz="0" w:space="0" w:color="auto"/>
        <w:bottom w:val="none" w:sz="0" w:space="0" w:color="auto"/>
        <w:right w:val="none" w:sz="0" w:space="0" w:color="auto"/>
      </w:divBdr>
      <w:divsChild>
        <w:div w:id="611211282">
          <w:marLeft w:val="0"/>
          <w:marRight w:val="0"/>
          <w:marTop w:val="0"/>
          <w:marBottom w:val="0"/>
          <w:divBdr>
            <w:top w:val="none" w:sz="0" w:space="0" w:color="auto"/>
            <w:left w:val="none" w:sz="0" w:space="0" w:color="auto"/>
            <w:bottom w:val="none" w:sz="0" w:space="0" w:color="auto"/>
            <w:right w:val="none" w:sz="0" w:space="0" w:color="auto"/>
          </w:divBdr>
          <w:divsChild>
            <w:div w:id="1124616441">
              <w:marLeft w:val="0"/>
              <w:marRight w:val="0"/>
              <w:marTop w:val="0"/>
              <w:marBottom w:val="0"/>
              <w:divBdr>
                <w:top w:val="none" w:sz="0" w:space="0" w:color="auto"/>
                <w:left w:val="none" w:sz="0" w:space="0" w:color="auto"/>
                <w:bottom w:val="none" w:sz="0" w:space="0" w:color="auto"/>
                <w:right w:val="none" w:sz="0" w:space="0" w:color="auto"/>
              </w:divBdr>
              <w:divsChild>
                <w:div w:id="773984129">
                  <w:marLeft w:val="0"/>
                  <w:marRight w:val="0"/>
                  <w:marTop w:val="0"/>
                  <w:marBottom w:val="0"/>
                  <w:divBdr>
                    <w:top w:val="none" w:sz="0" w:space="0" w:color="auto"/>
                    <w:left w:val="none" w:sz="0" w:space="0" w:color="auto"/>
                    <w:bottom w:val="none" w:sz="0" w:space="0" w:color="auto"/>
                    <w:right w:val="none" w:sz="0" w:space="0" w:color="auto"/>
                  </w:divBdr>
                  <w:divsChild>
                    <w:div w:id="39567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955752">
      <w:bodyDiv w:val="1"/>
      <w:marLeft w:val="0"/>
      <w:marRight w:val="0"/>
      <w:marTop w:val="0"/>
      <w:marBottom w:val="0"/>
      <w:divBdr>
        <w:top w:val="none" w:sz="0" w:space="0" w:color="auto"/>
        <w:left w:val="none" w:sz="0" w:space="0" w:color="auto"/>
        <w:bottom w:val="none" w:sz="0" w:space="0" w:color="auto"/>
        <w:right w:val="none" w:sz="0" w:space="0" w:color="auto"/>
      </w:divBdr>
      <w:divsChild>
        <w:div w:id="2032028586">
          <w:marLeft w:val="-720"/>
          <w:marRight w:val="0"/>
          <w:marTop w:val="0"/>
          <w:marBottom w:val="0"/>
          <w:divBdr>
            <w:top w:val="none" w:sz="0" w:space="0" w:color="auto"/>
            <w:left w:val="none" w:sz="0" w:space="0" w:color="auto"/>
            <w:bottom w:val="none" w:sz="0" w:space="0" w:color="auto"/>
            <w:right w:val="none" w:sz="0" w:space="0" w:color="auto"/>
          </w:divBdr>
        </w:div>
      </w:divsChild>
    </w:div>
    <w:div w:id="1307781792">
      <w:bodyDiv w:val="1"/>
      <w:marLeft w:val="0"/>
      <w:marRight w:val="0"/>
      <w:marTop w:val="0"/>
      <w:marBottom w:val="0"/>
      <w:divBdr>
        <w:top w:val="none" w:sz="0" w:space="0" w:color="auto"/>
        <w:left w:val="none" w:sz="0" w:space="0" w:color="auto"/>
        <w:bottom w:val="none" w:sz="0" w:space="0" w:color="auto"/>
        <w:right w:val="none" w:sz="0" w:space="0" w:color="auto"/>
      </w:divBdr>
      <w:divsChild>
        <w:div w:id="616720980">
          <w:marLeft w:val="-720"/>
          <w:marRight w:val="0"/>
          <w:marTop w:val="0"/>
          <w:marBottom w:val="0"/>
          <w:divBdr>
            <w:top w:val="none" w:sz="0" w:space="0" w:color="auto"/>
            <w:left w:val="none" w:sz="0" w:space="0" w:color="auto"/>
            <w:bottom w:val="none" w:sz="0" w:space="0" w:color="auto"/>
            <w:right w:val="none" w:sz="0" w:space="0" w:color="auto"/>
          </w:divBdr>
        </w:div>
      </w:divsChild>
    </w:div>
    <w:div w:id="1329401720">
      <w:bodyDiv w:val="1"/>
      <w:marLeft w:val="0"/>
      <w:marRight w:val="0"/>
      <w:marTop w:val="0"/>
      <w:marBottom w:val="0"/>
      <w:divBdr>
        <w:top w:val="none" w:sz="0" w:space="0" w:color="auto"/>
        <w:left w:val="none" w:sz="0" w:space="0" w:color="auto"/>
        <w:bottom w:val="none" w:sz="0" w:space="0" w:color="auto"/>
        <w:right w:val="none" w:sz="0" w:space="0" w:color="auto"/>
      </w:divBdr>
      <w:divsChild>
        <w:div w:id="134223592">
          <w:marLeft w:val="-720"/>
          <w:marRight w:val="0"/>
          <w:marTop w:val="0"/>
          <w:marBottom w:val="0"/>
          <w:divBdr>
            <w:top w:val="none" w:sz="0" w:space="0" w:color="auto"/>
            <w:left w:val="none" w:sz="0" w:space="0" w:color="auto"/>
            <w:bottom w:val="none" w:sz="0" w:space="0" w:color="auto"/>
            <w:right w:val="none" w:sz="0" w:space="0" w:color="auto"/>
          </w:divBdr>
        </w:div>
      </w:divsChild>
    </w:div>
    <w:div w:id="1345479711">
      <w:bodyDiv w:val="1"/>
      <w:marLeft w:val="0"/>
      <w:marRight w:val="0"/>
      <w:marTop w:val="0"/>
      <w:marBottom w:val="0"/>
      <w:divBdr>
        <w:top w:val="none" w:sz="0" w:space="0" w:color="auto"/>
        <w:left w:val="none" w:sz="0" w:space="0" w:color="auto"/>
        <w:bottom w:val="none" w:sz="0" w:space="0" w:color="auto"/>
        <w:right w:val="none" w:sz="0" w:space="0" w:color="auto"/>
      </w:divBdr>
    </w:div>
    <w:div w:id="1363363391">
      <w:bodyDiv w:val="1"/>
      <w:marLeft w:val="0"/>
      <w:marRight w:val="0"/>
      <w:marTop w:val="0"/>
      <w:marBottom w:val="0"/>
      <w:divBdr>
        <w:top w:val="none" w:sz="0" w:space="0" w:color="auto"/>
        <w:left w:val="none" w:sz="0" w:space="0" w:color="auto"/>
        <w:bottom w:val="none" w:sz="0" w:space="0" w:color="auto"/>
        <w:right w:val="none" w:sz="0" w:space="0" w:color="auto"/>
      </w:divBdr>
    </w:div>
    <w:div w:id="1368678712">
      <w:bodyDiv w:val="1"/>
      <w:marLeft w:val="0"/>
      <w:marRight w:val="0"/>
      <w:marTop w:val="0"/>
      <w:marBottom w:val="0"/>
      <w:divBdr>
        <w:top w:val="none" w:sz="0" w:space="0" w:color="auto"/>
        <w:left w:val="none" w:sz="0" w:space="0" w:color="auto"/>
        <w:bottom w:val="none" w:sz="0" w:space="0" w:color="auto"/>
        <w:right w:val="none" w:sz="0" w:space="0" w:color="auto"/>
      </w:divBdr>
      <w:divsChild>
        <w:div w:id="1664701037">
          <w:marLeft w:val="-720"/>
          <w:marRight w:val="0"/>
          <w:marTop w:val="0"/>
          <w:marBottom w:val="0"/>
          <w:divBdr>
            <w:top w:val="none" w:sz="0" w:space="0" w:color="auto"/>
            <w:left w:val="none" w:sz="0" w:space="0" w:color="auto"/>
            <w:bottom w:val="none" w:sz="0" w:space="0" w:color="auto"/>
            <w:right w:val="none" w:sz="0" w:space="0" w:color="auto"/>
          </w:divBdr>
        </w:div>
      </w:divsChild>
    </w:div>
    <w:div w:id="1377393016">
      <w:bodyDiv w:val="1"/>
      <w:marLeft w:val="0"/>
      <w:marRight w:val="0"/>
      <w:marTop w:val="0"/>
      <w:marBottom w:val="0"/>
      <w:divBdr>
        <w:top w:val="none" w:sz="0" w:space="0" w:color="auto"/>
        <w:left w:val="none" w:sz="0" w:space="0" w:color="auto"/>
        <w:bottom w:val="none" w:sz="0" w:space="0" w:color="auto"/>
        <w:right w:val="none" w:sz="0" w:space="0" w:color="auto"/>
      </w:divBdr>
    </w:div>
    <w:div w:id="1384712113">
      <w:bodyDiv w:val="1"/>
      <w:marLeft w:val="0"/>
      <w:marRight w:val="0"/>
      <w:marTop w:val="0"/>
      <w:marBottom w:val="0"/>
      <w:divBdr>
        <w:top w:val="none" w:sz="0" w:space="0" w:color="auto"/>
        <w:left w:val="none" w:sz="0" w:space="0" w:color="auto"/>
        <w:bottom w:val="none" w:sz="0" w:space="0" w:color="auto"/>
        <w:right w:val="none" w:sz="0" w:space="0" w:color="auto"/>
      </w:divBdr>
      <w:divsChild>
        <w:div w:id="145435503">
          <w:marLeft w:val="-720"/>
          <w:marRight w:val="0"/>
          <w:marTop w:val="0"/>
          <w:marBottom w:val="0"/>
          <w:divBdr>
            <w:top w:val="none" w:sz="0" w:space="0" w:color="auto"/>
            <w:left w:val="none" w:sz="0" w:space="0" w:color="auto"/>
            <w:bottom w:val="none" w:sz="0" w:space="0" w:color="auto"/>
            <w:right w:val="none" w:sz="0" w:space="0" w:color="auto"/>
          </w:divBdr>
        </w:div>
      </w:divsChild>
    </w:div>
    <w:div w:id="1393694698">
      <w:bodyDiv w:val="1"/>
      <w:marLeft w:val="0"/>
      <w:marRight w:val="0"/>
      <w:marTop w:val="0"/>
      <w:marBottom w:val="0"/>
      <w:divBdr>
        <w:top w:val="none" w:sz="0" w:space="0" w:color="auto"/>
        <w:left w:val="none" w:sz="0" w:space="0" w:color="auto"/>
        <w:bottom w:val="none" w:sz="0" w:space="0" w:color="auto"/>
        <w:right w:val="none" w:sz="0" w:space="0" w:color="auto"/>
      </w:divBdr>
      <w:divsChild>
        <w:div w:id="1599678552">
          <w:marLeft w:val="-720"/>
          <w:marRight w:val="0"/>
          <w:marTop w:val="0"/>
          <w:marBottom w:val="0"/>
          <w:divBdr>
            <w:top w:val="none" w:sz="0" w:space="0" w:color="auto"/>
            <w:left w:val="none" w:sz="0" w:space="0" w:color="auto"/>
            <w:bottom w:val="none" w:sz="0" w:space="0" w:color="auto"/>
            <w:right w:val="none" w:sz="0" w:space="0" w:color="auto"/>
          </w:divBdr>
        </w:div>
      </w:divsChild>
    </w:div>
    <w:div w:id="1395086955">
      <w:bodyDiv w:val="1"/>
      <w:marLeft w:val="0"/>
      <w:marRight w:val="0"/>
      <w:marTop w:val="0"/>
      <w:marBottom w:val="0"/>
      <w:divBdr>
        <w:top w:val="none" w:sz="0" w:space="0" w:color="auto"/>
        <w:left w:val="none" w:sz="0" w:space="0" w:color="auto"/>
        <w:bottom w:val="none" w:sz="0" w:space="0" w:color="auto"/>
        <w:right w:val="none" w:sz="0" w:space="0" w:color="auto"/>
      </w:divBdr>
    </w:div>
    <w:div w:id="1398163867">
      <w:bodyDiv w:val="1"/>
      <w:marLeft w:val="0"/>
      <w:marRight w:val="0"/>
      <w:marTop w:val="0"/>
      <w:marBottom w:val="0"/>
      <w:divBdr>
        <w:top w:val="none" w:sz="0" w:space="0" w:color="auto"/>
        <w:left w:val="none" w:sz="0" w:space="0" w:color="auto"/>
        <w:bottom w:val="none" w:sz="0" w:space="0" w:color="auto"/>
        <w:right w:val="none" w:sz="0" w:space="0" w:color="auto"/>
      </w:divBdr>
    </w:div>
    <w:div w:id="1405376604">
      <w:bodyDiv w:val="1"/>
      <w:marLeft w:val="0"/>
      <w:marRight w:val="0"/>
      <w:marTop w:val="0"/>
      <w:marBottom w:val="0"/>
      <w:divBdr>
        <w:top w:val="none" w:sz="0" w:space="0" w:color="auto"/>
        <w:left w:val="none" w:sz="0" w:space="0" w:color="auto"/>
        <w:bottom w:val="none" w:sz="0" w:space="0" w:color="auto"/>
        <w:right w:val="none" w:sz="0" w:space="0" w:color="auto"/>
      </w:divBdr>
    </w:div>
    <w:div w:id="1405756192">
      <w:bodyDiv w:val="1"/>
      <w:marLeft w:val="0"/>
      <w:marRight w:val="0"/>
      <w:marTop w:val="0"/>
      <w:marBottom w:val="0"/>
      <w:divBdr>
        <w:top w:val="none" w:sz="0" w:space="0" w:color="auto"/>
        <w:left w:val="none" w:sz="0" w:space="0" w:color="auto"/>
        <w:bottom w:val="none" w:sz="0" w:space="0" w:color="auto"/>
        <w:right w:val="none" w:sz="0" w:space="0" w:color="auto"/>
      </w:divBdr>
    </w:div>
    <w:div w:id="1407806356">
      <w:bodyDiv w:val="1"/>
      <w:marLeft w:val="0"/>
      <w:marRight w:val="0"/>
      <w:marTop w:val="0"/>
      <w:marBottom w:val="0"/>
      <w:divBdr>
        <w:top w:val="none" w:sz="0" w:space="0" w:color="auto"/>
        <w:left w:val="none" w:sz="0" w:space="0" w:color="auto"/>
        <w:bottom w:val="none" w:sz="0" w:space="0" w:color="auto"/>
        <w:right w:val="none" w:sz="0" w:space="0" w:color="auto"/>
      </w:divBdr>
      <w:divsChild>
        <w:div w:id="125391746">
          <w:marLeft w:val="0"/>
          <w:marRight w:val="0"/>
          <w:marTop w:val="0"/>
          <w:marBottom w:val="0"/>
          <w:divBdr>
            <w:top w:val="none" w:sz="0" w:space="0" w:color="auto"/>
            <w:left w:val="none" w:sz="0" w:space="0" w:color="auto"/>
            <w:bottom w:val="none" w:sz="0" w:space="0" w:color="auto"/>
            <w:right w:val="none" w:sz="0" w:space="0" w:color="auto"/>
          </w:divBdr>
          <w:divsChild>
            <w:div w:id="194583724">
              <w:marLeft w:val="0"/>
              <w:marRight w:val="0"/>
              <w:marTop w:val="0"/>
              <w:marBottom w:val="0"/>
              <w:divBdr>
                <w:top w:val="none" w:sz="0" w:space="0" w:color="auto"/>
                <w:left w:val="none" w:sz="0" w:space="0" w:color="auto"/>
                <w:bottom w:val="none" w:sz="0" w:space="0" w:color="auto"/>
                <w:right w:val="none" w:sz="0" w:space="0" w:color="auto"/>
              </w:divBdr>
              <w:divsChild>
                <w:div w:id="1667585364">
                  <w:marLeft w:val="0"/>
                  <w:marRight w:val="0"/>
                  <w:marTop w:val="0"/>
                  <w:marBottom w:val="0"/>
                  <w:divBdr>
                    <w:top w:val="none" w:sz="0" w:space="0" w:color="auto"/>
                    <w:left w:val="none" w:sz="0" w:space="0" w:color="auto"/>
                    <w:bottom w:val="none" w:sz="0" w:space="0" w:color="auto"/>
                    <w:right w:val="none" w:sz="0" w:space="0" w:color="auto"/>
                  </w:divBdr>
                  <w:divsChild>
                    <w:div w:id="4719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704827">
          <w:marLeft w:val="0"/>
          <w:marRight w:val="0"/>
          <w:marTop w:val="0"/>
          <w:marBottom w:val="0"/>
          <w:divBdr>
            <w:top w:val="none" w:sz="0" w:space="0" w:color="auto"/>
            <w:left w:val="none" w:sz="0" w:space="0" w:color="auto"/>
            <w:bottom w:val="none" w:sz="0" w:space="0" w:color="auto"/>
            <w:right w:val="none" w:sz="0" w:space="0" w:color="auto"/>
          </w:divBdr>
          <w:divsChild>
            <w:div w:id="2013952079">
              <w:marLeft w:val="0"/>
              <w:marRight w:val="0"/>
              <w:marTop w:val="0"/>
              <w:marBottom w:val="0"/>
              <w:divBdr>
                <w:top w:val="none" w:sz="0" w:space="0" w:color="auto"/>
                <w:left w:val="none" w:sz="0" w:space="0" w:color="auto"/>
                <w:bottom w:val="none" w:sz="0" w:space="0" w:color="auto"/>
                <w:right w:val="none" w:sz="0" w:space="0" w:color="auto"/>
              </w:divBdr>
              <w:divsChild>
                <w:div w:id="914782143">
                  <w:marLeft w:val="0"/>
                  <w:marRight w:val="0"/>
                  <w:marTop w:val="0"/>
                  <w:marBottom w:val="0"/>
                  <w:divBdr>
                    <w:top w:val="none" w:sz="0" w:space="0" w:color="auto"/>
                    <w:left w:val="none" w:sz="0" w:space="0" w:color="auto"/>
                    <w:bottom w:val="none" w:sz="0" w:space="0" w:color="auto"/>
                    <w:right w:val="none" w:sz="0" w:space="0" w:color="auto"/>
                  </w:divBdr>
                  <w:divsChild>
                    <w:div w:id="959728126">
                      <w:marLeft w:val="0"/>
                      <w:marRight w:val="0"/>
                      <w:marTop w:val="0"/>
                      <w:marBottom w:val="0"/>
                      <w:divBdr>
                        <w:top w:val="none" w:sz="0" w:space="0" w:color="auto"/>
                        <w:left w:val="none" w:sz="0" w:space="0" w:color="auto"/>
                        <w:bottom w:val="none" w:sz="0" w:space="0" w:color="auto"/>
                        <w:right w:val="none" w:sz="0" w:space="0" w:color="auto"/>
                      </w:divBdr>
                      <w:divsChild>
                        <w:div w:id="414059879">
                          <w:marLeft w:val="0"/>
                          <w:marRight w:val="0"/>
                          <w:marTop w:val="0"/>
                          <w:marBottom w:val="0"/>
                          <w:divBdr>
                            <w:top w:val="none" w:sz="0" w:space="0" w:color="auto"/>
                            <w:left w:val="none" w:sz="0" w:space="0" w:color="auto"/>
                            <w:bottom w:val="none" w:sz="0" w:space="0" w:color="auto"/>
                            <w:right w:val="none" w:sz="0" w:space="0" w:color="auto"/>
                          </w:divBdr>
                          <w:divsChild>
                            <w:div w:id="178397724">
                              <w:marLeft w:val="0"/>
                              <w:marRight w:val="0"/>
                              <w:marTop w:val="0"/>
                              <w:marBottom w:val="0"/>
                              <w:divBdr>
                                <w:top w:val="none" w:sz="0" w:space="0" w:color="auto"/>
                                <w:left w:val="none" w:sz="0" w:space="0" w:color="auto"/>
                                <w:bottom w:val="none" w:sz="0" w:space="0" w:color="auto"/>
                                <w:right w:val="none" w:sz="0" w:space="0" w:color="auto"/>
                              </w:divBdr>
                              <w:divsChild>
                                <w:div w:id="252787389">
                                  <w:marLeft w:val="0"/>
                                  <w:marRight w:val="0"/>
                                  <w:marTop w:val="0"/>
                                  <w:marBottom w:val="0"/>
                                  <w:divBdr>
                                    <w:top w:val="none" w:sz="0" w:space="0" w:color="auto"/>
                                    <w:left w:val="none" w:sz="0" w:space="0" w:color="auto"/>
                                    <w:bottom w:val="none" w:sz="0" w:space="0" w:color="auto"/>
                                    <w:right w:val="none" w:sz="0" w:space="0" w:color="auto"/>
                                  </w:divBdr>
                                  <w:divsChild>
                                    <w:div w:id="1442920018">
                                      <w:marLeft w:val="0"/>
                                      <w:marRight w:val="0"/>
                                      <w:marTop w:val="0"/>
                                      <w:marBottom w:val="0"/>
                                      <w:divBdr>
                                        <w:top w:val="none" w:sz="0" w:space="0" w:color="auto"/>
                                        <w:left w:val="none" w:sz="0" w:space="0" w:color="auto"/>
                                        <w:bottom w:val="none" w:sz="0" w:space="0" w:color="auto"/>
                                        <w:right w:val="none" w:sz="0" w:space="0" w:color="auto"/>
                                      </w:divBdr>
                                      <w:divsChild>
                                        <w:div w:id="1440370903">
                                          <w:marLeft w:val="0"/>
                                          <w:marRight w:val="0"/>
                                          <w:marTop w:val="0"/>
                                          <w:marBottom w:val="0"/>
                                          <w:divBdr>
                                            <w:top w:val="none" w:sz="0" w:space="0" w:color="auto"/>
                                            <w:left w:val="none" w:sz="0" w:space="0" w:color="auto"/>
                                            <w:bottom w:val="none" w:sz="0" w:space="0" w:color="auto"/>
                                            <w:right w:val="none" w:sz="0" w:space="0" w:color="auto"/>
                                          </w:divBdr>
                                          <w:divsChild>
                                            <w:div w:id="827402865">
                                              <w:marLeft w:val="0"/>
                                              <w:marRight w:val="0"/>
                                              <w:marTop w:val="0"/>
                                              <w:marBottom w:val="0"/>
                                              <w:divBdr>
                                                <w:top w:val="none" w:sz="0" w:space="0" w:color="auto"/>
                                                <w:left w:val="none" w:sz="0" w:space="0" w:color="auto"/>
                                                <w:bottom w:val="none" w:sz="0" w:space="0" w:color="auto"/>
                                                <w:right w:val="none" w:sz="0" w:space="0" w:color="auto"/>
                                              </w:divBdr>
                                              <w:divsChild>
                                                <w:div w:id="1841966408">
                                                  <w:marLeft w:val="0"/>
                                                  <w:marRight w:val="0"/>
                                                  <w:marTop w:val="0"/>
                                                  <w:marBottom w:val="0"/>
                                                  <w:divBdr>
                                                    <w:top w:val="none" w:sz="0" w:space="0" w:color="auto"/>
                                                    <w:left w:val="none" w:sz="0" w:space="0" w:color="auto"/>
                                                    <w:bottom w:val="none" w:sz="0" w:space="0" w:color="auto"/>
                                                    <w:right w:val="none" w:sz="0" w:space="0" w:color="auto"/>
                                                  </w:divBdr>
                                                  <w:divsChild>
                                                    <w:div w:id="775097614">
                                                      <w:marLeft w:val="0"/>
                                                      <w:marRight w:val="0"/>
                                                      <w:marTop w:val="0"/>
                                                      <w:marBottom w:val="0"/>
                                                      <w:divBdr>
                                                        <w:top w:val="none" w:sz="0" w:space="0" w:color="auto"/>
                                                        <w:left w:val="none" w:sz="0" w:space="0" w:color="auto"/>
                                                        <w:bottom w:val="none" w:sz="0" w:space="0" w:color="auto"/>
                                                        <w:right w:val="none" w:sz="0" w:space="0" w:color="auto"/>
                                                      </w:divBdr>
                                                      <w:divsChild>
                                                        <w:div w:id="169719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2682244">
      <w:bodyDiv w:val="1"/>
      <w:marLeft w:val="0"/>
      <w:marRight w:val="0"/>
      <w:marTop w:val="0"/>
      <w:marBottom w:val="0"/>
      <w:divBdr>
        <w:top w:val="none" w:sz="0" w:space="0" w:color="auto"/>
        <w:left w:val="none" w:sz="0" w:space="0" w:color="auto"/>
        <w:bottom w:val="none" w:sz="0" w:space="0" w:color="auto"/>
        <w:right w:val="none" w:sz="0" w:space="0" w:color="auto"/>
      </w:divBdr>
      <w:divsChild>
        <w:div w:id="1724980645">
          <w:marLeft w:val="-720"/>
          <w:marRight w:val="0"/>
          <w:marTop w:val="0"/>
          <w:marBottom w:val="0"/>
          <w:divBdr>
            <w:top w:val="none" w:sz="0" w:space="0" w:color="auto"/>
            <w:left w:val="none" w:sz="0" w:space="0" w:color="auto"/>
            <w:bottom w:val="none" w:sz="0" w:space="0" w:color="auto"/>
            <w:right w:val="none" w:sz="0" w:space="0" w:color="auto"/>
          </w:divBdr>
        </w:div>
      </w:divsChild>
    </w:div>
    <w:div w:id="1424380341">
      <w:bodyDiv w:val="1"/>
      <w:marLeft w:val="0"/>
      <w:marRight w:val="0"/>
      <w:marTop w:val="0"/>
      <w:marBottom w:val="0"/>
      <w:divBdr>
        <w:top w:val="none" w:sz="0" w:space="0" w:color="auto"/>
        <w:left w:val="none" w:sz="0" w:space="0" w:color="auto"/>
        <w:bottom w:val="none" w:sz="0" w:space="0" w:color="auto"/>
        <w:right w:val="none" w:sz="0" w:space="0" w:color="auto"/>
      </w:divBdr>
      <w:divsChild>
        <w:div w:id="2040088490">
          <w:marLeft w:val="-720"/>
          <w:marRight w:val="0"/>
          <w:marTop w:val="0"/>
          <w:marBottom w:val="0"/>
          <w:divBdr>
            <w:top w:val="none" w:sz="0" w:space="0" w:color="auto"/>
            <w:left w:val="none" w:sz="0" w:space="0" w:color="auto"/>
            <w:bottom w:val="none" w:sz="0" w:space="0" w:color="auto"/>
            <w:right w:val="none" w:sz="0" w:space="0" w:color="auto"/>
          </w:divBdr>
        </w:div>
      </w:divsChild>
    </w:div>
    <w:div w:id="1428690400">
      <w:bodyDiv w:val="1"/>
      <w:marLeft w:val="0"/>
      <w:marRight w:val="0"/>
      <w:marTop w:val="0"/>
      <w:marBottom w:val="0"/>
      <w:divBdr>
        <w:top w:val="none" w:sz="0" w:space="0" w:color="auto"/>
        <w:left w:val="none" w:sz="0" w:space="0" w:color="auto"/>
        <w:bottom w:val="none" w:sz="0" w:space="0" w:color="auto"/>
        <w:right w:val="none" w:sz="0" w:space="0" w:color="auto"/>
      </w:divBdr>
      <w:divsChild>
        <w:div w:id="193232800">
          <w:marLeft w:val="-720"/>
          <w:marRight w:val="0"/>
          <w:marTop w:val="0"/>
          <w:marBottom w:val="0"/>
          <w:divBdr>
            <w:top w:val="none" w:sz="0" w:space="0" w:color="auto"/>
            <w:left w:val="none" w:sz="0" w:space="0" w:color="auto"/>
            <w:bottom w:val="none" w:sz="0" w:space="0" w:color="auto"/>
            <w:right w:val="none" w:sz="0" w:space="0" w:color="auto"/>
          </w:divBdr>
        </w:div>
      </w:divsChild>
    </w:div>
    <w:div w:id="1437407198">
      <w:bodyDiv w:val="1"/>
      <w:marLeft w:val="0"/>
      <w:marRight w:val="0"/>
      <w:marTop w:val="0"/>
      <w:marBottom w:val="0"/>
      <w:divBdr>
        <w:top w:val="none" w:sz="0" w:space="0" w:color="auto"/>
        <w:left w:val="none" w:sz="0" w:space="0" w:color="auto"/>
        <w:bottom w:val="none" w:sz="0" w:space="0" w:color="auto"/>
        <w:right w:val="none" w:sz="0" w:space="0" w:color="auto"/>
      </w:divBdr>
    </w:div>
    <w:div w:id="1449426615">
      <w:bodyDiv w:val="1"/>
      <w:marLeft w:val="0"/>
      <w:marRight w:val="0"/>
      <w:marTop w:val="0"/>
      <w:marBottom w:val="0"/>
      <w:divBdr>
        <w:top w:val="none" w:sz="0" w:space="0" w:color="auto"/>
        <w:left w:val="none" w:sz="0" w:space="0" w:color="auto"/>
        <w:bottom w:val="none" w:sz="0" w:space="0" w:color="auto"/>
        <w:right w:val="none" w:sz="0" w:space="0" w:color="auto"/>
      </w:divBdr>
    </w:div>
    <w:div w:id="1476294468">
      <w:bodyDiv w:val="1"/>
      <w:marLeft w:val="0"/>
      <w:marRight w:val="0"/>
      <w:marTop w:val="0"/>
      <w:marBottom w:val="0"/>
      <w:divBdr>
        <w:top w:val="none" w:sz="0" w:space="0" w:color="auto"/>
        <w:left w:val="none" w:sz="0" w:space="0" w:color="auto"/>
        <w:bottom w:val="none" w:sz="0" w:space="0" w:color="auto"/>
        <w:right w:val="none" w:sz="0" w:space="0" w:color="auto"/>
      </w:divBdr>
      <w:divsChild>
        <w:div w:id="781531309">
          <w:marLeft w:val="-720"/>
          <w:marRight w:val="0"/>
          <w:marTop w:val="0"/>
          <w:marBottom w:val="0"/>
          <w:divBdr>
            <w:top w:val="none" w:sz="0" w:space="0" w:color="auto"/>
            <w:left w:val="none" w:sz="0" w:space="0" w:color="auto"/>
            <w:bottom w:val="none" w:sz="0" w:space="0" w:color="auto"/>
            <w:right w:val="none" w:sz="0" w:space="0" w:color="auto"/>
          </w:divBdr>
        </w:div>
      </w:divsChild>
    </w:div>
    <w:div w:id="1493135800">
      <w:bodyDiv w:val="1"/>
      <w:marLeft w:val="0"/>
      <w:marRight w:val="0"/>
      <w:marTop w:val="0"/>
      <w:marBottom w:val="0"/>
      <w:divBdr>
        <w:top w:val="none" w:sz="0" w:space="0" w:color="auto"/>
        <w:left w:val="none" w:sz="0" w:space="0" w:color="auto"/>
        <w:bottom w:val="none" w:sz="0" w:space="0" w:color="auto"/>
        <w:right w:val="none" w:sz="0" w:space="0" w:color="auto"/>
      </w:divBdr>
      <w:divsChild>
        <w:div w:id="2137791662">
          <w:marLeft w:val="-720"/>
          <w:marRight w:val="0"/>
          <w:marTop w:val="0"/>
          <w:marBottom w:val="0"/>
          <w:divBdr>
            <w:top w:val="none" w:sz="0" w:space="0" w:color="auto"/>
            <w:left w:val="none" w:sz="0" w:space="0" w:color="auto"/>
            <w:bottom w:val="none" w:sz="0" w:space="0" w:color="auto"/>
            <w:right w:val="none" w:sz="0" w:space="0" w:color="auto"/>
          </w:divBdr>
        </w:div>
      </w:divsChild>
    </w:div>
    <w:div w:id="1500583268">
      <w:bodyDiv w:val="1"/>
      <w:marLeft w:val="0"/>
      <w:marRight w:val="0"/>
      <w:marTop w:val="0"/>
      <w:marBottom w:val="0"/>
      <w:divBdr>
        <w:top w:val="none" w:sz="0" w:space="0" w:color="auto"/>
        <w:left w:val="none" w:sz="0" w:space="0" w:color="auto"/>
        <w:bottom w:val="none" w:sz="0" w:space="0" w:color="auto"/>
        <w:right w:val="none" w:sz="0" w:space="0" w:color="auto"/>
      </w:divBdr>
    </w:div>
    <w:div w:id="1507554558">
      <w:bodyDiv w:val="1"/>
      <w:marLeft w:val="0"/>
      <w:marRight w:val="0"/>
      <w:marTop w:val="0"/>
      <w:marBottom w:val="0"/>
      <w:divBdr>
        <w:top w:val="none" w:sz="0" w:space="0" w:color="auto"/>
        <w:left w:val="none" w:sz="0" w:space="0" w:color="auto"/>
        <w:bottom w:val="none" w:sz="0" w:space="0" w:color="auto"/>
        <w:right w:val="none" w:sz="0" w:space="0" w:color="auto"/>
      </w:divBdr>
    </w:div>
    <w:div w:id="1518038917">
      <w:bodyDiv w:val="1"/>
      <w:marLeft w:val="0"/>
      <w:marRight w:val="0"/>
      <w:marTop w:val="0"/>
      <w:marBottom w:val="0"/>
      <w:divBdr>
        <w:top w:val="none" w:sz="0" w:space="0" w:color="auto"/>
        <w:left w:val="none" w:sz="0" w:space="0" w:color="auto"/>
        <w:bottom w:val="none" w:sz="0" w:space="0" w:color="auto"/>
        <w:right w:val="none" w:sz="0" w:space="0" w:color="auto"/>
      </w:divBdr>
      <w:divsChild>
        <w:div w:id="1997605180">
          <w:marLeft w:val="-720"/>
          <w:marRight w:val="0"/>
          <w:marTop w:val="0"/>
          <w:marBottom w:val="0"/>
          <w:divBdr>
            <w:top w:val="none" w:sz="0" w:space="0" w:color="auto"/>
            <w:left w:val="none" w:sz="0" w:space="0" w:color="auto"/>
            <w:bottom w:val="none" w:sz="0" w:space="0" w:color="auto"/>
            <w:right w:val="none" w:sz="0" w:space="0" w:color="auto"/>
          </w:divBdr>
        </w:div>
      </w:divsChild>
    </w:div>
    <w:div w:id="1526097880">
      <w:bodyDiv w:val="1"/>
      <w:marLeft w:val="0"/>
      <w:marRight w:val="0"/>
      <w:marTop w:val="0"/>
      <w:marBottom w:val="0"/>
      <w:divBdr>
        <w:top w:val="none" w:sz="0" w:space="0" w:color="auto"/>
        <w:left w:val="none" w:sz="0" w:space="0" w:color="auto"/>
        <w:bottom w:val="none" w:sz="0" w:space="0" w:color="auto"/>
        <w:right w:val="none" w:sz="0" w:space="0" w:color="auto"/>
      </w:divBdr>
      <w:divsChild>
        <w:div w:id="866723431">
          <w:marLeft w:val="-720"/>
          <w:marRight w:val="0"/>
          <w:marTop w:val="0"/>
          <w:marBottom w:val="0"/>
          <w:divBdr>
            <w:top w:val="none" w:sz="0" w:space="0" w:color="auto"/>
            <w:left w:val="none" w:sz="0" w:space="0" w:color="auto"/>
            <w:bottom w:val="none" w:sz="0" w:space="0" w:color="auto"/>
            <w:right w:val="none" w:sz="0" w:space="0" w:color="auto"/>
          </w:divBdr>
        </w:div>
      </w:divsChild>
    </w:div>
    <w:div w:id="1532648768">
      <w:bodyDiv w:val="1"/>
      <w:marLeft w:val="0"/>
      <w:marRight w:val="0"/>
      <w:marTop w:val="0"/>
      <w:marBottom w:val="0"/>
      <w:divBdr>
        <w:top w:val="none" w:sz="0" w:space="0" w:color="auto"/>
        <w:left w:val="none" w:sz="0" w:space="0" w:color="auto"/>
        <w:bottom w:val="none" w:sz="0" w:space="0" w:color="auto"/>
        <w:right w:val="none" w:sz="0" w:space="0" w:color="auto"/>
      </w:divBdr>
    </w:div>
    <w:div w:id="1532916200">
      <w:bodyDiv w:val="1"/>
      <w:marLeft w:val="0"/>
      <w:marRight w:val="0"/>
      <w:marTop w:val="0"/>
      <w:marBottom w:val="0"/>
      <w:divBdr>
        <w:top w:val="none" w:sz="0" w:space="0" w:color="auto"/>
        <w:left w:val="none" w:sz="0" w:space="0" w:color="auto"/>
        <w:bottom w:val="none" w:sz="0" w:space="0" w:color="auto"/>
        <w:right w:val="none" w:sz="0" w:space="0" w:color="auto"/>
      </w:divBdr>
      <w:divsChild>
        <w:div w:id="41247530">
          <w:marLeft w:val="-720"/>
          <w:marRight w:val="0"/>
          <w:marTop w:val="0"/>
          <w:marBottom w:val="0"/>
          <w:divBdr>
            <w:top w:val="none" w:sz="0" w:space="0" w:color="auto"/>
            <w:left w:val="none" w:sz="0" w:space="0" w:color="auto"/>
            <w:bottom w:val="none" w:sz="0" w:space="0" w:color="auto"/>
            <w:right w:val="none" w:sz="0" w:space="0" w:color="auto"/>
          </w:divBdr>
        </w:div>
      </w:divsChild>
    </w:div>
    <w:div w:id="1560825210">
      <w:bodyDiv w:val="1"/>
      <w:marLeft w:val="0"/>
      <w:marRight w:val="0"/>
      <w:marTop w:val="0"/>
      <w:marBottom w:val="0"/>
      <w:divBdr>
        <w:top w:val="none" w:sz="0" w:space="0" w:color="auto"/>
        <w:left w:val="none" w:sz="0" w:space="0" w:color="auto"/>
        <w:bottom w:val="none" w:sz="0" w:space="0" w:color="auto"/>
        <w:right w:val="none" w:sz="0" w:space="0" w:color="auto"/>
      </w:divBdr>
      <w:divsChild>
        <w:div w:id="1705130751">
          <w:marLeft w:val="-720"/>
          <w:marRight w:val="0"/>
          <w:marTop w:val="0"/>
          <w:marBottom w:val="0"/>
          <w:divBdr>
            <w:top w:val="none" w:sz="0" w:space="0" w:color="auto"/>
            <w:left w:val="none" w:sz="0" w:space="0" w:color="auto"/>
            <w:bottom w:val="none" w:sz="0" w:space="0" w:color="auto"/>
            <w:right w:val="none" w:sz="0" w:space="0" w:color="auto"/>
          </w:divBdr>
        </w:div>
      </w:divsChild>
    </w:div>
    <w:div w:id="1563177097">
      <w:bodyDiv w:val="1"/>
      <w:marLeft w:val="0"/>
      <w:marRight w:val="0"/>
      <w:marTop w:val="0"/>
      <w:marBottom w:val="0"/>
      <w:divBdr>
        <w:top w:val="none" w:sz="0" w:space="0" w:color="auto"/>
        <w:left w:val="none" w:sz="0" w:space="0" w:color="auto"/>
        <w:bottom w:val="none" w:sz="0" w:space="0" w:color="auto"/>
        <w:right w:val="none" w:sz="0" w:space="0" w:color="auto"/>
      </w:divBdr>
    </w:div>
    <w:div w:id="1579486072">
      <w:bodyDiv w:val="1"/>
      <w:marLeft w:val="0"/>
      <w:marRight w:val="0"/>
      <w:marTop w:val="0"/>
      <w:marBottom w:val="0"/>
      <w:divBdr>
        <w:top w:val="none" w:sz="0" w:space="0" w:color="auto"/>
        <w:left w:val="none" w:sz="0" w:space="0" w:color="auto"/>
        <w:bottom w:val="none" w:sz="0" w:space="0" w:color="auto"/>
        <w:right w:val="none" w:sz="0" w:space="0" w:color="auto"/>
      </w:divBdr>
    </w:div>
    <w:div w:id="1579705745">
      <w:bodyDiv w:val="1"/>
      <w:marLeft w:val="0"/>
      <w:marRight w:val="0"/>
      <w:marTop w:val="0"/>
      <w:marBottom w:val="0"/>
      <w:divBdr>
        <w:top w:val="none" w:sz="0" w:space="0" w:color="auto"/>
        <w:left w:val="none" w:sz="0" w:space="0" w:color="auto"/>
        <w:bottom w:val="none" w:sz="0" w:space="0" w:color="auto"/>
        <w:right w:val="none" w:sz="0" w:space="0" w:color="auto"/>
      </w:divBdr>
    </w:div>
    <w:div w:id="1580016369">
      <w:bodyDiv w:val="1"/>
      <w:marLeft w:val="0"/>
      <w:marRight w:val="0"/>
      <w:marTop w:val="0"/>
      <w:marBottom w:val="0"/>
      <w:divBdr>
        <w:top w:val="none" w:sz="0" w:space="0" w:color="auto"/>
        <w:left w:val="none" w:sz="0" w:space="0" w:color="auto"/>
        <w:bottom w:val="none" w:sz="0" w:space="0" w:color="auto"/>
        <w:right w:val="none" w:sz="0" w:space="0" w:color="auto"/>
      </w:divBdr>
    </w:div>
    <w:div w:id="1580018408">
      <w:bodyDiv w:val="1"/>
      <w:marLeft w:val="0"/>
      <w:marRight w:val="0"/>
      <w:marTop w:val="0"/>
      <w:marBottom w:val="0"/>
      <w:divBdr>
        <w:top w:val="none" w:sz="0" w:space="0" w:color="auto"/>
        <w:left w:val="none" w:sz="0" w:space="0" w:color="auto"/>
        <w:bottom w:val="none" w:sz="0" w:space="0" w:color="auto"/>
        <w:right w:val="none" w:sz="0" w:space="0" w:color="auto"/>
      </w:divBdr>
    </w:div>
    <w:div w:id="1583177215">
      <w:bodyDiv w:val="1"/>
      <w:marLeft w:val="0"/>
      <w:marRight w:val="0"/>
      <w:marTop w:val="0"/>
      <w:marBottom w:val="0"/>
      <w:divBdr>
        <w:top w:val="none" w:sz="0" w:space="0" w:color="auto"/>
        <w:left w:val="none" w:sz="0" w:space="0" w:color="auto"/>
        <w:bottom w:val="none" w:sz="0" w:space="0" w:color="auto"/>
        <w:right w:val="none" w:sz="0" w:space="0" w:color="auto"/>
      </w:divBdr>
      <w:divsChild>
        <w:div w:id="1928229898">
          <w:marLeft w:val="0"/>
          <w:marRight w:val="0"/>
          <w:marTop w:val="0"/>
          <w:marBottom w:val="0"/>
          <w:divBdr>
            <w:top w:val="none" w:sz="0" w:space="0" w:color="auto"/>
            <w:left w:val="none" w:sz="0" w:space="0" w:color="auto"/>
            <w:bottom w:val="none" w:sz="0" w:space="0" w:color="auto"/>
            <w:right w:val="none" w:sz="0" w:space="0" w:color="auto"/>
          </w:divBdr>
          <w:divsChild>
            <w:div w:id="290139292">
              <w:marLeft w:val="0"/>
              <w:marRight w:val="0"/>
              <w:marTop w:val="0"/>
              <w:marBottom w:val="0"/>
              <w:divBdr>
                <w:top w:val="none" w:sz="0" w:space="0" w:color="auto"/>
                <w:left w:val="none" w:sz="0" w:space="0" w:color="auto"/>
                <w:bottom w:val="none" w:sz="0" w:space="0" w:color="auto"/>
                <w:right w:val="none" w:sz="0" w:space="0" w:color="auto"/>
              </w:divBdr>
              <w:divsChild>
                <w:div w:id="1868448836">
                  <w:marLeft w:val="0"/>
                  <w:marRight w:val="0"/>
                  <w:marTop w:val="0"/>
                  <w:marBottom w:val="0"/>
                  <w:divBdr>
                    <w:top w:val="none" w:sz="0" w:space="0" w:color="auto"/>
                    <w:left w:val="none" w:sz="0" w:space="0" w:color="auto"/>
                    <w:bottom w:val="none" w:sz="0" w:space="0" w:color="auto"/>
                    <w:right w:val="none" w:sz="0" w:space="0" w:color="auto"/>
                  </w:divBdr>
                  <w:divsChild>
                    <w:div w:id="173762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604782">
      <w:bodyDiv w:val="1"/>
      <w:marLeft w:val="0"/>
      <w:marRight w:val="0"/>
      <w:marTop w:val="0"/>
      <w:marBottom w:val="0"/>
      <w:divBdr>
        <w:top w:val="none" w:sz="0" w:space="0" w:color="auto"/>
        <w:left w:val="none" w:sz="0" w:space="0" w:color="auto"/>
        <w:bottom w:val="none" w:sz="0" w:space="0" w:color="auto"/>
        <w:right w:val="none" w:sz="0" w:space="0" w:color="auto"/>
      </w:divBdr>
    </w:div>
    <w:div w:id="1625232778">
      <w:bodyDiv w:val="1"/>
      <w:marLeft w:val="0"/>
      <w:marRight w:val="0"/>
      <w:marTop w:val="0"/>
      <w:marBottom w:val="0"/>
      <w:divBdr>
        <w:top w:val="none" w:sz="0" w:space="0" w:color="auto"/>
        <w:left w:val="none" w:sz="0" w:space="0" w:color="auto"/>
        <w:bottom w:val="none" w:sz="0" w:space="0" w:color="auto"/>
        <w:right w:val="none" w:sz="0" w:space="0" w:color="auto"/>
      </w:divBdr>
      <w:divsChild>
        <w:div w:id="718088028">
          <w:marLeft w:val="0"/>
          <w:marRight w:val="0"/>
          <w:marTop w:val="0"/>
          <w:marBottom w:val="0"/>
          <w:divBdr>
            <w:top w:val="none" w:sz="0" w:space="0" w:color="auto"/>
            <w:left w:val="none" w:sz="0" w:space="0" w:color="auto"/>
            <w:bottom w:val="none" w:sz="0" w:space="0" w:color="auto"/>
            <w:right w:val="none" w:sz="0" w:space="0" w:color="auto"/>
          </w:divBdr>
          <w:divsChild>
            <w:div w:id="1820069997">
              <w:marLeft w:val="0"/>
              <w:marRight w:val="0"/>
              <w:marTop w:val="0"/>
              <w:marBottom w:val="0"/>
              <w:divBdr>
                <w:top w:val="none" w:sz="0" w:space="0" w:color="auto"/>
                <w:left w:val="none" w:sz="0" w:space="0" w:color="auto"/>
                <w:bottom w:val="none" w:sz="0" w:space="0" w:color="auto"/>
                <w:right w:val="none" w:sz="0" w:space="0" w:color="auto"/>
              </w:divBdr>
              <w:divsChild>
                <w:div w:id="1916276439">
                  <w:marLeft w:val="0"/>
                  <w:marRight w:val="0"/>
                  <w:marTop w:val="0"/>
                  <w:marBottom w:val="0"/>
                  <w:divBdr>
                    <w:top w:val="none" w:sz="0" w:space="0" w:color="auto"/>
                    <w:left w:val="none" w:sz="0" w:space="0" w:color="auto"/>
                    <w:bottom w:val="none" w:sz="0" w:space="0" w:color="auto"/>
                    <w:right w:val="none" w:sz="0" w:space="0" w:color="auto"/>
                  </w:divBdr>
                  <w:divsChild>
                    <w:div w:id="110827975">
                      <w:marLeft w:val="0"/>
                      <w:marRight w:val="0"/>
                      <w:marTop w:val="0"/>
                      <w:marBottom w:val="0"/>
                      <w:divBdr>
                        <w:top w:val="none" w:sz="0" w:space="0" w:color="auto"/>
                        <w:left w:val="none" w:sz="0" w:space="0" w:color="auto"/>
                        <w:bottom w:val="none" w:sz="0" w:space="0" w:color="auto"/>
                        <w:right w:val="none" w:sz="0" w:space="0" w:color="auto"/>
                      </w:divBdr>
                      <w:divsChild>
                        <w:div w:id="876548454">
                          <w:marLeft w:val="0"/>
                          <w:marRight w:val="0"/>
                          <w:marTop w:val="0"/>
                          <w:marBottom w:val="0"/>
                          <w:divBdr>
                            <w:top w:val="none" w:sz="0" w:space="0" w:color="auto"/>
                            <w:left w:val="none" w:sz="0" w:space="0" w:color="auto"/>
                            <w:bottom w:val="none" w:sz="0" w:space="0" w:color="auto"/>
                            <w:right w:val="none" w:sz="0" w:space="0" w:color="auto"/>
                          </w:divBdr>
                          <w:divsChild>
                            <w:div w:id="636112422">
                              <w:marLeft w:val="0"/>
                              <w:marRight w:val="0"/>
                              <w:marTop w:val="0"/>
                              <w:marBottom w:val="0"/>
                              <w:divBdr>
                                <w:top w:val="none" w:sz="0" w:space="0" w:color="auto"/>
                                <w:left w:val="none" w:sz="0" w:space="0" w:color="auto"/>
                                <w:bottom w:val="none" w:sz="0" w:space="0" w:color="auto"/>
                                <w:right w:val="none" w:sz="0" w:space="0" w:color="auto"/>
                              </w:divBdr>
                              <w:divsChild>
                                <w:div w:id="1131552931">
                                  <w:marLeft w:val="0"/>
                                  <w:marRight w:val="0"/>
                                  <w:marTop w:val="0"/>
                                  <w:marBottom w:val="0"/>
                                  <w:divBdr>
                                    <w:top w:val="none" w:sz="0" w:space="0" w:color="auto"/>
                                    <w:left w:val="none" w:sz="0" w:space="0" w:color="auto"/>
                                    <w:bottom w:val="none" w:sz="0" w:space="0" w:color="auto"/>
                                    <w:right w:val="none" w:sz="0" w:space="0" w:color="auto"/>
                                  </w:divBdr>
                                  <w:divsChild>
                                    <w:div w:id="1760054596">
                                      <w:marLeft w:val="0"/>
                                      <w:marRight w:val="0"/>
                                      <w:marTop w:val="0"/>
                                      <w:marBottom w:val="0"/>
                                      <w:divBdr>
                                        <w:top w:val="none" w:sz="0" w:space="0" w:color="auto"/>
                                        <w:left w:val="none" w:sz="0" w:space="0" w:color="auto"/>
                                        <w:bottom w:val="none" w:sz="0" w:space="0" w:color="auto"/>
                                        <w:right w:val="none" w:sz="0" w:space="0" w:color="auto"/>
                                      </w:divBdr>
                                      <w:divsChild>
                                        <w:div w:id="1808359260">
                                          <w:marLeft w:val="0"/>
                                          <w:marRight w:val="0"/>
                                          <w:marTop w:val="0"/>
                                          <w:marBottom w:val="0"/>
                                          <w:divBdr>
                                            <w:top w:val="none" w:sz="0" w:space="0" w:color="auto"/>
                                            <w:left w:val="none" w:sz="0" w:space="0" w:color="auto"/>
                                            <w:bottom w:val="none" w:sz="0" w:space="0" w:color="auto"/>
                                            <w:right w:val="none" w:sz="0" w:space="0" w:color="auto"/>
                                          </w:divBdr>
                                          <w:divsChild>
                                            <w:div w:id="1159732829">
                                              <w:marLeft w:val="0"/>
                                              <w:marRight w:val="0"/>
                                              <w:marTop w:val="0"/>
                                              <w:marBottom w:val="0"/>
                                              <w:divBdr>
                                                <w:top w:val="none" w:sz="0" w:space="0" w:color="auto"/>
                                                <w:left w:val="none" w:sz="0" w:space="0" w:color="auto"/>
                                                <w:bottom w:val="none" w:sz="0" w:space="0" w:color="auto"/>
                                                <w:right w:val="none" w:sz="0" w:space="0" w:color="auto"/>
                                              </w:divBdr>
                                              <w:divsChild>
                                                <w:div w:id="1053195291">
                                                  <w:marLeft w:val="0"/>
                                                  <w:marRight w:val="0"/>
                                                  <w:marTop w:val="0"/>
                                                  <w:marBottom w:val="0"/>
                                                  <w:divBdr>
                                                    <w:top w:val="none" w:sz="0" w:space="0" w:color="auto"/>
                                                    <w:left w:val="none" w:sz="0" w:space="0" w:color="auto"/>
                                                    <w:bottom w:val="none" w:sz="0" w:space="0" w:color="auto"/>
                                                    <w:right w:val="none" w:sz="0" w:space="0" w:color="auto"/>
                                                  </w:divBdr>
                                                  <w:divsChild>
                                                    <w:div w:id="2106145137">
                                                      <w:marLeft w:val="0"/>
                                                      <w:marRight w:val="0"/>
                                                      <w:marTop w:val="0"/>
                                                      <w:marBottom w:val="0"/>
                                                      <w:divBdr>
                                                        <w:top w:val="none" w:sz="0" w:space="0" w:color="auto"/>
                                                        <w:left w:val="none" w:sz="0" w:space="0" w:color="auto"/>
                                                        <w:bottom w:val="none" w:sz="0" w:space="0" w:color="auto"/>
                                                        <w:right w:val="none" w:sz="0" w:space="0" w:color="auto"/>
                                                      </w:divBdr>
                                                      <w:divsChild>
                                                        <w:div w:id="20850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8539246">
          <w:marLeft w:val="0"/>
          <w:marRight w:val="0"/>
          <w:marTop w:val="0"/>
          <w:marBottom w:val="0"/>
          <w:divBdr>
            <w:top w:val="none" w:sz="0" w:space="0" w:color="auto"/>
            <w:left w:val="none" w:sz="0" w:space="0" w:color="auto"/>
            <w:bottom w:val="none" w:sz="0" w:space="0" w:color="auto"/>
            <w:right w:val="none" w:sz="0" w:space="0" w:color="auto"/>
          </w:divBdr>
          <w:divsChild>
            <w:div w:id="16472318">
              <w:marLeft w:val="0"/>
              <w:marRight w:val="0"/>
              <w:marTop w:val="0"/>
              <w:marBottom w:val="0"/>
              <w:divBdr>
                <w:top w:val="none" w:sz="0" w:space="0" w:color="auto"/>
                <w:left w:val="none" w:sz="0" w:space="0" w:color="auto"/>
                <w:bottom w:val="none" w:sz="0" w:space="0" w:color="auto"/>
                <w:right w:val="none" w:sz="0" w:space="0" w:color="auto"/>
              </w:divBdr>
              <w:divsChild>
                <w:div w:id="1067997931">
                  <w:marLeft w:val="0"/>
                  <w:marRight w:val="0"/>
                  <w:marTop w:val="0"/>
                  <w:marBottom w:val="0"/>
                  <w:divBdr>
                    <w:top w:val="none" w:sz="0" w:space="0" w:color="auto"/>
                    <w:left w:val="none" w:sz="0" w:space="0" w:color="auto"/>
                    <w:bottom w:val="none" w:sz="0" w:space="0" w:color="auto"/>
                    <w:right w:val="none" w:sz="0" w:space="0" w:color="auto"/>
                  </w:divBdr>
                  <w:divsChild>
                    <w:div w:id="13232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235197">
      <w:bodyDiv w:val="1"/>
      <w:marLeft w:val="0"/>
      <w:marRight w:val="0"/>
      <w:marTop w:val="0"/>
      <w:marBottom w:val="0"/>
      <w:divBdr>
        <w:top w:val="none" w:sz="0" w:space="0" w:color="auto"/>
        <w:left w:val="none" w:sz="0" w:space="0" w:color="auto"/>
        <w:bottom w:val="none" w:sz="0" w:space="0" w:color="auto"/>
        <w:right w:val="none" w:sz="0" w:space="0" w:color="auto"/>
      </w:divBdr>
    </w:div>
    <w:div w:id="1640185716">
      <w:bodyDiv w:val="1"/>
      <w:marLeft w:val="0"/>
      <w:marRight w:val="0"/>
      <w:marTop w:val="0"/>
      <w:marBottom w:val="0"/>
      <w:divBdr>
        <w:top w:val="none" w:sz="0" w:space="0" w:color="auto"/>
        <w:left w:val="none" w:sz="0" w:space="0" w:color="auto"/>
        <w:bottom w:val="none" w:sz="0" w:space="0" w:color="auto"/>
        <w:right w:val="none" w:sz="0" w:space="0" w:color="auto"/>
      </w:divBdr>
    </w:div>
    <w:div w:id="1663505854">
      <w:bodyDiv w:val="1"/>
      <w:marLeft w:val="0"/>
      <w:marRight w:val="0"/>
      <w:marTop w:val="0"/>
      <w:marBottom w:val="0"/>
      <w:divBdr>
        <w:top w:val="none" w:sz="0" w:space="0" w:color="auto"/>
        <w:left w:val="none" w:sz="0" w:space="0" w:color="auto"/>
        <w:bottom w:val="none" w:sz="0" w:space="0" w:color="auto"/>
        <w:right w:val="none" w:sz="0" w:space="0" w:color="auto"/>
      </w:divBdr>
    </w:div>
    <w:div w:id="1665469591">
      <w:bodyDiv w:val="1"/>
      <w:marLeft w:val="0"/>
      <w:marRight w:val="0"/>
      <w:marTop w:val="0"/>
      <w:marBottom w:val="0"/>
      <w:divBdr>
        <w:top w:val="none" w:sz="0" w:space="0" w:color="auto"/>
        <w:left w:val="none" w:sz="0" w:space="0" w:color="auto"/>
        <w:bottom w:val="none" w:sz="0" w:space="0" w:color="auto"/>
        <w:right w:val="none" w:sz="0" w:space="0" w:color="auto"/>
      </w:divBdr>
    </w:div>
    <w:div w:id="1667976151">
      <w:bodyDiv w:val="1"/>
      <w:marLeft w:val="0"/>
      <w:marRight w:val="0"/>
      <w:marTop w:val="0"/>
      <w:marBottom w:val="0"/>
      <w:divBdr>
        <w:top w:val="none" w:sz="0" w:space="0" w:color="auto"/>
        <w:left w:val="none" w:sz="0" w:space="0" w:color="auto"/>
        <w:bottom w:val="none" w:sz="0" w:space="0" w:color="auto"/>
        <w:right w:val="none" w:sz="0" w:space="0" w:color="auto"/>
      </w:divBdr>
      <w:divsChild>
        <w:div w:id="936209094">
          <w:marLeft w:val="-720"/>
          <w:marRight w:val="0"/>
          <w:marTop w:val="0"/>
          <w:marBottom w:val="0"/>
          <w:divBdr>
            <w:top w:val="none" w:sz="0" w:space="0" w:color="auto"/>
            <w:left w:val="none" w:sz="0" w:space="0" w:color="auto"/>
            <w:bottom w:val="none" w:sz="0" w:space="0" w:color="auto"/>
            <w:right w:val="none" w:sz="0" w:space="0" w:color="auto"/>
          </w:divBdr>
        </w:div>
      </w:divsChild>
    </w:div>
    <w:div w:id="1674261327">
      <w:bodyDiv w:val="1"/>
      <w:marLeft w:val="0"/>
      <w:marRight w:val="0"/>
      <w:marTop w:val="0"/>
      <w:marBottom w:val="0"/>
      <w:divBdr>
        <w:top w:val="none" w:sz="0" w:space="0" w:color="auto"/>
        <w:left w:val="none" w:sz="0" w:space="0" w:color="auto"/>
        <w:bottom w:val="none" w:sz="0" w:space="0" w:color="auto"/>
        <w:right w:val="none" w:sz="0" w:space="0" w:color="auto"/>
      </w:divBdr>
      <w:divsChild>
        <w:div w:id="1560089440">
          <w:marLeft w:val="-720"/>
          <w:marRight w:val="0"/>
          <w:marTop w:val="0"/>
          <w:marBottom w:val="0"/>
          <w:divBdr>
            <w:top w:val="none" w:sz="0" w:space="0" w:color="auto"/>
            <w:left w:val="none" w:sz="0" w:space="0" w:color="auto"/>
            <w:bottom w:val="none" w:sz="0" w:space="0" w:color="auto"/>
            <w:right w:val="none" w:sz="0" w:space="0" w:color="auto"/>
          </w:divBdr>
        </w:div>
      </w:divsChild>
    </w:div>
    <w:div w:id="1688480706">
      <w:bodyDiv w:val="1"/>
      <w:marLeft w:val="0"/>
      <w:marRight w:val="0"/>
      <w:marTop w:val="0"/>
      <w:marBottom w:val="0"/>
      <w:divBdr>
        <w:top w:val="none" w:sz="0" w:space="0" w:color="auto"/>
        <w:left w:val="none" w:sz="0" w:space="0" w:color="auto"/>
        <w:bottom w:val="none" w:sz="0" w:space="0" w:color="auto"/>
        <w:right w:val="none" w:sz="0" w:space="0" w:color="auto"/>
      </w:divBdr>
      <w:divsChild>
        <w:div w:id="1751538417">
          <w:marLeft w:val="-720"/>
          <w:marRight w:val="0"/>
          <w:marTop w:val="0"/>
          <w:marBottom w:val="0"/>
          <w:divBdr>
            <w:top w:val="none" w:sz="0" w:space="0" w:color="auto"/>
            <w:left w:val="none" w:sz="0" w:space="0" w:color="auto"/>
            <w:bottom w:val="none" w:sz="0" w:space="0" w:color="auto"/>
            <w:right w:val="none" w:sz="0" w:space="0" w:color="auto"/>
          </w:divBdr>
        </w:div>
      </w:divsChild>
    </w:div>
    <w:div w:id="1701078964">
      <w:bodyDiv w:val="1"/>
      <w:marLeft w:val="0"/>
      <w:marRight w:val="0"/>
      <w:marTop w:val="0"/>
      <w:marBottom w:val="0"/>
      <w:divBdr>
        <w:top w:val="none" w:sz="0" w:space="0" w:color="auto"/>
        <w:left w:val="none" w:sz="0" w:space="0" w:color="auto"/>
        <w:bottom w:val="none" w:sz="0" w:space="0" w:color="auto"/>
        <w:right w:val="none" w:sz="0" w:space="0" w:color="auto"/>
      </w:divBdr>
    </w:div>
    <w:div w:id="1709380072">
      <w:bodyDiv w:val="1"/>
      <w:marLeft w:val="0"/>
      <w:marRight w:val="0"/>
      <w:marTop w:val="0"/>
      <w:marBottom w:val="0"/>
      <w:divBdr>
        <w:top w:val="none" w:sz="0" w:space="0" w:color="auto"/>
        <w:left w:val="none" w:sz="0" w:space="0" w:color="auto"/>
        <w:bottom w:val="none" w:sz="0" w:space="0" w:color="auto"/>
        <w:right w:val="none" w:sz="0" w:space="0" w:color="auto"/>
      </w:divBdr>
      <w:divsChild>
        <w:div w:id="686177347">
          <w:marLeft w:val="-720"/>
          <w:marRight w:val="0"/>
          <w:marTop w:val="0"/>
          <w:marBottom w:val="0"/>
          <w:divBdr>
            <w:top w:val="none" w:sz="0" w:space="0" w:color="auto"/>
            <w:left w:val="none" w:sz="0" w:space="0" w:color="auto"/>
            <w:bottom w:val="none" w:sz="0" w:space="0" w:color="auto"/>
            <w:right w:val="none" w:sz="0" w:space="0" w:color="auto"/>
          </w:divBdr>
        </w:div>
      </w:divsChild>
    </w:div>
    <w:div w:id="1720396833">
      <w:bodyDiv w:val="1"/>
      <w:marLeft w:val="0"/>
      <w:marRight w:val="0"/>
      <w:marTop w:val="0"/>
      <w:marBottom w:val="0"/>
      <w:divBdr>
        <w:top w:val="none" w:sz="0" w:space="0" w:color="auto"/>
        <w:left w:val="none" w:sz="0" w:space="0" w:color="auto"/>
        <w:bottom w:val="none" w:sz="0" w:space="0" w:color="auto"/>
        <w:right w:val="none" w:sz="0" w:space="0" w:color="auto"/>
      </w:divBdr>
    </w:div>
    <w:div w:id="1721779631">
      <w:bodyDiv w:val="1"/>
      <w:marLeft w:val="0"/>
      <w:marRight w:val="0"/>
      <w:marTop w:val="0"/>
      <w:marBottom w:val="0"/>
      <w:divBdr>
        <w:top w:val="none" w:sz="0" w:space="0" w:color="auto"/>
        <w:left w:val="none" w:sz="0" w:space="0" w:color="auto"/>
        <w:bottom w:val="none" w:sz="0" w:space="0" w:color="auto"/>
        <w:right w:val="none" w:sz="0" w:space="0" w:color="auto"/>
      </w:divBdr>
    </w:div>
    <w:div w:id="1741056465">
      <w:bodyDiv w:val="1"/>
      <w:marLeft w:val="0"/>
      <w:marRight w:val="0"/>
      <w:marTop w:val="0"/>
      <w:marBottom w:val="0"/>
      <w:divBdr>
        <w:top w:val="none" w:sz="0" w:space="0" w:color="auto"/>
        <w:left w:val="none" w:sz="0" w:space="0" w:color="auto"/>
        <w:bottom w:val="none" w:sz="0" w:space="0" w:color="auto"/>
        <w:right w:val="none" w:sz="0" w:space="0" w:color="auto"/>
      </w:divBdr>
    </w:div>
    <w:div w:id="1749617717">
      <w:bodyDiv w:val="1"/>
      <w:marLeft w:val="0"/>
      <w:marRight w:val="0"/>
      <w:marTop w:val="0"/>
      <w:marBottom w:val="0"/>
      <w:divBdr>
        <w:top w:val="none" w:sz="0" w:space="0" w:color="auto"/>
        <w:left w:val="none" w:sz="0" w:space="0" w:color="auto"/>
        <w:bottom w:val="none" w:sz="0" w:space="0" w:color="auto"/>
        <w:right w:val="none" w:sz="0" w:space="0" w:color="auto"/>
      </w:divBdr>
    </w:div>
    <w:div w:id="1751393164">
      <w:bodyDiv w:val="1"/>
      <w:marLeft w:val="0"/>
      <w:marRight w:val="0"/>
      <w:marTop w:val="0"/>
      <w:marBottom w:val="0"/>
      <w:divBdr>
        <w:top w:val="none" w:sz="0" w:space="0" w:color="auto"/>
        <w:left w:val="none" w:sz="0" w:space="0" w:color="auto"/>
        <w:bottom w:val="none" w:sz="0" w:space="0" w:color="auto"/>
        <w:right w:val="none" w:sz="0" w:space="0" w:color="auto"/>
      </w:divBdr>
    </w:div>
    <w:div w:id="1755322677">
      <w:bodyDiv w:val="1"/>
      <w:marLeft w:val="0"/>
      <w:marRight w:val="0"/>
      <w:marTop w:val="0"/>
      <w:marBottom w:val="0"/>
      <w:divBdr>
        <w:top w:val="none" w:sz="0" w:space="0" w:color="auto"/>
        <w:left w:val="none" w:sz="0" w:space="0" w:color="auto"/>
        <w:bottom w:val="none" w:sz="0" w:space="0" w:color="auto"/>
        <w:right w:val="none" w:sz="0" w:space="0" w:color="auto"/>
      </w:divBdr>
      <w:divsChild>
        <w:div w:id="1394698233">
          <w:marLeft w:val="-720"/>
          <w:marRight w:val="0"/>
          <w:marTop w:val="0"/>
          <w:marBottom w:val="0"/>
          <w:divBdr>
            <w:top w:val="none" w:sz="0" w:space="0" w:color="auto"/>
            <w:left w:val="none" w:sz="0" w:space="0" w:color="auto"/>
            <w:bottom w:val="none" w:sz="0" w:space="0" w:color="auto"/>
            <w:right w:val="none" w:sz="0" w:space="0" w:color="auto"/>
          </w:divBdr>
        </w:div>
      </w:divsChild>
    </w:div>
    <w:div w:id="1759709464">
      <w:bodyDiv w:val="1"/>
      <w:marLeft w:val="0"/>
      <w:marRight w:val="0"/>
      <w:marTop w:val="0"/>
      <w:marBottom w:val="0"/>
      <w:divBdr>
        <w:top w:val="none" w:sz="0" w:space="0" w:color="auto"/>
        <w:left w:val="none" w:sz="0" w:space="0" w:color="auto"/>
        <w:bottom w:val="none" w:sz="0" w:space="0" w:color="auto"/>
        <w:right w:val="none" w:sz="0" w:space="0" w:color="auto"/>
      </w:divBdr>
    </w:div>
    <w:div w:id="1765300996">
      <w:bodyDiv w:val="1"/>
      <w:marLeft w:val="0"/>
      <w:marRight w:val="0"/>
      <w:marTop w:val="0"/>
      <w:marBottom w:val="0"/>
      <w:divBdr>
        <w:top w:val="none" w:sz="0" w:space="0" w:color="auto"/>
        <w:left w:val="none" w:sz="0" w:space="0" w:color="auto"/>
        <w:bottom w:val="none" w:sz="0" w:space="0" w:color="auto"/>
        <w:right w:val="none" w:sz="0" w:space="0" w:color="auto"/>
      </w:divBdr>
    </w:div>
    <w:div w:id="1766077895">
      <w:bodyDiv w:val="1"/>
      <w:marLeft w:val="0"/>
      <w:marRight w:val="0"/>
      <w:marTop w:val="0"/>
      <w:marBottom w:val="0"/>
      <w:divBdr>
        <w:top w:val="none" w:sz="0" w:space="0" w:color="auto"/>
        <w:left w:val="none" w:sz="0" w:space="0" w:color="auto"/>
        <w:bottom w:val="none" w:sz="0" w:space="0" w:color="auto"/>
        <w:right w:val="none" w:sz="0" w:space="0" w:color="auto"/>
      </w:divBdr>
    </w:div>
    <w:div w:id="1767069992">
      <w:bodyDiv w:val="1"/>
      <w:marLeft w:val="0"/>
      <w:marRight w:val="0"/>
      <w:marTop w:val="0"/>
      <w:marBottom w:val="0"/>
      <w:divBdr>
        <w:top w:val="none" w:sz="0" w:space="0" w:color="auto"/>
        <w:left w:val="none" w:sz="0" w:space="0" w:color="auto"/>
        <w:bottom w:val="none" w:sz="0" w:space="0" w:color="auto"/>
        <w:right w:val="none" w:sz="0" w:space="0" w:color="auto"/>
      </w:divBdr>
      <w:divsChild>
        <w:div w:id="1216235988">
          <w:marLeft w:val="-720"/>
          <w:marRight w:val="0"/>
          <w:marTop w:val="0"/>
          <w:marBottom w:val="0"/>
          <w:divBdr>
            <w:top w:val="none" w:sz="0" w:space="0" w:color="auto"/>
            <w:left w:val="none" w:sz="0" w:space="0" w:color="auto"/>
            <w:bottom w:val="none" w:sz="0" w:space="0" w:color="auto"/>
            <w:right w:val="none" w:sz="0" w:space="0" w:color="auto"/>
          </w:divBdr>
        </w:div>
      </w:divsChild>
    </w:div>
    <w:div w:id="1768118493">
      <w:bodyDiv w:val="1"/>
      <w:marLeft w:val="0"/>
      <w:marRight w:val="0"/>
      <w:marTop w:val="0"/>
      <w:marBottom w:val="0"/>
      <w:divBdr>
        <w:top w:val="none" w:sz="0" w:space="0" w:color="auto"/>
        <w:left w:val="none" w:sz="0" w:space="0" w:color="auto"/>
        <w:bottom w:val="none" w:sz="0" w:space="0" w:color="auto"/>
        <w:right w:val="none" w:sz="0" w:space="0" w:color="auto"/>
      </w:divBdr>
    </w:div>
    <w:div w:id="1769230047">
      <w:bodyDiv w:val="1"/>
      <w:marLeft w:val="0"/>
      <w:marRight w:val="0"/>
      <w:marTop w:val="0"/>
      <w:marBottom w:val="0"/>
      <w:divBdr>
        <w:top w:val="none" w:sz="0" w:space="0" w:color="auto"/>
        <w:left w:val="none" w:sz="0" w:space="0" w:color="auto"/>
        <w:bottom w:val="none" w:sz="0" w:space="0" w:color="auto"/>
        <w:right w:val="none" w:sz="0" w:space="0" w:color="auto"/>
      </w:divBdr>
    </w:div>
    <w:div w:id="1783259619">
      <w:bodyDiv w:val="1"/>
      <w:marLeft w:val="0"/>
      <w:marRight w:val="0"/>
      <w:marTop w:val="0"/>
      <w:marBottom w:val="0"/>
      <w:divBdr>
        <w:top w:val="none" w:sz="0" w:space="0" w:color="auto"/>
        <w:left w:val="none" w:sz="0" w:space="0" w:color="auto"/>
        <w:bottom w:val="none" w:sz="0" w:space="0" w:color="auto"/>
        <w:right w:val="none" w:sz="0" w:space="0" w:color="auto"/>
      </w:divBdr>
      <w:divsChild>
        <w:div w:id="364914813">
          <w:marLeft w:val="0"/>
          <w:marRight w:val="0"/>
          <w:marTop w:val="0"/>
          <w:marBottom w:val="0"/>
          <w:divBdr>
            <w:top w:val="none" w:sz="0" w:space="0" w:color="auto"/>
            <w:left w:val="none" w:sz="0" w:space="0" w:color="auto"/>
            <w:bottom w:val="none" w:sz="0" w:space="0" w:color="auto"/>
            <w:right w:val="none" w:sz="0" w:space="0" w:color="auto"/>
          </w:divBdr>
          <w:divsChild>
            <w:div w:id="591813539">
              <w:marLeft w:val="0"/>
              <w:marRight w:val="0"/>
              <w:marTop w:val="0"/>
              <w:marBottom w:val="0"/>
              <w:divBdr>
                <w:top w:val="none" w:sz="0" w:space="0" w:color="auto"/>
                <w:left w:val="none" w:sz="0" w:space="0" w:color="auto"/>
                <w:bottom w:val="none" w:sz="0" w:space="0" w:color="auto"/>
                <w:right w:val="none" w:sz="0" w:space="0" w:color="auto"/>
              </w:divBdr>
              <w:divsChild>
                <w:div w:id="575479954">
                  <w:marLeft w:val="0"/>
                  <w:marRight w:val="0"/>
                  <w:marTop w:val="0"/>
                  <w:marBottom w:val="0"/>
                  <w:divBdr>
                    <w:top w:val="none" w:sz="0" w:space="0" w:color="auto"/>
                    <w:left w:val="none" w:sz="0" w:space="0" w:color="auto"/>
                    <w:bottom w:val="none" w:sz="0" w:space="0" w:color="auto"/>
                    <w:right w:val="none" w:sz="0" w:space="0" w:color="auto"/>
                  </w:divBdr>
                  <w:divsChild>
                    <w:div w:id="83501072">
                      <w:marLeft w:val="0"/>
                      <w:marRight w:val="0"/>
                      <w:marTop w:val="0"/>
                      <w:marBottom w:val="0"/>
                      <w:divBdr>
                        <w:top w:val="none" w:sz="0" w:space="0" w:color="auto"/>
                        <w:left w:val="none" w:sz="0" w:space="0" w:color="auto"/>
                        <w:bottom w:val="none" w:sz="0" w:space="0" w:color="auto"/>
                        <w:right w:val="none" w:sz="0" w:space="0" w:color="auto"/>
                      </w:divBdr>
                      <w:divsChild>
                        <w:div w:id="1811022995">
                          <w:marLeft w:val="0"/>
                          <w:marRight w:val="0"/>
                          <w:marTop w:val="0"/>
                          <w:marBottom w:val="0"/>
                          <w:divBdr>
                            <w:top w:val="none" w:sz="0" w:space="0" w:color="auto"/>
                            <w:left w:val="none" w:sz="0" w:space="0" w:color="auto"/>
                            <w:bottom w:val="none" w:sz="0" w:space="0" w:color="auto"/>
                            <w:right w:val="none" w:sz="0" w:space="0" w:color="auto"/>
                          </w:divBdr>
                          <w:divsChild>
                            <w:div w:id="164222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987566">
      <w:bodyDiv w:val="1"/>
      <w:marLeft w:val="0"/>
      <w:marRight w:val="0"/>
      <w:marTop w:val="0"/>
      <w:marBottom w:val="0"/>
      <w:divBdr>
        <w:top w:val="none" w:sz="0" w:space="0" w:color="auto"/>
        <w:left w:val="none" w:sz="0" w:space="0" w:color="auto"/>
        <w:bottom w:val="none" w:sz="0" w:space="0" w:color="auto"/>
        <w:right w:val="none" w:sz="0" w:space="0" w:color="auto"/>
      </w:divBdr>
    </w:div>
    <w:div w:id="1800146235">
      <w:bodyDiv w:val="1"/>
      <w:marLeft w:val="0"/>
      <w:marRight w:val="0"/>
      <w:marTop w:val="0"/>
      <w:marBottom w:val="0"/>
      <w:divBdr>
        <w:top w:val="none" w:sz="0" w:space="0" w:color="auto"/>
        <w:left w:val="none" w:sz="0" w:space="0" w:color="auto"/>
        <w:bottom w:val="none" w:sz="0" w:space="0" w:color="auto"/>
        <w:right w:val="none" w:sz="0" w:space="0" w:color="auto"/>
      </w:divBdr>
      <w:divsChild>
        <w:div w:id="514155867">
          <w:marLeft w:val="-720"/>
          <w:marRight w:val="0"/>
          <w:marTop w:val="0"/>
          <w:marBottom w:val="0"/>
          <w:divBdr>
            <w:top w:val="none" w:sz="0" w:space="0" w:color="auto"/>
            <w:left w:val="none" w:sz="0" w:space="0" w:color="auto"/>
            <w:bottom w:val="none" w:sz="0" w:space="0" w:color="auto"/>
            <w:right w:val="none" w:sz="0" w:space="0" w:color="auto"/>
          </w:divBdr>
        </w:div>
      </w:divsChild>
    </w:div>
    <w:div w:id="1813210139">
      <w:bodyDiv w:val="1"/>
      <w:marLeft w:val="0"/>
      <w:marRight w:val="0"/>
      <w:marTop w:val="0"/>
      <w:marBottom w:val="0"/>
      <w:divBdr>
        <w:top w:val="none" w:sz="0" w:space="0" w:color="auto"/>
        <w:left w:val="none" w:sz="0" w:space="0" w:color="auto"/>
        <w:bottom w:val="none" w:sz="0" w:space="0" w:color="auto"/>
        <w:right w:val="none" w:sz="0" w:space="0" w:color="auto"/>
      </w:divBdr>
      <w:divsChild>
        <w:div w:id="1324238205">
          <w:marLeft w:val="-720"/>
          <w:marRight w:val="0"/>
          <w:marTop w:val="0"/>
          <w:marBottom w:val="0"/>
          <w:divBdr>
            <w:top w:val="none" w:sz="0" w:space="0" w:color="auto"/>
            <w:left w:val="none" w:sz="0" w:space="0" w:color="auto"/>
            <w:bottom w:val="none" w:sz="0" w:space="0" w:color="auto"/>
            <w:right w:val="none" w:sz="0" w:space="0" w:color="auto"/>
          </w:divBdr>
        </w:div>
      </w:divsChild>
    </w:div>
    <w:div w:id="1827281679">
      <w:bodyDiv w:val="1"/>
      <w:marLeft w:val="0"/>
      <w:marRight w:val="0"/>
      <w:marTop w:val="0"/>
      <w:marBottom w:val="0"/>
      <w:divBdr>
        <w:top w:val="none" w:sz="0" w:space="0" w:color="auto"/>
        <w:left w:val="none" w:sz="0" w:space="0" w:color="auto"/>
        <w:bottom w:val="none" w:sz="0" w:space="0" w:color="auto"/>
        <w:right w:val="none" w:sz="0" w:space="0" w:color="auto"/>
      </w:divBdr>
      <w:divsChild>
        <w:div w:id="277564894">
          <w:marLeft w:val="-720"/>
          <w:marRight w:val="0"/>
          <w:marTop w:val="0"/>
          <w:marBottom w:val="0"/>
          <w:divBdr>
            <w:top w:val="none" w:sz="0" w:space="0" w:color="auto"/>
            <w:left w:val="none" w:sz="0" w:space="0" w:color="auto"/>
            <w:bottom w:val="none" w:sz="0" w:space="0" w:color="auto"/>
            <w:right w:val="none" w:sz="0" w:space="0" w:color="auto"/>
          </w:divBdr>
        </w:div>
      </w:divsChild>
    </w:div>
    <w:div w:id="1832522391">
      <w:bodyDiv w:val="1"/>
      <w:marLeft w:val="0"/>
      <w:marRight w:val="0"/>
      <w:marTop w:val="0"/>
      <w:marBottom w:val="0"/>
      <w:divBdr>
        <w:top w:val="none" w:sz="0" w:space="0" w:color="auto"/>
        <w:left w:val="none" w:sz="0" w:space="0" w:color="auto"/>
        <w:bottom w:val="none" w:sz="0" w:space="0" w:color="auto"/>
        <w:right w:val="none" w:sz="0" w:space="0" w:color="auto"/>
      </w:divBdr>
    </w:div>
    <w:div w:id="1833566230">
      <w:bodyDiv w:val="1"/>
      <w:marLeft w:val="0"/>
      <w:marRight w:val="0"/>
      <w:marTop w:val="0"/>
      <w:marBottom w:val="0"/>
      <w:divBdr>
        <w:top w:val="none" w:sz="0" w:space="0" w:color="auto"/>
        <w:left w:val="none" w:sz="0" w:space="0" w:color="auto"/>
        <w:bottom w:val="none" w:sz="0" w:space="0" w:color="auto"/>
        <w:right w:val="none" w:sz="0" w:space="0" w:color="auto"/>
      </w:divBdr>
      <w:divsChild>
        <w:div w:id="1316497841">
          <w:marLeft w:val="-720"/>
          <w:marRight w:val="0"/>
          <w:marTop w:val="0"/>
          <w:marBottom w:val="0"/>
          <w:divBdr>
            <w:top w:val="none" w:sz="0" w:space="0" w:color="auto"/>
            <w:left w:val="none" w:sz="0" w:space="0" w:color="auto"/>
            <w:bottom w:val="none" w:sz="0" w:space="0" w:color="auto"/>
            <w:right w:val="none" w:sz="0" w:space="0" w:color="auto"/>
          </w:divBdr>
        </w:div>
      </w:divsChild>
    </w:div>
    <w:div w:id="1836915729">
      <w:bodyDiv w:val="1"/>
      <w:marLeft w:val="0"/>
      <w:marRight w:val="0"/>
      <w:marTop w:val="0"/>
      <w:marBottom w:val="0"/>
      <w:divBdr>
        <w:top w:val="none" w:sz="0" w:space="0" w:color="auto"/>
        <w:left w:val="none" w:sz="0" w:space="0" w:color="auto"/>
        <w:bottom w:val="none" w:sz="0" w:space="0" w:color="auto"/>
        <w:right w:val="none" w:sz="0" w:space="0" w:color="auto"/>
      </w:divBdr>
    </w:div>
    <w:div w:id="1841197921">
      <w:bodyDiv w:val="1"/>
      <w:marLeft w:val="0"/>
      <w:marRight w:val="0"/>
      <w:marTop w:val="0"/>
      <w:marBottom w:val="0"/>
      <w:divBdr>
        <w:top w:val="none" w:sz="0" w:space="0" w:color="auto"/>
        <w:left w:val="none" w:sz="0" w:space="0" w:color="auto"/>
        <w:bottom w:val="none" w:sz="0" w:space="0" w:color="auto"/>
        <w:right w:val="none" w:sz="0" w:space="0" w:color="auto"/>
      </w:divBdr>
      <w:divsChild>
        <w:div w:id="875895001">
          <w:marLeft w:val="0"/>
          <w:marRight w:val="0"/>
          <w:marTop w:val="0"/>
          <w:marBottom w:val="0"/>
          <w:divBdr>
            <w:top w:val="none" w:sz="0" w:space="0" w:color="auto"/>
            <w:left w:val="none" w:sz="0" w:space="0" w:color="auto"/>
            <w:bottom w:val="none" w:sz="0" w:space="0" w:color="auto"/>
            <w:right w:val="none" w:sz="0" w:space="0" w:color="auto"/>
          </w:divBdr>
          <w:divsChild>
            <w:div w:id="1493177730">
              <w:marLeft w:val="0"/>
              <w:marRight w:val="0"/>
              <w:marTop w:val="0"/>
              <w:marBottom w:val="0"/>
              <w:divBdr>
                <w:top w:val="none" w:sz="0" w:space="0" w:color="auto"/>
                <w:left w:val="none" w:sz="0" w:space="0" w:color="auto"/>
                <w:bottom w:val="none" w:sz="0" w:space="0" w:color="auto"/>
                <w:right w:val="none" w:sz="0" w:space="0" w:color="auto"/>
              </w:divBdr>
              <w:divsChild>
                <w:div w:id="796410133">
                  <w:marLeft w:val="0"/>
                  <w:marRight w:val="0"/>
                  <w:marTop w:val="0"/>
                  <w:marBottom w:val="0"/>
                  <w:divBdr>
                    <w:top w:val="none" w:sz="0" w:space="0" w:color="auto"/>
                    <w:left w:val="none" w:sz="0" w:space="0" w:color="auto"/>
                    <w:bottom w:val="none" w:sz="0" w:space="0" w:color="auto"/>
                    <w:right w:val="none" w:sz="0" w:space="0" w:color="auto"/>
                  </w:divBdr>
                  <w:divsChild>
                    <w:div w:id="1672297417">
                      <w:marLeft w:val="0"/>
                      <w:marRight w:val="0"/>
                      <w:marTop w:val="0"/>
                      <w:marBottom w:val="0"/>
                      <w:divBdr>
                        <w:top w:val="none" w:sz="0" w:space="0" w:color="auto"/>
                        <w:left w:val="none" w:sz="0" w:space="0" w:color="auto"/>
                        <w:bottom w:val="none" w:sz="0" w:space="0" w:color="auto"/>
                        <w:right w:val="none" w:sz="0" w:space="0" w:color="auto"/>
                      </w:divBdr>
                      <w:divsChild>
                        <w:div w:id="863446902">
                          <w:marLeft w:val="0"/>
                          <w:marRight w:val="0"/>
                          <w:marTop w:val="0"/>
                          <w:marBottom w:val="0"/>
                          <w:divBdr>
                            <w:top w:val="none" w:sz="0" w:space="0" w:color="auto"/>
                            <w:left w:val="none" w:sz="0" w:space="0" w:color="auto"/>
                            <w:bottom w:val="none" w:sz="0" w:space="0" w:color="auto"/>
                            <w:right w:val="none" w:sz="0" w:space="0" w:color="auto"/>
                          </w:divBdr>
                          <w:divsChild>
                            <w:div w:id="1823691373">
                              <w:marLeft w:val="0"/>
                              <w:marRight w:val="0"/>
                              <w:marTop w:val="0"/>
                              <w:marBottom w:val="0"/>
                              <w:divBdr>
                                <w:top w:val="none" w:sz="0" w:space="0" w:color="auto"/>
                                <w:left w:val="none" w:sz="0" w:space="0" w:color="auto"/>
                                <w:bottom w:val="none" w:sz="0" w:space="0" w:color="auto"/>
                                <w:right w:val="none" w:sz="0" w:space="0" w:color="auto"/>
                              </w:divBdr>
                              <w:divsChild>
                                <w:div w:id="1559705543">
                                  <w:marLeft w:val="0"/>
                                  <w:marRight w:val="0"/>
                                  <w:marTop w:val="0"/>
                                  <w:marBottom w:val="0"/>
                                  <w:divBdr>
                                    <w:top w:val="none" w:sz="0" w:space="0" w:color="auto"/>
                                    <w:left w:val="none" w:sz="0" w:space="0" w:color="auto"/>
                                    <w:bottom w:val="none" w:sz="0" w:space="0" w:color="auto"/>
                                    <w:right w:val="none" w:sz="0" w:space="0" w:color="auto"/>
                                  </w:divBdr>
                                  <w:divsChild>
                                    <w:div w:id="339891799">
                                      <w:marLeft w:val="0"/>
                                      <w:marRight w:val="0"/>
                                      <w:marTop w:val="0"/>
                                      <w:marBottom w:val="0"/>
                                      <w:divBdr>
                                        <w:top w:val="none" w:sz="0" w:space="0" w:color="auto"/>
                                        <w:left w:val="none" w:sz="0" w:space="0" w:color="auto"/>
                                        <w:bottom w:val="none" w:sz="0" w:space="0" w:color="auto"/>
                                        <w:right w:val="none" w:sz="0" w:space="0" w:color="auto"/>
                                      </w:divBdr>
                                      <w:divsChild>
                                        <w:div w:id="1995837388">
                                          <w:marLeft w:val="0"/>
                                          <w:marRight w:val="0"/>
                                          <w:marTop w:val="0"/>
                                          <w:marBottom w:val="0"/>
                                          <w:divBdr>
                                            <w:top w:val="none" w:sz="0" w:space="0" w:color="auto"/>
                                            <w:left w:val="none" w:sz="0" w:space="0" w:color="auto"/>
                                            <w:bottom w:val="none" w:sz="0" w:space="0" w:color="auto"/>
                                            <w:right w:val="none" w:sz="0" w:space="0" w:color="auto"/>
                                          </w:divBdr>
                                          <w:divsChild>
                                            <w:div w:id="771390289">
                                              <w:marLeft w:val="0"/>
                                              <w:marRight w:val="0"/>
                                              <w:marTop w:val="0"/>
                                              <w:marBottom w:val="0"/>
                                              <w:divBdr>
                                                <w:top w:val="none" w:sz="0" w:space="0" w:color="auto"/>
                                                <w:left w:val="none" w:sz="0" w:space="0" w:color="auto"/>
                                                <w:bottom w:val="none" w:sz="0" w:space="0" w:color="auto"/>
                                                <w:right w:val="none" w:sz="0" w:space="0" w:color="auto"/>
                                              </w:divBdr>
                                              <w:divsChild>
                                                <w:div w:id="1664816754">
                                                  <w:marLeft w:val="0"/>
                                                  <w:marRight w:val="0"/>
                                                  <w:marTop w:val="0"/>
                                                  <w:marBottom w:val="0"/>
                                                  <w:divBdr>
                                                    <w:top w:val="none" w:sz="0" w:space="0" w:color="auto"/>
                                                    <w:left w:val="none" w:sz="0" w:space="0" w:color="auto"/>
                                                    <w:bottom w:val="none" w:sz="0" w:space="0" w:color="auto"/>
                                                    <w:right w:val="none" w:sz="0" w:space="0" w:color="auto"/>
                                                  </w:divBdr>
                                                  <w:divsChild>
                                                    <w:div w:id="208497354">
                                                      <w:marLeft w:val="0"/>
                                                      <w:marRight w:val="0"/>
                                                      <w:marTop w:val="0"/>
                                                      <w:marBottom w:val="0"/>
                                                      <w:divBdr>
                                                        <w:top w:val="none" w:sz="0" w:space="0" w:color="auto"/>
                                                        <w:left w:val="none" w:sz="0" w:space="0" w:color="auto"/>
                                                        <w:bottom w:val="none" w:sz="0" w:space="0" w:color="auto"/>
                                                        <w:right w:val="none" w:sz="0" w:space="0" w:color="auto"/>
                                                      </w:divBdr>
                                                      <w:divsChild>
                                                        <w:div w:id="114840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2421213">
          <w:marLeft w:val="0"/>
          <w:marRight w:val="0"/>
          <w:marTop w:val="0"/>
          <w:marBottom w:val="0"/>
          <w:divBdr>
            <w:top w:val="none" w:sz="0" w:space="0" w:color="auto"/>
            <w:left w:val="none" w:sz="0" w:space="0" w:color="auto"/>
            <w:bottom w:val="none" w:sz="0" w:space="0" w:color="auto"/>
            <w:right w:val="none" w:sz="0" w:space="0" w:color="auto"/>
          </w:divBdr>
          <w:divsChild>
            <w:div w:id="1458139767">
              <w:marLeft w:val="0"/>
              <w:marRight w:val="0"/>
              <w:marTop w:val="0"/>
              <w:marBottom w:val="0"/>
              <w:divBdr>
                <w:top w:val="none" w:sz="0" w:space="0" w:color="auto"/>
                <w:left w:val="none" w:sz="0" w:space="0" w:color="auto"/>
                <w:bottom w:val="none" w:sz="0" w:space="0" w:color="auto"/>
                <w:right w:val="none" w:sz="0" w:space="0" w:color="auto"/>
              </w:divBdr>
              <w:divsChild>
                <w:div w:id="1335841290">
                  <w:marLeft w:val="0"/>
                  <w:marRight w:val="0"/>
                  <w:marTop w:val="0"/>
                  <w:marBottom w:val="0"/>
                  <w:divBdr>
                    <w:top w:val="none" w:sz="0" w:space="0" w:color="auto"/>
                    <w:left w:val="none" w:sz="0" w:space="0" w:color="auto"/>
                    <w:bottom w:val="none" w:sz="0" w:space="0" w:color="auto"/>
                    <w:right w:val="none" w:sz="0" w:space="0" w:color="auto"/>
                  </w:divBdr>
                  <w:divsChild>
                    <w:div w:id="110187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392724">
      <w:bodyDiv w:val="1"/>
      <w:marLeft w:val="0"/>
      <w:marRight w:val="0"/>
      <w:marTop w:val="0"/>
      <w:marBottom w:val="0"/>
      <w:divBdr>
        <w:top w:val="none" w:sz="0" w:space="0" w:color="auto"/>
        <w:left w:val="none" w:sz="0" w:space="0" w:color="auto"/>
        <w:bottom w:val="none" w:sz="0" w:space="0" w:color="auto"/>
        <w:right w:val="none" w:sz="0" w:space="0" w:color="auto"/>
      </w:divBdr>
    </w:div>
    <w:div w:id="1864903778">
      <w:bodyDiv w:val="1"/>
      <w:marLeft w:val="0"/>
      <w:marRight w:val="0"/>
      <w:marTop w:val="0"/>
      <w:marBottom w:val="0"/>
      <w:divBdr>
        <w:top w:val="none" w:sz="0" w:space="0" w:color="auto"/>
        <w:left w:val="none" w:sz="0" w:space="0" w:color="auto"/>
        <w:bottom w:val="none" w:sz="0" w:space="0" w:color="auto"/>
        <w:right w:val="none" w:sz="0" w:space="0" w:color="auto"/>
      </w:divBdr>
    </w:div>
    <w:div w:id="1868366891">
      <w:bodyDiv w:val="1"/>
      <w:marLeft w:val="0"/>
      <w:marRight w:val="0"/>
      <w:marTop w:val="0"/>
      <w:marBottom w:val="0"/>
      <w:divBdr>
        <w:top w:val="none" w:sz="0" w:space="0" w:color="auto"/>
        <w:left w:val="none" w:sz="0" w:space="0" w:color="auto"/>
        <w:bottom w:val="none" w:sz="0" w:space="0" w:color="auto"/>
        <w:right w:val="none" w:sz="0" w:space="0" w:color="auto"/>
      </w:divBdr>
    </w:div>
    <w:div w:id="1891382660">
      <w:bodyDiv w:val="1"/>
      <w:marLeft w:val="0"/>
      <w:marRight w:val="0"/>
      <w:marTop w:val="0"/>
      <w:marBottom w:val="0"/>
      <w:divBdr>
        <w:top w:val="none" w:sz="0" w:space="0" w:color="auto"/>
        <w:left w:val="none" w:sz="0" w:space="0" w:color="auto"/>
        <w:bottom w:val="none" w:sz="0" w:space="0" w:color="auto"/>
        <w:right w:val="none" w:sz="0" w:space="0" w:color="auto"/>
      </w:divBdr>
    </w:div>
    <w:div w:id="1901745004">
      <w:bodyDiv w:val="1"/>
      <w:marLeft w:val="0"/>
      <w:marRight w:val="0"/>
      <w:marTop w:val="0"/>
      <w:marBottom w:val="0"/>
      <w:divBdr>
        <w:top w:val="none" w:sz="0" w:space="0" w:color="auto"/>
        <w:left w:val="none" w:sz="0" w:space="0" w:color="auto"/>
        <w:bottom w:val="none" w:sz="0" w:space="0" w:color="auto"/>
        <w:right w:val="none" w:sz="0" w:space="0" w:color="auto"/>
      </w:divBdr>
    </w:div>
    <w:div w:id="1914242489">
      <w:bodyDiv w:val="1"/>
      <w:marLeft w:val="0"/>
      <w:marRight w:val="0"/>
      <w:marTop w:val="0"/>
      <w:marBottom w:val="0"/>
      <w:divBdr>
        <w:top w:val="none" w:sz="0" w:space="0" w:color="auto"/>
        <w:left w:val="none" w:sz="0" w:space="0" w:color="auto"/>
        <w:bottom w:val="none" w:sz="0" w:space="0" w:color="auto"/>
        <w:right w:val="none" w:sz="0" w:space="0" w:color="auto"/>
      </w:divBdr>
      <w:divsChild>
        <w:div w:id="286592454">
          <w:marLeft w:val="-720"/>
          <w:marRight w:val="0"/>
          <w:marTop w:val="0"/>
          <w:marBottom w:val="0"/>
          <w:divBdr>
            <w:top w:val="none" w:sz="0" w:space="0" w:color="auto"/>
            <w:left w:val="none" w:sz="0" w:space="0" w:color="auto"/>
            <w:bottom w:val="none" w:sz="0" w:space="0" w:color="auto"/>
            <w:right w:val="none" w:sz="0" w:space="0" w:color="auto"/>
          </w:divBdr>
        </w:div>
      </w:divsChild>
    </w:div>
    <w:div w:id="1916157834">
      <w:bodyDiv w:val="1"/>
      <w:marLeft w:val="0"/>
      <w:marRight w:val="0"/>
      <w:marTop w:val="0"/>
      <w:marBottom w:val="0"/>
      <w:divBdr>
        <w:top w:val="none" w:sz="0" w:space="0" w:color="auto"/>
        <w:left w:val="none" w:sz="0" w:space="0" w:color="auto"/>
        <w:bottom w:val="none" w:sz="0" w:space="0" w:color="auto"/>
        <w:right w:val="none" w:sz="0" w:space="0" w:color="auto"/>
      </w:divBdr>
      <w:divsChild>
        <w:div w:id="34082696">
          <w:marLeft w:val="-720"/>
          <w:marRight w:val="0"/>
          <w:marTop w:val="0"/>
          <w:marBottom w:val="0"/>
          <w:divBdr>
            <w:top w:val="none" w:sz="0" w:space="0" w:color="auto"/>
            <w:left w:val="none" w:sz="0" w:space="0" w:color="auto"/>
            <w:bottom w:val="none" w:sz="0" w:space="0" w:color="auto"/>
            <w:right w:val="none" w:sz="0" w:space="0" w:color="auto"/>
          </w:divBdr>
        </w:div>
      </w:divsChild>
    </w:div>
    <w:div w:id="1938828815">
      <w:bodyDiv w:val="1"/>
      <w:marLeft w:val="0"/>
      <w:marRight w:val="0"/>
      <w:marTop w:val="0"/>
      <w:marBottom w:val="0"/>
      <w:divBdr>
        <w:top w:val="none" w:sz="0" w:space="0" w:color="auto"/>
        <w:left w:val="none" w:sz="0" w:space="0" w:color="auto"/>
        <w:bottom w:val="none" w:sz="0" w:space="0" w:color="auto"/>
        <w:right w:val="none" w:sz="0" w:space="0" w:color="auto"/>
      </w:divBdr>
      <w:divsChild>
        <w:div w:id="183054856">
          <w:marLeft w:val="-720"/>
          <w:marRight w:val="0"/>
          <w:marTop w:val="0"/>
          <w:marBottom w:val="0"/>
          <w:divBdr>
            <w:top w:val="none" w:sz="0" w:space="0" w:color="auto"/>
            <w:left w:val="none" w:sz="0" w:space="0" w:color="auto"/>
            <w:bottom w:val="none" w:sz="0" w:space="0" w:color="auto"/>
            <w:right w:val="none" w:sz="0" w:space="0" w:color="auto"/>
          </w:divBdr>
        </w:div>
      </w:divsChild>
    </w:div>
    <w:div w:id="1939673750">
      <w:bodyDiv w:val="1"/>
      <w:marLeft w:val="0"/>
      <w:marRight w:val="0"/>
      <w:marTop w:val="0"/>
      <w:marBottom w:val="0"/>
      <w:divBdr>
        <w:top w:val="none" w:sz="0" w:space="0" w:color="auto"/>
        <w:left w:val="none" w:sz="0" w:space="0" w:color="auto"/>
        <w:bottom w:val="none" w:sz="0" w:space="0" w:color="auto"/>
        <w:right w:val="none" w:sz="0" w:space="0" w:color="auto"/>
      </w:divBdr>
    </w:div>
    <w:div w:id="1942108619">
      <w:bodyDiv w:val="1"/>
      <w:marLeft w:val="0"/>
      <w:marRight w:val="0"/>
      <w:marTop w:val="0"/>
      <w:marBottom w:val="0"/>
      <w:divBdr>
        <w:top w:val="none" w:sz="0" w:space="0" w:color="auto"/>
        <w:left w:val="none" w:sz="0" w:space="0" w:color="auto"/>
        <w:bottom w:val="none" w:sz="0" w:space="0" w:color="auto"/>
        <w:right w:val="none" w:sz="0" w:space="0" w:color="auto"/>
      </w:divBdr>
      <w:divsChild>
        <w:div w:id="1946691173">
          <w:marLeft w:val="-720"/>
          <w:marRight w:val="0"/>
          <w:marTop w:val="0"/>
          <w:marBottom w:val="0"/>
          <w:divBdr>
            <w:top w:val="none" w:sz="0" w:space="0" w:color="auto"/>
            <w:left w:val="none" w:sz="0" w:space="0" w:color="auto"/>
            <w:bottom w:val="none" w:sz="0" w:space="0" w:color="auto"/>
            <w:right w:val="none" w:sz="0" w:space="0" w:color="auto"/>
          </w:divBdr>
        </w:div>
      </w:divsChild>
    </w:div>
    <w:div w:id="1949849898">
      <w:bodyDiv w:val="1"/>
      <w:marLeft w:val="0"/>
      <w:marRight w:val="0"/>
      <w:marTop w:val="0"/>
      <w:marBottom w:val="0"/>
      <w:divBdr>
        <w:top w:val="none" w:sz="0" w:space="0" w:color="auto"/>
        <w:left w:val="none" w:sz="0" w:space="0" w:color="auto"/>
        <w:bottom w:val="none" w:sz="0" w:space="0" w:color="auto"/>
        <w:right w:val="none" w:sz="0" w:space="0" w:color="auto"/>
      </w:divBdr>
    </w:div>
    <w:div w:id="1950237092">
      <w:bodyDiv w:val="1"/>
      <w:marLeft w:val="0"/>
      <w:marRight w:val="0"/>
      <w:marTop w:val="0"/>
      <w:marBottom w:val="0"/>
      <w:divBdr>
        <w:top w:val="none" w:sz="0" w:space="0" w:color="auto"/>
        <w:left w:val="none" w:sz="0" w:space="0" w:color="auto"/>
        <w:bottom w:val="none" w:sz="0" w:space="0" w:color="auto"/>
        <w:right w:val="none" w:sz="0" w:space="0" w:color="auto"/>
      </w:divBdr>
      <w:divsChild>
        <w:div w:id="2075467681">
          <w:marLeft w:val="-720"/>
          <w:marRight w:val="0"/>
          <w:marTop w:val="0"/>
          <w:marBottom w:val="0"/>
          <w:divBdr>
            <w:top w:val="none" w:sz="0" w:space="0" w:color="auto"/>
            <w:left w:val="none" w:sz="0" w:space="0" w:color="auto"/>
            <w:bottom w:val="none" w:sz="0" w:space="0" w:color="auto"/>
            <w:right w:val="none" w:sz="0" w:space="0" w:color="auto"/>
          </w:divBdr>
        </w:div>
      </w:divsChild>
    </w:div>
    <w:div w:id="1960188284">
      <w:bodyDiv w:val="1"/>
      <w:marLeft w:val="0"/>
      <w:marRight w:val="0"/>
      <w:marTop w:val="0"/>
      <w:marBottom w:val="0"/>
      <w:divBdr>
        <w:top w:val="none" w:sz="0" w:space="0" w:color="auto"/>
        <w:left w:val="none" w:sz="0" w:space="0" w:color="auto"/>
        <w:bottom w:val="none" w:sz="0" w:space="0" w:color="auto"/>
        <w:right w:val="none" w:sz="0" w:space="0" w:color="auto"/>
      </w:divBdr>
      <w:divsChild>
        <w:div w:id="875695785">
          <w:marLeft w:val="0"/>
          <w:marRight w:val="0"/>
          <w:marTop w:val="0"/>
          <w:marBottom w:val="0"/>
          <w:divBdr>
            <w:top w:val="none" w:sz="0" w:space="0" w:color="auto"/>
            <w:left w:val="none" w:sz="0" w:space="0" w:color="auto"/>
            <w:bottom w:val="none" w:sz="0" w:space="0" w:color="auto"/>
            <w:right w:val="none" w:sz="0" w:space="0" w:color="auto"/>
          </w:divBdr>
          <w:divsChild>
            <w:div w:id="1995059471">
              <w:marLeft w:val="0"/>
              <w:marRight w:val="0"/>
              <w:marTop w:val="0"/>
              <w:marBottom w:val="0"/>
              <w:divBdr>
                <w:top w:val="none" w:sz="0" w:space="0" w:color="auto"/>
                <w:left w:val="none" w:sz="0" w:space="0" w:color="auto"/>
                <w:bottom w:val="none" w:sz="0" w:space="0" w:color="auto"/>
                <w:right w:val="none" w:sz="0" w:space="0" w:color="auto"/>
              </w:divBdr>
              <w:divsChild>
                <w:div w:id="1360931452">
                  <w:marLeft w:val="0"/>
                  <w:marRight w:val="0"/>
                  <w:marTop w:val="0"/>
                  <w:marBottom w:val="0"/>
                  <w:divBdr>
                    <w:top w:val="none" w:sz="0" w:space="0" w:color="auto"/>
                    <w:left w:val="none" w:sz="0" w:space="0" w:color="auto"/>
                    <w:bottom w:val="none" w:sz="0" w:space="0" w:color="auto"/>
                    <w:right w:val="none" w:sz="0" w:space="0" w:color="auto"/>
                  </w:divBdr>
                  <w:divsChild>
                    <w:div w:id="1146973040">
                      <w:marLeft w:val="0"/>
                      <w:marRight w:val="0"/>
                      <w:marTop w:val="0"/>
                      <w:marBottom w:val="0"/>
                      <w:divBdr>
                        <w:top w:val="none" w:sz="0" w:space="0" w:color="auto"/>
                        <w:left w:val="none" w:sz="0" w:space="0" w:color="auto"/>
                        <w:bottom w:val="none" w:sz="0" w:space="0" w:color="auto"/>
                        <w:right w:val="none" w:sz="0" w:space="0" w:color="auto"/>
                      </w:divBdr>
                      <w:divsChild>
                        <w:div w:id="1713384549">
                          <w:marLeft w:val="0"/>
                          <w:marRight w:val="0"/>
                          <w:marTop w:val="0"/>
                          <w:marBottom w:val="0"/>
                          <w:divBdr>
                            <w:top w:val="none" w:sz="0" w:space="0" w:color="auto"/>
                            <w:left w:val="none" w:sz="0" w:space="0" w:color="auto"/>
                            <w:bottom w:val="none" w:sz="0" w:space="0" w:color="auto"/>
                            <w:right w:val="none" w:sz="0" w:space="0" w:color="auto"/>
                          </w:divBdr>
                          <w:divsChild>
                            <w:div w:id="63263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759855">
      <w:bodyDiv w:val="1"/>
      <w:marLeft w:val="0"/>
      <w:marRight w:val="0"/>
      <w:marTop w:val="0"/>
      <w:marBottom w:val="0"/>
      <w:divBdr>
        <w:top w:val="none" w:sz="0" w:space="0" w:color="auto"/>
        <w:left w:val="none" w:sz="0" w:space="0" w:color="auto"/>
        <w:bottom w:val="none" w:sz="0" w:space="0" w:color="auto"/>
        <w:right w:val="none" w:sz="0" w:space="0" w:color="auto"/>
      </w:divBdr>
    </w:div>
    <w:div w:id="1987129258">
      <w:bodyDiv w:val="1"/>
      <w:marLeft w:val="0"/>
      <w:marRight w:val="0"/>
      <w:marTop w:val="0"/>
      <w:marBottom w:val="0"/>
      <w:divBdr>
        <w:top w:val="none" w:sz="0" w:space="0" w:color="auto"/>
        <w:left w:val="none" w:sz="0" w:space="0" w:color="auto"/>
        <w:bottom w:val="none" w:sz="0" w:space="0" w:color="auto"/>
        <w:right w:val="none" w:sz="0" w:space="0" w:color="auto"/>
      </w:divBdr>
      <w:divsChild>
        <w:div w:id="1726292057">
          <w:marLeft w:val="-720"/>
          <w:marRight w:val="0"/>
          <w:marTop w:val="0"/>
          <w:marBottom w:val="0"/>
          <w:divBdr>
            <w:top w:val="none" w:sz="0" w:space="0" w:color="auto"/>
            <w:left w:val="none" w:sz="0" w:space="0" w:color="auto"/>
            <w:bottom w:val="none" w:sz="0" w:space="0" w:color="auto"/>
            <w:right w:val="none" w:sz="0" w:space="0" w:color="auto"/>
          </w:divBdr>
        </w:div>
      </w:divsChild>
    </w:div>
    <w:div w:id="1991012456">
      <w:bodyDiv w:val="1"/>
      <w:marLeft w:val="0"/>
      <w:marRight w:val="0"/>
      <w:marTop w:val="0"/>
      <w:marBottom w:val="0"/>
      <w:divBdr>
        <w:top w:val="none" w:sz="0" w:space="0" w:color="auto"/>
        <w:left w:val="none" w:sz="0" w:space="0" w:color="auto"/>
        <w:bottom w:val="none" w:sz="0" w:space="0" w:color="auto"/>
        <w:right w:val="none" w:sz="0" w:space="0" w:color="auto"/>
      </w:divBdr>
      <w:divsChild>
        <w:div w:id="673150777">
          <w:marLeft w:val="-720"/>
          <w:marRight w:val="0"/>
          <w:marTop w:val="0"/>
          <w:marBottom w:val="0"/>
          <w:divBdr>
            <w:top w:val="none" w:sz="0" w:space="0" w:color="auto"/>
            <w:left w:val="none" w:sz="0" w:space="0" w:color="auto"/>
            <w:bottom w:val="none" w:sz="0" w:space="0" w:color="auto"/>
            <w:right w:val="none" w:sz="0" w:space="0" w:color="auto"/>
          </w:divBdr>
        </w:div>
      </w:divsChild>
    </w:div>
    <w:div w:id="1996106685">
      <w:bodyDiv w:val="1"/>
      <w:marLeft w:val="0"/>
      <w:marRight w:val="0"/>
      <w:marTop w:val="0"/>
      <w:marBottom w:val="0"/>
      <w:divBdr>
        <w:top w:val="none" w:sz="0" w:space="0" w:color="auto"/>
        <w:left w:val="none" w:sz="0" w:space="0" w:color="auto"/>
        <w:bottom w:val="none" w:sz="0" w:space="0" w:color="auto"/>
        <w:right w:val="none" w:sz="0" w:space="0" w:color="auto"/>
      </w:divBdr>
    </w:div>
    <w:div w:id="1998415077">
      <w:bodyDiv w:val="1"/>
      <w:marLeft w:val="0"/>
      <w:marRight w:val="0"/>
      <w:marTop w:val="0"/>
      <w:marBottom w:val="0"/>
      <w:divBdr>
        <w:top w:val="none" w:sz="0" w:space="0" w:color="auto"/>
        <w:left w:val="none" w:sz="0" w:space="0" w:color="auto"/>
        <w:bottom w:val="none" w:sz="0" w:space="0" w:color="auto"/>
        <w:right w:val="none" w:sz="0" w:space="0" w:color="auto"/>
      </w:divBdr>
    </w:div>
    <w:div w:id="2002196294">
      <w:bodyDiv w:val="1"/>
      <w:marLeft w:val="0"/>
      <w:marRight w:val="0"/>
      <w:marTop w:val="0"/>
      <w:marBottom w:val="0"/>
      <w:divBdr>
        <w:top w:val="none" w:sz="0" w:space="0" w:color="auto"/>
        <w:left w:val="none" w:sz="0" w:space="0" w:color="auto"/>
        <w:bottom w:val="none" w:sz="0" w:space="0" w:color="auto"/>
        <w:right w:val="none" w:sz="0" w:space="0" w:color="auto"/>
      </w:divBdr>
    </w:div>
    <w:div w:id="2013726650">
      <w:bodyDiv w:val="1"/>
      <w:marLeft w:val="0"/>
      <w:marRight w:val="0"/>
      <w:marTop w:val="0"/>
      <w:marBottom w:val="0"/>
      <w:divBdr>
        <w:top w:val="none" w:sz="0" w:space="0" w:color="auto"/>
        <w:left w:val="none" w:sz="0" w:space="0" w:color="auto"/>
        <w:bottom w:val="none" w:sz="0" w:space="0" w:color="auto"/>
        <w:right w:val="none" w:sz="0" w:space="0" w:color="auto"/>
      </w:divBdr>
    </w:div>
    <w:div w:id="2033913307">
      <w:bodyDiv w:val="1"/>
      <w:marLeft w:val="0"/>
      <w:marRight w:val="0"/>
      <w:marTop w:val="0"/>
      <w:marBottom w:val="0"/>
      <w:divBdr>
        <w:top w:val="none" w:sz="0" w:space="0" w:color="auto"/>
        <w:left w:val="none" w:sz="0" w:space="0" w:color="auto"/>
        <w:bottom w:val="none" w:sz="0" w:space="0" w:color="auto"/>
        <w:right w:val="none" w:sz="0" w:space="0" w:color="auto"/>
      </w:divBdr>
      <w:divsChild>
        <w:div w:id="209389331">
          <w:marLeft w:val="-720"/>
          <w:marRight w:val="0"/>
          <w:marTop w:val="0"/>
          <w:marBottom w:val="0"/>
          <w:divBdr>
            <w:top w:val="none" w:sz="0" w:space="0" w:color="auto"/>
            <w:left w:val="none" w:sz="0" w:space="0" w:color="auto"/>
            <w:bottom w:val="none" w:sz="0" w:space="0" w:color="auto"/>
            <w:right w:val="none" w:sz="0" w:space="0" w:color="auto"/>
          </w:divBdr>
        </w:div>
      </w:divsChild>
    </w:div>
    <w:div w:id="2035614612">
      <w:bodyDiv w:val="1"/>
      <w:marLeft w:val="0"/>
      <w:marRight w:val="0"/>
      <w:marTop w:val="0"/>
      <w:marBottom w:val="0"/>
      <w:divBdr>
        <w:top w:val="none" w:sz="0" w:space="0" w:color="auto"/>
        <w:left w:val="none" w:sz="0" w:space="0" w:color="auto"/>
        <w:bottom w:val="none" w:sz="0" w:space="0" w:color="auto"/>
        <w:right w:val="none" w:sz="0" w:space="0" w:color="auto"/>
      </w:divBdr>
    </w:div>
    <w:div w:id="2042316213">
      <w:bodyDiv w:val="1"/>
      <w:marLeft w:val="0"/>
      <w:marRight w:val="0"/>
      <w:marTop w:val="0"/>
      <w:marBottom w:val="0"/>
      <w:divBdr>
        <w:top w:val="none" w:sz="0" w:space="0" w:color="auto"/>
        <w:left w:val="none" w:sz="0" w:space="0" w:color="auto"/>
        <w:bottom w:val="none" w:sz="0" w:space="0" w:color="auto"/>
        <w:right w:val="none" w:sz="0" w:space="0" w:color="auto"/>
      </w:divBdr>
    </w:div>
    <w:div w:id="2045254031">
      <w:bodyDiv w:val="1"/>
      <w:marLeft w:val="0"/>
      <w:marRight w:val="0"/>
      <w:marTop w:val="0"/>
      <w:marBottom w:val="0"/>
      <w:divBdr>
        <w:top w:val="none" w:sz="0" w:space="0" w:color="auto"/>
        <w:left w:val="none" w:sz="0" w:space="0" w:color="auto"/>
        <w:bottom w:val="none" w:sz="0" w:space="0" w:color="auto"/>
        <w:right w:val="none" w:sz="0" w:space="0" w:color="auto"/>
      </w:divBdr>
    </w:div>
    <w:div w:id="2054186225">
      <w:bodyDiv w:val="1"/>
      <w:marLeft w:val="0"/>
      <w:marRight w:val="0"/>
      <w:marTop w:val="0"/>
      <w:marBottom w:val="0"/>
      <w:divBdr>
        <w:top w:val="none" w:sz="0" w:space="0" w:color="auto"/>
        <w:left w:val="none" w:sz="0" w:space="0" w:color="auto"/>
        <w:bottom w:val="none" w:sz="0" w:space="0" w:color="auto"/>
        <w:right w:val="none" w:sz="0" w:space="0" w:color="auto"/>
      </w:divBdr>
    </w:div>
    <w:div w:id="2054767883">
      <w:bodyDiv w:val="1"/>
      <w:marLeft w:val="0"/>
      <w:marRight w:val="0"/>
      <w:marTop w:val="0"/>
      <w:marBottom w:val="0"/>
      <w:divBdr>
        <w:top w:val="none" w:sz="0" w:space="0" w:color="auto"/>
        <w:left w:val="none" w:sz="0" w:space="0" w:color="auto"/>
        <w:bottom w:val="none" w:sz="0" w:space="0" w:color="auto"/>
        <w:right w:val="none" w:sz="0" w:space="0" w:color="auto"/>
      </w:divBdr>
    </w:div>
    <w:div w:id="2068793170">
      <w:bodyDiv w:val="1"/>
      <w:marLeft w:val="0"/>
      <w:marRight w:val="0"/>
      <w:marTop w:val="0"/>
      <w:marBottom w:val="0"/>
      <w:divBdr>
        <w:top w:val="none" w:sz="0" w:space="0" w:color="auto"/>
        <w:left w:val="none" w:sz="0" w:space="0" w:color="auto"/>
        <w:bottom w:val="none" w:sz="0" w:space="0" w:color="auto"/>
        <w:right w:val="none" w:sz="0" w:space="0" w:color="auto"/>
      </w:divBdr>
    </w:div>
    <w:div w:id="2072003449">
      <w:bodyDiv w:val="1"/>
      <w:marLeft w:val="0"/>
      <w:marRight w:val="0"/>
      <w:marTop w:val="0"/>
      <w:marBottom w:val="0"/>
      <w:divBdr>
        <w:top w:val="none" w:sz="0" w:space="0" w:color="auto"/>
        <w:left w:val="none" w:sz="0" w:space="0" w:color="auto"/>
        <w:bottom w:val="none" w:sz="0" w:space="0" w:color="auto"/>
        <w:right w:val="none" w:sz="0" w:space="0" w:color="auto"/>
      </w:divBdr>
    </w:div>
    <w:div w:id="2082941928">
      <w:bodyDiv w:val="1"/>
      <w:marLeft w:val="0"/>
      <w:marRight w:val="0"/>
      <w:marTop w:val="0"/>
      <w:marBottom w:val="0"/>
      <w:divBdr>
        <w:top w:val="none" w:sz="0" w:space="0" w:color="auto"/>
        <w:left w:val="none" w:sz="0" w:space="0" w:color="auto"/>
        <w:bottom w:val="none" w:sz="0" w:space="0" w:color="auto"/>
        <w:right w:val="none" w:sz="0" w:space="0" w:color="auto"/>
      </w:divBdr>
      <w:divsChild>
        <w:div w:id="1045175151">
          <w:marLeft w:val="-720"/>
          <w:marRight w:val="0"/>
          <w:marTop w:val="0"/>
          <w:marBottom w:val="0"/>
          <w:divBdr>
            <w:top w:val="none" w:sz="0" w:space="0" w:color="auto"/>
            <w:left w:val="none" w:sz="0" w:space="0" w:color="auto"/>
            <w:bottom w:val="none" w:sz="0" w:space="0" w:color="auto"/>
            <w:right w:val="none" w:sz="0" w:space="0" w:color="auto"/>
          </w:divBdr>
        </w:div>
      </w:divsChild>
    </w:div>
    <w:div w:id="2104719738">
      <w:bodyDiv w:val="1"/>
      <w:marLeft w:val="0"/>
      <w:marRight w:val="0"/>
      <w:marTop w:val="0"/>
      <w:marBottom w:val="0"/>
      <w:divBdr>
        <w:top w:val="none" w:sz="0" w:space="0" w:color="auto"/>
        <w:left w:val="none" w:sz="0" w:space="0" w:color="auto"/>
        <w:bottom w:val="none" w:sz="0" w:space="0" w:color="auto"/>
        <w:right w:val="none" w:sz="0" w:space="0" w:color="auto"/>
      </w:divBdr>
    </w:div>
    <w:div w:id="2105952253">
      <w:bodyDiv w:val="1"/>
      <w:marLeft w:val="0"/>
      <w:marRight w:val="0"/>
      <w:marTop w:val="0"/>
      <w:marBottom w:val="0"/>
      <w:divBdr>
        <w:top w:val="none" w:sz="0" w:space="0" w:color="auto"/>
        <w:left w:val="none" w:sz="0" w:space="0" w:color="auto"/>
        <w:bottom w:val="none" w:sz="0" w:space="0" w:color="auto"/>
        <w:right w:val="none" w:sz="0" w:space="0" w:color="auto"/>
      </w:divBdr>
      <w:divsChild>
        <w:div w:id="62721075">
          <w:marLeft w:val="-720"/>
          <w:marRight w:val="0"/>
          <w:marTop w:val="0"/>
          <w:marBottom w:val="0"/>
          <w:divBdr>
            <w:top w:val="none" w:sz="0" w:space="0" w:color="auto"/>
            <w:left w:val="none" w:sz="0" w:space="0" w:color="auto"/>
            <w:bottom w:val="none" w:sz="0" w:space="0" w:color="auto"/>
            <w:right w:val="none" w:sz="0" w:space="0" w:color="auto"/>
          </w:divBdr>
        </w:div>
      </w:divsChild>
    </w:div>
    <w:div w:id="2117408924">
      <w:bodyDiv w:val="1"/>
      <w:marLeft w:val="0"/>
      <w:marRight w:val="0"/>
      <w:marTop w:val="0"/>
      <w:marBottom w:val="0"/>
      <w:divBdr>
        <w:top w:val="none" w:sz="0" w:space="0" w:color="auto"/>
        <w:left w:val="none" w:sz="0" w:space="0" w:color="auto"/>
        <w:bottom w:val="none" w:sz="0" w:space="0" w:color="auto"/>
        <w:right w:val="none" w:sz="0" w:space="0" w:color="auto"/>
      </w:divBdr>
    </w:div>
    <w:div w:id="2128161766">
      <w:bodyDiv w:val="1"/>
      <w:marLeft w:val="0"/>
      <w:marRight w:val="0"/>
      <w:marTop w:val="0"/>
      <w:marBottom w:val="0"/>
      <w:divBdr>
        <w:top w:val="none" w:sz="0" w:space="0" w:color="auto"/>
        <w:left w:val="none" w:sz="0" w:space="0" w:color="auto"/>
        <w:bottom w:val="none" w:sz="0" w:space="0" w:color="auto"/>
        <w:right w:val="none" w:sz="0" w:space="0" w:color="auto"/>
      </w:divBdr>
      <w:divsChild>
        <w:div w:id="1615822146">
          <w:marLeft w:val="-720"/>
          <w:marRight w:val="0"/>
          <w:marTop w:val="0"/>
          <w:marBottom w:val="0"/>
          <w:divBdr>
            <w:top w:val="none" w:sz="0" w:space="0" w:color="auto"/>
            <w:left w:val="none" w:sz="0" w:space="0" w:color="auto"/>
            <w:bottom w:val="none" w:sz="0" w:space="0" w:color="auto"/>
            <w:right w:val="none" w:sz="0" w:space="0" w:color="auto"/>
          </w:divBdr>
        </w:div>
      </w:divsChild>
    </w:div>
    <w:div w:id="2130200044">
      <w:bodyDiv w:val="1"/>
      <w:marLeft w:val="0"/>
      <w:marRight w:val="0"/>
      <w:marTop w:val="0"/>
      <w:marBottom w:val="0"/>
      <w:divBdr>
        <w:top w:val="none" w:sz="0" w:space="0" w:color="auto"/>
        <w:left w:val="none" w:sz="0" w:space="0" w:color="auto"/>
        <w:bottom w:val="none" w:sz="0" w:space="0" w:color="auto"/>
        <w:right w:val="none" w:sz="0" w:space="0" w:color="auto"/>
      </w:divBdr>
    </w:div>
    <w:div w:id="2130970489">
      <w:bodyDiv w:val="1"/>
      <w:marLeft w:val="0"/>
      <w:marRight w:val="0"/>
      <w:marTop w:val="0"/>
      <w:marBottom w:val="0"/>
      <w:divBdr>
        <w:top w:val="none" w:sz="0" w:space="0" w:color="auto"/>
        <w:left w:val="none" w:sz="0" w:space="0" w:color="auto"/>
        <w:bottom w:val="none" w:sz="0" w:space="0" w:color="auto"/>
        <w:right w:val="none" w:sz="0" w:space="0" w:color="auto"/>
      </w:divBdr>
    </w:div>
    <w:div w:id="2131849711">
      <w:bodyDiv w:val="1"/>
      <w:marLeft w:val="0"/>
      <w:marRight w:val="0"/>
      <w:marTop w:val="0"/>
      <w:marBottom w:val="0"/>
      <w:divBdr>
        <w:top w:val="none" w:sz="0" w:space="0" w:color="auto"/>
        <w:left w:val="none" w:sz="0" w:space="0" w:color="auto"/>
        <w:bottom w:val="none" w:sz="0" w:space="0" w:color="auto"/>
        <w:right w:val="none" w:sz="0" w:space="0" w:color="auto"/>
      </w:divBdr>
    </w:div>
    <w:div w:id="2132164097">
      <w:bodyDiv w:val="1"/>
      <w:marLeft w:val="0"/>
      <w:marRight w:val="0"/>
      <w:marTop w:val="0"/>
      <w:marBottom w:val="0"/>
      <w:divBdr>
        <w:top w:val="none" w:sz="0" w:space="0" w:color="auto"/>
        <w:left w:val="none" w:sz="0" w:space="0" w:color="auto"/>
        <w:bottom w:val="none" w:sz="0" w:space="0" w:color="auto"/>
        <w:right w:val="none" w:sz="0" w:space="0" w:color="auto"/>
      </w:divBdr>
    </w:div>
    <w:div w:id="2137331181">
      <w:bodyDiv w:val="1"/>
      <w:marLeft w:val="0"/>
      <w:marRight w:val="0"/>
      <w:marTop w:val="0"/>
      <w:marBottom w:val="0"/>
      <w:divBdr>
        <w:top w:val="none" w:sz="0" w:space="0" w:color="auto"/>
        <w:left w:val="none" w:sz="0" w:space="0" w:color="auto"/>
        <w:bottom w:val="none" w:sz="0" w:space="0" w:color="auto"/>
        <w:right w:val="none" w:sz="0" w:space="0" w:color="auto"/>
      </w:divBdr>
      <w:divsChild>
        <w:div w:id="1642342379">
          <w:marLeft w:val="-720"/>
          <w:marRight w:val="0"/>
          <w:marTop w:val="0"/>
          <w:marBottom w:val="0"/>
          <w:divBdr>
            <w:top w:val="none" w:sz="0" w:space="0" w:color="auto"/>
            <w:left w:val="none" w:sz="0" w:space="0" w:color="auto"/>
            <w:bottom w:val="none" w:sz="0" w:space="0" w:color="auto"/>
            <w:right w:val="none" w:sz="0" w:space="0" w:color="auto"/>
          </w:divBdr>
        </w:div>
      </w:divsChild>
    </w:div>
    <w:div w:id="2138253752">
      <w:bodyDiv w:val="1"/>
      <w:marLeft w:val="0"/>
      <w:marRight w:val="0"/>
      <w:marTop w:val="0"/>
      <w:marBottom w:val="0"/>
      <w:divBdr>
        <w:top w:val="none" w:sz="0" w:space="0" w:color="auto"/>
        <w:left w:val="none" w:sz="0" w:space="0" w:color="auto"/>
        <w:bottom w:val="none" w:sz="0" w:space="0" w:color="auto"/>
        <w:right w:val="none" w:sz="0" w:space="0" w:color="auto"/>
      </w:divBdr>
    </w:div>
    <w:div w:id="214580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7.png"/><Relationship Id="rId21" Type="http://schemas.openxmlformats.org/officeDocument/2006/relationships/hyperlink" Target="https://doktormike.gitlab.io/posts/navigating-logp-logd-pka-and-logs-a-physicists-guide/" TargetMode="External"/><Relationship Id="rId42" Type="http://schemas.openxmlformats.org/officeDocument/2006/relationships/hyperlink" Target="https://www.ncbi.nlm.nih.gov/pmc/articles/PMC5586346" TargetMode="External"/><Relationship Id="rId63" Type="http://schemas.openxmlformats.org/officeDocument/2006/relationships/image" Target="media/image2.png"/><Relationship Id="rId84" Type="http://schemas.openxmlformats.org/officeDocument/2006/relationships/hyperlink" Target="https://www.ncbi.nlm.nih.gov/pmc/articles/PMC9730531/" TargetMode="External"/><Relationship Id="rId138" Type="http://schemas.openxmlformats.org/officeDocument/2006/relationships/hyperlink" Target="https://molecularneurodegeneration.biomedcentral.com/articles/10.1186/s13024-021-00460-5" TargetMode="External"/><Relationship Id="rId159" Type="http://schemas.openxmlformats.org/officeDocument/2006/relationships/hyperlink" Target="https://pubmed.ncbi.nlm.nih.gov/19172190/" TargetMode="External"/><Relationship Id="rId170" Type="http://schemas.openxmlformats.org/officeDocument/2006/relationships/hyperlink" Target="https://www.frontiersin.org/journals/aging/articles/10.3389/fragi.2024.1483030/full" TargetMode="External"/><Relationship Id="rId191" Type="http://schemas.openxmlformats.org/officeDocument/2006/relationships/hyperlink" Target="https://www.sec.gov/files/litigation/complaints/2024/comp-pr2024-151.pdf" TargetMode="External"/><Relationship Id="rId205" Type="http://schemas.openxmlformats.org/officeDocument/2006/relationships/hyperlink" Target="https://www.science.org/do/10.1126/science.adl3444/full/cuny_wang_final_report-1698701360173.pdf" TargetMode="External"/><Relationship Id="rId226" Type="http://schemas.openxmlformats.org/officeDocument/2006/relationships/hyperlink" Target="https://x.com/MicrobiomDigest/status/1471969150734303235?ref_src=twsrc%5Etfw%7Ctwcamp%5Etweetembed%7Ctwterm%5E1471969150734303235%7Ctwgr%5E%7Ctwcon%5Es1_&amp;ref_url=https%3A%2F%2Fretractionwatch.com%2F2021%2F12%2F20%2Ftwo-expressions-of-concern-arrive-for-papers-linked-to-beleaguered-biotech-cassava%2F" TargetMode="External"/><Relationship Id="rId107" Type="http://schemas.openxmlformats.org/officeDocument/2006/relationships/hyperlink" Target="https://www.ncbi.nlm.nih.gov/pmc/articles/PMC2276999/" TargetMode="External"/><Relationship Id="rId11" Type="http://schemas.openxmlformats.org/officeDocument/2006/relationships/hyperlink" Target="https://www.biospace.com/pain-therapeutics-ceo-lashes-out-as-fda-rejects-company-s-remoxy" TargetMode="External"/><Relationship Id="rId32" Type="http://schemas.openxmlformats.org/officeDocument/2006/relationships/hyperlink" Target="https://pubchem.ncbi.nlm.nih.gov/compound/46195331" TargetMode="External"/><Relationship Id="rId53" Type="http://schemas.openxmlformats.org/officeDocument/2006/relationships/hyperlink" Target="https://journals.plos.org/plosone/article?id=10.1371/journal.pone.0004282" TargetMode="External"/><Relationship Id="rId74" Type="http://schemas.openxmlformats.org/officeDocument/2006/relationships/hyperlink" Target="https://www.ncbi.nlm.nih.gov/pmc/articles/PMC7761120/" TargetMode="External"/><Relationship Id="rId128" Type="http://schemas.openxmlformats.org/officeDocument/2006/relationships/hyperlink" Target="https://www.frontiersin.org/journals/integrative-neuroscience/articles/10.3389/fnint.2013.00059/full" TargetMode="External"/><Relationship Id="rId149" Type="http://schemas.openxmlformats.org/officeDocument/2006/relationships/hyperlink" Target="https://pubmed.ncbi.nlm.nih.gov/?term=FLNA+Alzheimer&amp;sort=date" TargetMode="External"/><Relationship Id="rId5" Type="http://schemas.openxmlformats.org/officeDocument/2006/relationships/webSettings" Target="webSettings.xml"/><Relationship Id="rId95" Type="http://schemas.openxmlformats.org/officeDocument/2006/relationships/hyperlink" Target="https://www.nature.com/articles/aps200964" TargetMode="External"/><Relationship Id="rId160" Type="http://schemas.openxmlformats.org/officeDocument/2006/relationships/hyperlink" Target="https://pubmed.ncbi.nlm.nih.gov/35353864/" TargetMode="External"/><Relationship Id="rId181" Type="http://schemas.openxmlformats.org/officeDocument/2006/relationships/hyperlink" Target="https://www.sec.gov/files/litigation/admin/2024/33-11311.pdf" TargetMode="External"/><Relationship Id="rId216" Type="http://schemas.openxmlformats.org/officeDocument/2006/relationships/hyperlink" Target="https://www.qcmfunds.com/cassava-sciences-sava-game-over/" TargetMode="External"/><Relationship Id="rId237" Type="http://schemas.openxmlformats.org/officeDocument/2006/relationships/footer" Target="footer2.xml"/><Relationship Id="rId22" Type="http://schemas.openxmlformats.org/officeDocument/2006/relationships/hyperlink" Target="https://durrantlab.pitt.edu/molmoda/docs/structures/molprop/logp" TargetMode="External"/><Relationship Id="rId43" Type="http://schemas.openxmlformats.org/officeDocument/2006/relationships/hyperlink" Target="https://www.guidetopharmacology.org/GRAC/FamilyIntroductionForward?familyId=76" TargetMode="External"/><Relationship Id="rId64" Type="http://schemas.openxmlformats.org/officeDocument/2006/relationships/hyperlink" Target="https://www.cassavafraud.com/docs/CTAD/CTADposter_LP105A_RigorReplication_Simufilam_SF2022.pdf" TargetMode="External"/><Relationship Id="rId118" Type="http://schemas.openxmlformats.org/officeDocument/2006/relationships/hyperlink" Target="https://www.mdpi.com/2073-4409/13/3/237" TargetMode="External"/><Relationship Id="rId139" Type="http://schemas.openxmlformats.org/officeDocument/2006/relationships/hyperlink" Target="https://www.stressmarq.com/amyloid-hypothesis-vs-tau-hypothesis" TargetMode="External"/><Relationship Id="rId85" Type="http://schemas.openxmlformats.org/officeDocument/2006/relationships/hyperlink" Target="https://www.ncbi.nlm.nih.gov/pmc/articles/PMC9730531/" TargetMode="External"/><Relationship Id="rId150" Type="http://schemas.openxmlformats.org/officeDocument/2006/relationships/hyperlink" Target="https://pubmed.ncbi.nlm.nih.gov/?term=amyloid+alzheimer&amp;filter=years.2012-2025&amp;sort=date" TargetMode="External"/><Relationship Id="rId171" Type="http://schemas.openxmlformats.org/officeDocument/2006/relationships/hyperlink" Target="https://pubmed.ncbi.nlm.nih.gov/21980374/" TargetMode="External"/><Relationship Id="rId192" Type="http://schemas.openxmlformats.org/officeDocument/2006/relationships/hyperlink" Target="https://www.sec.gov/files/litigation/complaints/2024/comp-pr2024-151.pdf" TargetMode="External"/><Relationship Id="rId206" Type="http://schemas.openxmlformats.org/officeDocument/2006/relationships/hyperlink" Target="https://www.science.org/do/10.1126/science.adl3444/full/cuny_wang_final_report-1698701360173.pdf" TargetMode="External"/><Relationship Id="rId227" Type="http://schemas.openxmlformats.org/officeDocument/2006/relationships/hyperlink" Target="https://www.cassavasciences.com/news-releases/news-release-details/cassava-sciences-releases-public-statement-regarding-recent" TargetMode="External"/><Relationship Id="rId12" Type="http://schemas.openxmlformats.org/officeDocument/2006/relationships/hyperlink" Target="https://www.biospace.com/pain-therapeutics-ceo-lashes-out-as-fda-rejects-company-s-remoxy" TargetMode="External"/><Relationship Id="rId33" Type="http://schemas.openxmlformats.org/officeDocument/2006/relationships/hyperlink" Target="https://www.sciencedirect.com/science/article/abs/pii/S0040402004018046" TargetMode="External"/><Relationship Id="rId108" Type="http://schemas.openxmlformats.org/officeDocument/2006/relationships/hyperlink" Target="https://www.ncbi.nlm.nih.gov/pmc/articles/PMC2268041/" TargetMode="External"/><Relationship Id="rId129" Type="http://schemas.openxmlformats.org/officeDocument/2006/relationships/hyperlink" Target="https://jneuroinflammation.biomedcentral.com/articles/10.1186/s12974-023-02853-3" TargetMode="External"/><Relationship Id="rId54" Type="http://schemas.openxmlformats.org/officeDocument/2006/relationships/hyperlink" Target="https://www.rcsb.org/structure/3CNK" TargetMode="External"/><Relationship Id="rId75" Type="http://schemas.openxmlformats.org/officeDocument/2006/relationships/hyperlink" Target="https://nanoconvergencejournal.springeropen.com/articles/10.1186/s40580-021-00267-6" TargetMode="External"/><Relationship Id="rId96" Type="http://schemas.openxmlformats.org/officeDocument/2006/relationships/hyperlink" Target="https://www.ncbi.nlm.nih.gov/pmc/articles/PMC7478872" TargetMode="External"/><Relationship Id="rId140" Type="http://schemas.openxmlformats.org/officeDocument/2006/relationships/hyperlink" Target="https://pubmed.ncbi.nlm.nih.gov/21031168/" TargetMode="External"/><Relationship Id="rId161" Type="http://schemas.openxmlformats.org/officeDocument/2006/relationships/hyperlink" Target="https://pubmed.ncbi.nlm.nih.gov/19172190/" TargetMode="External"/><Relationship Id="rId182" Type="http://schemas.openxmlformats.org/officeDocument/2006/relationships/hyperlink" Target="https://clinicaltrials.gov/study/NCT04079803?term=Phase%202b%20of%20simufilam&amp;rank=1&amp;tab=results" TargetMode="External"/><Relationship Id="rId217" Type="http://schemas.openxmlformats.org/officeDocument/2006/relationships/hyperlink" Target="https://www.qcmfunds.com/cassava-sciences-sava-game-over/" TargetMode="External"/><Relationship Id="rId6" Type="http://schemas.openxmlformats.org/officeDocument/2006/relationships/footnotes" Target="footnotes.xml"/><Relationship Id="rId238" Type="http://schemas.openxmlformats.org/officeDocument/2006/relationships/fontTable" Target="fontTable.xml"/><Relationship Id="rId23" Type="http://schemas.openxmlformats.org/officeDocument/2006/relationships/hyperlink" Target="https://link.springer.com/article/10.1007/BF01059381" TargetMode="External"/><Relationship Id="rId119" Type="http://schemas.openxmlformats.org/officeDocument/2006/relationships/hyperlink" Target="https://www.nature.com/articles/s41392-023-01484-7" TargetMode="External"/><Relationship Id="rId44" Type="http://schemas.openxmlformats.org/officeDocument/2006/relationships/hyperlink" Target="https://www.nature.com/articles/s41392-023-01589-z" TargetMode="External"/><Relationship Id="rId65" Type="http://schemas.openxmlformats.org/officeDocument/2006/relationships/hyperlink" Target="https://www.cassavafraud.com/docs/CTAD/CTADposter_LP105A_RigorReplication_Simufilam_SF2022.pdf" TargetMode="External"/><Relationship Id="rId86" Type="http://schemas.openxmlformats.org/officeDocument/2006/relationships/hyperlink" Target="https://agingcenter.duke.edu/cerad" TargetMode="External"/><Relationship Id="rId130" Type="http://schemas.openxmlformats.org/officeDocument/2006/relationships/hyperlink" Target="https://journals.lww.com/nrronline/Fulltext/2023/04000/Targeting_neuroinflammation_in_Alzheimer_s.2.aspx" TargetMode="External"/><Relationship Id="rId151" Type="http://schemas.openxmlformats.org/officeDocument/2006/relationships/hyperlink" Target="https://pubmed.ncbi.nlm.nih.gov/?term=tau+alzheimer&amp;filter=years.2012-2025&amp;sort=date" TargetMode="External"/><Relationship Id="rId172" Type="http://schemas.openxmlformats.org/officeDocument/2006/relationships/hyperlink" Target="https://pubmed.ncbi.nlm.nih.gov/24626340/" TargetMode="External"/><Relationship Id="rId193" Type="http://schemas.openxmlformats.org/officeDocument/2006/relationships/hyperlink" Target="https://www.sec.gov/files/litigation/complaints/2024/comp-pr2024-151.pdf" TargetMode="External"/><Relationship Id="rId207" Type="http://schemas.openxmlformats.org/officeDocument/2006/relationships/hyperlink" Target="https://www.science.org/do/10.1126/science.adl3444/full/cuny_wang_final_report-1698701360173.pdf" TargetMode="External"/><Relationship Id="rId228" Type="http://schemas.openxmlformats.org/officeDocument/2006/relationships/hyperlink" Target="https://www.qcmfunds.com/cassava-sciences-sava-game-over/" TargetMode="External"/><Relationship Id="rId13" Type="http://schemas.openxmlformats.org/officeDocument/2006/relationships/hyperlink" Target="https://www.sec.gov/Archives/edgar/data/1069530/000106953019000016/ptie-20190327x8k.htm" TargetMode="External"/><Relationship Id="rId109" Type="http://schemas.openxmlformats.org/officeDocument/2006/relationships/hyperlink" Target="https://pubmed.ncbi.nlm.nih.gov/37044234/" TargetMode="External"/><Relationship Id="rId34" Type="http://schemas.openxmlformats.org/officeDocument/2006/relationships/hyperlink" Target="https://pubmed.ncbi.nlm.nih.gov/202447/" TargetMode="External"/><Relationship Id="rId55" Type="http://schemas.openxmlformats.org/officeDocument/2006/relationships/hyperlink" Target="https://journals.plos.org/plosone/article?id=10.1371/journal.pone.0004282" TargetMode="External"/><Relationship Id="rId76" Type="http://schemas.openxmlformats.org/officeDocument/2006/relationships/hyperlink" Target="https://www.ncbi.nlm.nih.gov/pmc/articles/PMC7714767" TargetMode="External"/><Relationship Id="rId97" Type="http://schemas.openxmlformats.org/officeDocument/2006/relationships/hyperlink" Target="https://pubmed.ncbi.nlm.nih.gov/37762230" TargetMode="External"/><Relationship Id="rId120" Type="http://schemas.openxmlformats.org/officeDocument/2006/relationships/hyperlink" Target="https://www.ncbi.nlm.nih.gov/pmc/articles/PMC4082030/" TargetMode="External"/><Relationship Id="rId141" Type="http://schemas.openxmlformats.org/officeDocument/2006/relationships/hyperlink" Target="https://alzres.biomedcentral.com/articles/10.1186/alzrt49" TargetMode="External"/><Relationship Id="rId7" Type="http://schemas.openxmlformats.org/officeDocument/2006/relationships/endnotes" Target="endnotes.xml"/><Relationship Id="rId162" Type="http://schemas.openxmlformats.org/officeDocument/2006/relationships/hyperlink" Target="https://pubmed.ncbi.nlm.nih.gov/35353864/" TargetMode="External"/><Relationship Id="rId183" Type="http://schemas.openxmlformats.org/officeDocument/2006/relationships/hyperlink" Target="https://www.sec.gov/files/litigation/admin/2024/33-11311.pdf" TargetMode="External"/><Relationship Id="rId218" Type="http://schemas.openxmlformats.org/officeDocument/2006/relationships/hyperlink" Target="https://www.qcmfunds.com/cassava-sciences-sava-game-over/" TargetMode="External"/><Relationship Id="rId239" Type="http://schemas.openxmlformats.org/officeDocument/2006/relationships/theme" Target="theme/theme1.xml"/><Relationship Id="rId24" Type="http://schemas.openxmlformats.org/officeDocument/2006/relationships/hyperlink" Target="https://www.ncbi.nlm.nih.gov/books/NBK557852/" TargetMode="External"/><Relationship Id="rId45" Type="http://schemas.openxmlformats.org/officeDocument/2006/relationships/hyperlink" Target="https://www.ncbi.nlm.nih.gov/pmc/articles/PMC10148018" TargetMode="External"/><Relationship Id="rId66" Type="http://schemas.openxmlformats.org/officeDocument/2006/relationships/hyperlink" Target="https://pubmed.ncbi.nlm.nih.gov/22404683" TargetMode="External"/><Relationship Id="rId87" Type="http://schemas.openxmlformats.org/officeDocument/2006/relationships/image" Target="media/image3.png"/><Relationship Id="rId110" Type="http://schemas.openxmlformats.org/officeDocument/2006/relationships/hyperlink" Target="https://pubmed.ncbi.nlm.nih.gov/11916531/" TargetMode="External"/><Relationship Id="rId131" Type="http://schemas.openxmlformats.org/officeDocument/2006/relationships/hyperlink" Target="https://pubmed.ncbi.nlm.nih.gov/15055449/" TargetMode="External"/><Relationship Id="rId152" Type="http://schemas.openxmlformats.org/officeDocument/2006/relationships/hyperlink" Target="https://pubmed.ncbi.nlm.nih.gov/?term=microglia+alzheimer&amp;filter=years.2012-2025&amp;sort=date" TargetMode="External"/><Relationship Id="rId173" Type="http://schemas.openxmlformats.org/officeDocument/2006/relationships/hyperlink" Target="https://pmc.ncbi.nlm.nih.gov/articles/PMC8967041/" TargetMode="External"/><Relationship Id="rId194" Type="http://schemas.openxmlformats.org/officeDocument/2006/relationships/hyperlink" Target="https://www.sec.gov/files/litigation/complaints/2024/comp-pr2024-151.pdf" TargetMode="External"/><Relationship Id="rId208" Type="http://schemas.openxmlformats.org/officeDocument/2006/relationships/hyperlink" Target="https://www.science.org/do/10.1126/science.adl3444/full/cuny_wang_final_report-1698701360173.pdf" TargetMode="External"/><Relationship Id="rId229" Type="http://schemas.openxmlformats.org/officeDocument/2006/relationships/hyperlink" Target="https://www.fiercebiotech.com/biotech/cassava-defends-alzheimer-s-science-after-citizen-petition-raises-grave-concerns-about" TargetMode="External"/><Relationship Id="rId240" Type="http://schemas.microsoft.com/office/2020/10/relationships/intelligence" Target="intelligence2.xml"/><Relationship Id="rId14" Type="http://schemas.openxmlformats.org/officeDocument/2006/relationships/hyperlink" Target="https://www.cassavasciences.com/static-files/ee9924b9-190b-4a9e-bb52-77f829a179c6" TargetMode="External"/><Relationship Id="rId35" Type="http://schemas.openxmlformats.org/officeDocument/2006/relationships/hyperlink" Target="https://www.msdmanuals.com/professional/clinical-pharmacology/pharmacokinetics/drug-absorption" TargetMode="External"/><Relationship Id="rId56" Type="http://schemas.openxmlformats.org/officeDocument/2006/relationships/hyperlink" Target="https://www.cassavafraud.com/docs/CTAD/CTADposter_LP105A_RigorReplication_Simufilam_SF2022.pdf" TargetMode="External"/><Relationship Id="rId77" Type="http://schemas.openxmlformats.org/officeDocument/2006/relationships/hyperlink" Target="https://medlineplus.gov/genetics/gene/flna" TargetMode="External"/><Relationship Id="rId100" Type="http://schemas.openxmlformats.org/officeDocument/2006/relationships/hyperlink" Target="https://analyticalsciencejournals.onlinelibrary.wiley.com/doi/abs/10.1002/ddr.22085" TargetMode="External"/><Relationship Id="rId8" Type="http://schemas.openxmlformats.org/officeDocument/2006/relationships/hyperlink" Target="mailto:contact@doyechalmelfreres.com" TargetMode="External"/><Relationship Id="rId98" Type="http://schemas.openxmlformats.org/officeDocument/2006/relationships/hyperlink" Target="https://www.ncbi.nlm.nih.gov/pmc/articles/PMC3277164" TargetMode="External"/><Relationship Id="rId121" Type="http://schemas.openxmlformats.org/officeDocument/2006/relationships/hyperlink" Target="https://pubmed.ncbi.nlm.nih.gov/17184733/" TargetMode="External"/><Relationship Id="rId142" Type="http://schemas.openxmlformats.org/officeDocument/2006/relationships/hyperlink" Target="https://pubmed.ncbi.nlm.nih.gov/21031168/" TargetMode="External"/><Relationship Id="rId163" Type="http://schemas.openxmlformats.org/officeDocument/2006/relationships/hyperlink" Target="https://www.jneurosci.org/content/29/35/10961" TargetMode="External"/><Relationship Id="rId184" Type="http://schemas.openxmlformats.org/officeDocument/2006/relationships/hyperlink" Target="https://content.edgar-online.com/ExternalLink/EDGAR/0001069530-20-000052.html?dest=sava-20200914x8k_htm&amp;hash=9649c0a41eb45753d12b9c8f2d3e9d6e420fee117af4e2705e7d3b0ddd4febca" TargetMode="External"/><Relationship Id="rId219" Type="http://schemas.openxmlformats.org/officeDocument/2006/relationships/hyperlink" Target="https://www.qcmfunds.com/cassava-sciences-sava-game-over/" TargetMode="External"/><Relationship Id="rId230" Type="http://schemas.openxmlformats.org/officeDocument/2006/relationships/hyperlink" Target="https://www.sec.gov/Archives/edgar/data/1069530/000143774924025611/sava20240630_10q.htm" TargetMode="External"/><Relationship Id="rId25" Type="http://schemas.openxmlformats.org/officeDocument/2006/relationships/hyperlink" Target="https://www.ncbi.nlm.nih.gov/pmc/articles/PMC2792490/" TargetMode="External"/><Relationship Id="rId46" Type="http://schemas.openxmlformats.org/officeDocument/2006/relationships/hyperlink" Target="https://journals.plos.org/plosone/article?id=10.1371/journal.pone.0001554" TargetMode="External"/><Relationship Id="rId67" Type="http://schemas.openxmlformats.org/officeDocument/2006/relationships/hyperlink" Target="https://www.ncbi.nlm.nih.gov/pmc/articles/PMC4968159" TargetMode="External"/><Relationship Id="rId88" Type="http://schemas.openxmlformats.org/officeDocument/2006/relationships/hyperlink" Target="https://pmc.ncbi.nlm.nih.gov/articles/PMC9730531/" TargetMode="External"/><Relationship Id="rId111" Type="http://schemas.openxmlformats.org/officeDocument/2006/relationships/hyperlink" Target="https://pubmed.ncbi.nlm.nih.gov/8758961/" TargetMode="External"/><Relationship Id="rId132" Type="http://schemas.openxmlformats.org/officeDocument/2006/relationships/hyperlink" Target="https://www.ncbi.nlm.nih.gov/pmc/articles/PMC10531384" TargetMode="External"/><Relationship Id="rId153" Type="http://schemas.openxmlformats.org/officeDocument/2006/relationships/hyperlink" Target="https://www.ajmc.com/view/the-economic-and-societal-burden-of-alzheimer-disease-managed-care-considerations" TargetMode="External"/><Relationship Id="rId174" Type="http://schemas.openxmlformats.org/officeDocument/2006/relationships/hyperlink" Target="https://pubmed.ncbi.nlm.nih.gov/35353866/" TargetMode="External"/><Relationship Id="rId195" Type="http://schemas.openxmlformats.org/officeDocument/2006/relationships/hyperlink" Target="https://www.sec.gov/files/litigation/complaints/2024/comp-pr2024-151.pdf" TargetMode="External"/><Relationship Id="rId209" Type="http://schemas.openxmlformats.org/officeDocument/2006/relationships/hyperlink" Target="https://www.science.org/do/10.1126/science.adl3444/full/cuny_wang_final_report-1698701360173.pdf" TargetMode="External"/><Relationship Id="rId190" Type="http://schemas.openxmlformats.org/officeDocument/2006/relationships/hyperlink" Target="https://www.sec.gov/files/litigation/complaints/2024/comp-pr2024-151.pdf" TargetMode="External"/><Relationship Id="rId204" Type="http://schemas.openxmlformats.org/officeDocument/2006/relationships/hyperlink" Target="https://www.science.org/do/10.1126/science.adl3444/full/cuny_wang_final_report-1698701360173.pdf" TargetMode="External"/><Relationship Id="rId220" Type="http://schemas.openxmlformats.org/officeDocument/2006/relationships/hyperlink" Target="https://www.qcmfunds.com/cassava-sciences-sava-game-over/" TargetMode="External"/><Relationship Id="rId225" Type="http://schemas.openxmlformats.org/officeDocument/2006/relationships/hyperlink" Target="https://www.regulations.gov/docket/FDA-2021-P-0930/document" TargetMode="External"/><Relationship Id="rId15" Type="http://schemas.openxmlformats.org/officeDocument/2006/relationships/hyperlink" Target="https://www.cassavasciences.com/static-files/f11cbea3-359f-4ce9-81c6-ecf58f3dcbed" TargetMode="External"/><Relationship Id="rId36" Type="http://schemas.openxmlformats.org/officeDocument/2006/relationships/hyperlink" Target="https://durrantlab.pitt.edu/molmoda/docs/structures/molprop/logp/" TargetMode="External"/><Relationship Id="rId57" Type="http://schemas.openxmlformats.org/officeDocument/2006/relationships/hyperlink" Target="https://measurlabs.com/methods/isothermal-titration-calorimetry" TargetMode="External"/><Relationship Id="rId106" Type="http://schemas.openxmlformats.org/officeDocument/2006/relationships/hyperlink" Target="https://www.ncbi.nlm.nih.gov/pmc/articles/PMC4486611/" TargetMode="External"/><Relationship Id="rId127" Type="http://schemas.openxmlformats.org/officeDocument/2006/relationships/hyperlink" Target="https://pubmed.ncbi.nlm.nih.gov/23931435/" TargetMode="External"/><Relationship Id="rId10" Type="http://schemas.openxmlformats.org/officeDocument/2006/relationships/hyperlink" Target="https://www.cassavasciences.com/news-releases/news-release-details/cassava-sciences-resolves-sec-investigation" TargetMode="External"/><Relationship Id="rId31" Type="http://schemas.openxmlformats.org/officeDocument/2006/relationships/image" Target="media/image1.png"/><Relationship Id="rId52" Type="http://schemas.openxmlformats.org/officeDocument/2006/relationships/hyperlink" Target="https://www.science.org/doi/10.1126/science.179.4077.1011" TargetMode="External"/><Relationship Id="rId73" Type="http://schemas.openxmlformats.org/officeDocument/2006/relationships/hyperlink" Target="https://www.frontiersin.org/journals/cell-and-developmental-biology/articles/10.3389/fcell.2020.591323/full" TargetMode="External"/><Relationship Id="rId78" Type="http://schemas.openxmlformats.org/officeDocument/2006/relationships/hyperlink" Target="https://www.ncbi.nlm.nih.gov/books/NBK26867" TargetMode="External"/><Relationship Id="rId94" Type="http://schemas.openxmlformats.org/officeDocument/2006/relationships/hyperlink" Target="https://www.guidetopharmacology.org/GRAC/FamilyIntroductionForward?familyId=76" TargetMode="External"/><Relationship Id="rId99" Type="http://schemas.openxmlformats.org/officeDocument/2006/relationships/hyperlink" Target="https://www.ncbi.nlm.nih.gov/pmc/articles/PMC8294116" TargetMode="External"/><Relationship Id="rId101" Type="http://schemas.openxmlformats.org/officeDocument/2006/relationships/hyperlink" Target="https://www.ncbi.nlm.nih.gov/pmc/articles/PMC4809262" TargetMode="External"/><Relationship Id="rId122" Type="http://schemas.openxmlformats.org/officeDocument/2006/relationships/hyperlink" Target="https://www.ncbi.nlm.nih.gov/pmc/articles/PMC10531384" TargetMode="External"/><Relationship Id="rId143" Type="http://schemas.openxmlformats.org/officeDocument/2006/relationships/hyperlink" Target="https://www.pfizer.com/news/press-release/press-release-detail/pfizer_and_medivation_announce_results_from_two_phase_3_studies_in_dimebon_latrepirdine_alzheimer_s_disease_clinical_development_program" TargetMode="External"/><Relationship Id="rId148" Type="http://schemas.openxmlformats.org/officeDocument/2006/relationships/hyperlink" Target="https://pubmed.ncbi.nlm.nih.gov/?term=FLNA+Alzheimer&amp;sort=date" TargetMode="External"/><Relationship Id="rId164" Type="http://schemas.openxmlformats.org/officeDocument/2006/relationships/hyperlink" Target="https://www.jneurosci.org/content/42/3/528" TargetMode="External"/><Relationship Id="rId169" Type="http://schemas.openxmlformats.org/officeDocument/2006/relationships/hyperlink" Target="https://pubmed.ncbi.nlm.nih.gov/37457922/" TargetMode="External"/><Relationship Id="rId185" Type="http://schemas.openxmlformats.org/officeDocument/2006/relationships/hyperlink" Target="https://www.sec.gov/Archives/edgar/data/1069530/000106953020000069/sava-20201113x8k.htm" TargetMode="External"/><Relationship Id="rId4" Type="http://schemas.openxmlformats.org/officeDocument/2006/relationships/settings" Target="settings.xml"/><Relationship Id="rId9" Type="http://schemas.openxmlformats.org/officeDocument/2006/relationships/hyperlink" Target="https://www.sec.gov/Archives/edgar/data/1069530/000143774924025611/sava20240630_10q.htm" TargetMode="External"/><Relationship Id="rId180" Type="http://schemas.openxmlformats.org/officeDocument/2006/relationships/hyperlink" Target="https://www.justice.gov/opa/pr/professor-charged-operating-multimillion-dollar-grant-fraud-scheme" TargetMode="External"/><Relationship Id="rId210" Type="http://schemas.openxmlformats.org/officeDocument/2006/relationships/hyperlink" Target="https://www.science.org/do/10.1126/science.adl3444/full/cuny_wang_final_report-1698701360173.pdf" TargetMode="External"/><Relationship Id="rId215" Type="http://schemas.openxmlformats.org/officeDocument/2006/relationships/hyperlink" Target="https://www.sec.gov/Archives/edgar/data/1069530/000106953020000048/sava-20200901x8k.htm" TargetMode="External"/><Relationship Id="rId236" Type="http://schemas.openxmlformats.org/officeDocument/2006/relationships/header" Target="header2.xml"/><Relationship Id="rId26" Type="http://schemas.openxmlformats.org/officeDocument/2006/relationships/hyperlink" Target="https://www.ncbi.nlm.nih.gov/pmc/articles/PMC6297296" TargetMode="External"/><Relationship Id="rId231" Type="http://schemas.openxmlformats.org/officeDocument/2006/relationships/hyperlink" Target="https://www.cassavasciences.com/news-releases/news-release-details/cassava-sciences-resolves-sec-investigation" TargetMode="External"/><Relationship Id="rId47" Type="http://schemas.openxmlformats.org/officeDocument/2006/relationships/hyperlink" Target="https://journals.plos.org/plosone/article?id=10.1371/journal.pone.0001554" TargetMode="External"/><Relationship Id="rId68" Type="http://schemas.openxmlformats.org/officeDocument/2006/relationships/hyperlink" Target="https://pasteur.hal.science/pasteur-02918360/file/TCB-D-20-00035.pdf" TargetMode="External"/><Relationship Id="rId89" Type="http://schemas.openxmlformats.org/officeDocument/2006/relationships/image" Target="media/image4.png"/><Relationship Id="rId112" Type="http://schemas.openxmlformats.org/officeDocument/2006/relationships/hyperlink" Target="https://www.mdpi.com/2073-4409/13/3/237" TargetMode="External"/><Relationship Id="rId133" Type="http://schemas.openxmlformats.org/officeDocument/2006/relationships/hyperlink" Target="https://www.nature.com/articles/srep15410" TargetMode="External"/><Relationship Id="rId154" Type="http://schemas.openxmlformats.org/officeDocument/2006/relationships/hyperlink" Target="https://pmc.ncbi.nlm.nih.gov/articles/PMC8940715/" TargetMode="External"/><Relationship Id="rId175" Type="http://schemas.openxmlformats.org/officeDocument/2006/relationships/hyperlink" Target="https://onlineethics.org/cases/misconduct-accounts-majority-retracted-scientific-publications" TargetMode="External"/><Relationship Id="rId196" Type="http://schemas.openxmlformats.org/officeDocument/2006/relationships/hyperlink" Target="https://www.sec.gov/files/litigation/complaints/2024/comp-pr2024-151.pdf" TargetMode="External"/><Relationship Id="rId200" Type="http://schemas.openxmlformats.org/officeDocument/2006/relationships/hyperlink" Target="https://www.sec.gov/files/litigation/complaints/2024/comp-pr2024-151.pdf" TargetMode="External"/><Relationship Id="rId16" Type="http://schemas.openxmlformats.org/officeDocument/2006/relationships/hyperlink" Target="https://www.cassavasciences.com/news-releases/news-release-details/new-research-shows-simufilam-suppresses-overactive-mtor" TargetMode="External"/><Relationship Id="rId221" Type="http://schemas.openxmlformats.org/officeDocument/2006/relationships/hyperlink" Target="https://www.qcmfunds.com/cassava-sciences-sava-game-over/" TargetMode="External"/><Relationship Id="rId37" Type="http://schemas.openxmlformats.org/officeDocument/2006/relationships/hyperlink" Target="https://www.ncbi.nlm.nih.gov/pmc/articles/PMC1201314" TargetMode="External"/><Relationship Id="rId58" Type="http://schemas.openxmlformats.org/officeDocument/2006/relationships/hyperlink" Target="https://www.nature.com/articles/s41467-023-41586-y" TargetMode="External"/><Relationship Id="rId79" Type="http://schemas.openxmlformats.org/officeDocument/2006/relationships/hyperlink" Target="https://pubmed.ncbi.nlm.nih.gov/12297042/" TargetMode="External"/><Relationship Id="rId102" Type="http://schemas.openxmlformats.org/officeDocument/2006/relationships/hyperlink" Target="https://www.nature.com/articles/srep16685" TargetMode="External"/><Relationship Id="rId123" Type="http://schemas.openxmlformats.org/officeDocument/2006/relationships/hyperlink" Target="https://www.nature.com/articles/s41392-023-01484-7" TargetMode="External"/><Relationship Id="rId144" Type="http://schemas.openxmlformats.org/officeDocument/2006/relationships/hyperlink" Target="https://alzres.biomedcentral.com/articles/10.1186/alzrt49" TargetMode="External"/><Relationship Id="rId90" Type="http://schemas.openxmlformats.org/officeDocument/2006/relationships/hyperlink" Target="https://pmc.ncbi.nlm.nih.gov/articles/PMC9730531/" TargetMode="External"/><Relationship Id="rId165" Type="http://schemas.openxmlformats.org/officeDocument/2006/relationships/hyperlink" Target="https://www.biologicalpsychiatryjournal.com/article/S0006-3223(09)01179-2/abstract" TargetMode="External"/><Relationship Id="rId186" Type="http://schemas.openxmlformats.org/officeDocument/2006/relationships/hyperlink" Target="https://www.sec.gov/Archives/edgar/data/1069530/000106953021000009/sava-20210212x8k.htm" TargetMode="External"/><Relationship Id="rId211" Type="http://schemas.openxmlformats.org/officeDocument/2006/relationships/hyperlink" Target="https://www.science.org/do/10.1126/science.adl3444/full/cuny_wang_final_report-1698701360173.pdf" TargetMode="External"/><Relationship Id="rId232" Type="http://schemas.openxmlformats.org/officeDocument/2006/relationships/hyperlink" Target="https://doi.org/10.1038/s41392-023-01589-z" TargetMode="External"/><Relationship Id="rId27" Type="http://schemas.openxmlformats.org/officeDocument/2006/relationships/hyperlink" Target="https://www.ncbi.nlm.nih.gov/books/NBK547662" TargetMode="External"/><Relationship Id="rId48" Type="http://schemas.openxmlformats.org/officeDocument/2006/relationships/hyperlink" Target="https://pubmed.ncbi.nlm.nih.gov/37762230" TargetMode="External"/><Relationship Id="rId69" Type="http://schemas.openxmlformats.org/officeDocument/2006/relationships/hyperlink" Target="https://www.ncbi.nlm.nih.gov/pmc/articles/PMC2851742/" TargetMode="External"/><Relationship Id="rId113" Type="http://schemas.openxmlformats.org/officeDocument/2006/relationships/hyperlink" Target="https://www.mdpi.com/2073-4409/13/3/237" TargetMode="External"/><Relationship Id="rId134" Type="http://schemas.openxmlformats.org/officeDocument/2006/relationships/hyperlink" Target="https://www.ncbi.nlm.nih.gov/pmc/articles/PMC6729733" TargetMode="External"/><Relationship Id="rId80" Type="http://schemas.openxmlformats.org/officeDocument/2006/relationships/hyperlink" Target="https://pubmed.ncbi.nlm.nih.gov/34295950/" TargetMode="External"/><Relationship Id="rId155" Type="http://schemas.openxmlformats.org/officeDocument/2006/relationships/hyperlink" Target="https://alzimpact.org/research" TargetMode="External"/><Relationship Id="rId176" Type="http://schemas.openxmlformats.org/officeDocument/2006/relationships/hyperlink" Target="https://www.science.org/content/article/co-developer-cassava-s-potential-alzheimer-s-drug-cited-egregious-misconduct" TargetMode="External"/><Relationship Id="rId197" Type="http://schemas.openxmlformats.org/officeDocument/2006/relationships/image" Target="media/image8.png"/><Relationship Id="rId201" Type="http://schemas.openxmlformats.org/officeDocument/2006/relationships/hyperlink" Target="https://www.reuters.com/business/healthcare-pharmaceuticals/us-charges-cassava-sciences-two-former-executives-misleading-claims-about-2024-09-26/" TargetMode="External"/><Relationship Id="rId222" Type="http://schemas.openxmlformats.org/officeDocument/2006/relationships/hyperlink" Target="https://www.qcmfunds.com/cassava-sciences-sava-game-over/" TargetMode="External"/><Relationship Id="rId17" Type="http://schemas.openxmlformats.org/officeDocument/2006/relationships/hyperlink" Target="https://pubmed.ncbi.nlm.nih.gov/37457922/" TargetMode="External"/><Relationship Id="rId38" Type="http://schemas.openxmlformats.org/officeDocument/2006/relationships/hyperlink" Target="https://www.ncbi.nlm.nih.gov/pmc/articles/PMC1201314" TargetMode="External"/><Relationship Id="rId59" Type="http://schemas.openxmlformats.org/officeDocument/2006/relationships/hyperlink" Target="https://en.wikipedia.org/wiki/Isothermal_titration_calorimetry" TargetMode="External"/><Relationship Id="rId103" Type="http://schemas.openxmlformats.org/officeDocument/2006/relationships/hyperlink" Target="https://www.pnas.org/doi/10.1073/pnas.1524777113" TargetMode="External"/><Relationship Id="rId124" Type="http://schemas.openxmlformats.org/officeDocument/2006/relationships/hyperlink" Target="https://molecularbrain.biomedcentral.com/articles/10.1186/s13041-024-01118-1" TargetMode="External"/><Relationship Id="rId70" Type="http://schemas.openxmlformats.org/officeDocument/2006/relationships/hyperlink" Target="https://www.proteinatlas.org/ENSG00000196924-FLNA" TargetMode="External"/><Relationship Id="rId91" Type="http://schemas.openxmlformats.org/officeDocument/2006/relationships/image" Target="media/image5.png"/><Relationship Id="rId145" Type="http://schemas.openxmlformats.org/officeDocument/2006/relationships/hyperlink" Target="https://www.bmj.com/content/346/bmj.f2304" TargetMode="External"/><Relationship Id="rId166" Type="http://schemas.openxmlformats.org/officeDocument/2006/relationships/hyperlink" Target="https://www.biologicalpsychiatryjournal.com/article/S0006-3223(24)01386-6/fulltext" TargetMode="External"/><Relationship Id="rId187" Type="http://schemas.openxmlformats.org/officeDocument/2006/relationships/hyperlink" Target="https://www.cassavasciences.com/static-files/3d49fe6e-c09c-49b2-9535-127dc768fe14" TargetMode="External"/><Relationship Id="rId1" Type="http://schemas.openxmlformats.org/officeDocument/2006/relationships/customXml" Target="../customXml/item1.xml"/><Relationship Id="rId212" Type="http://schemas.openxmlformats.org/officeDocument/2006/relationships/hyperlink" Target="https://www.science.org/do/10.1126/science.adl3444/full/cuny_wang_final_report-1698701360173.pdf" TargetMode="External"/><Relationship Id="rId233" Type="http://schemas.openxmlformats.org/officeDocument/2006/relationships/hyperlink" Target="https://reporter.nih.gov/search/3dKKO1TjS0WriRLZQIxLrA/projects" TargetMode="External"/><Relationship Id="rId28" Type="http://schemas.openxmlformats.org/officeDocument/2006/relationships/hyperlink" Target="https://hal.science/hal-01326584v1/document" TargetMode="External"/><Relationship Id="rId49" Type="http://schemas.openxmlformats.org/officeDocument/2006/relationships/hyperlink" Target="https://journals.plos.org/plosone/article?id=10.1371/journal.pone.0001554" TargetMode="External"/><Relationship Id="rId114" Type="http://schemas.openxmlformats.org/officeDocument/2006/relationships/hyperlink" Target="https://www.mdpi.com/2073-4409/13/3/237" TargetMode="External"/><Relationship Id="rId60" Type="http://schemas.openxmlformats.org/officeDocument/2006/relationships/hyperlink" Target="https://www.chem.gla.ac.uk/staff/alanc/CurrOp1999.pdf" TargetMode="External"/><Relationship Id="rId81" Type="http://schemas.openxmlformats.org/officeDocument/2006/relationships/hyperlink" Target="https://www.ncbi.nlm.nih.gov/pmc/articles/PMC9730531/" TargetMode="External"/><Relationship Id="rId135" Type="http://schemas.openxmlformats.org/officeDocument/2006/relationships/hyperlink" Target="https://www.frontiersin.org/journals/aging-neuroscience/articles/10.3389/fnagi.2019.00034/full" TargetMode="External"/><Relationship Id="rId156" Type="http://schemas.openxmlformats.org/officeDocument/2006/relationships/hyperlink" Target="https://pmc.ncbi.nlm.nih.gov/articles/PMC8940715/" TargetMode="External"/><Relationship Id="rId177" Type="http://schemas.openxmlformats.org/officeDocument/2006/relationships/hyperlink" Target="https://reporter.nih.gov/search/3dKKO1TjS0WriRLZQIxLrA/projects" TargetMode="External"/><Relationship Id="rId198" Type="http://schemas.openxmlformats.org/officeDocument/2006/relationships/hyperlink" Target="https://www.sec.gov/files/litigation/complaints/2024/comp-pr2024-151.pdf" TargetMode="External"/><Relationship Id="rId202" Type="http://schemas.openxmlformats.org/officeDocument/2006/relationships/hyperlink" Target="https://www.science.org/do/10.1126/science.adl3444/full/cuny_wang_final_report-1698701360173.pdf" TargetMode="External"/><Relationship Id="rId223" Type="http://schemas.openxmlformats.org/officeDocument/2006/relationships/hyperlink" Target="https://www.qcmfunds.com/cassava-sciences-sava-game-over/" TargetMode="External"/><Relationship Id="rId18" Type="http://schemas.openxmlformats.org/officeDocument/2006/relationships/hyperlink" Target="https://pubchem.ncbi.nlm.nih.gov/compound/Simufilam" TargetMode="External"/><Relationship Id="rId39" Type="http://schemas.openxmlformats.org/officeDocument/2006/relationships/hyperlink" Target="https://www.nature.com/articles/s41598-022-12105-8" TargetMode="External"/><Relationship Id="rId50" Type="http://schemas.openxmlformats.org/officeDocument/2006/relationships/hyperlink" Target="https://pubmed.ncbi.nlm.nih.gov/22815492/" TargetMode="External"/><Relationship Id="rId104" Type="http://schemas.openxmlformats.org/officeDocument/2006/relationships/hyperlink" Target="https://www.ncbi.nlm.nih.gov/pmc/articles/PMC6347562/" TargetMode="External"/><Relationship Id="rId125" Type="http://schemas.openxmlformats.org/officeDocument/2006/relationships/hyperlink" Target="https://www.ncbi.nlm.nih.gov/pmc/articles/PMC5748850" TargetMode="External"/><Relationship Id="rId146" Type="http://schemas.openxmlformats.org/officeDocument/2006/relationships/hyperlink" Target="https://pubmed.ncbi.nlm.nih.gov/17253876" TargetMode="External"/><Relationship Id="rId167" Type="http://schemas.openxmlformats.org/officeDocument/2006/relationships/hyperlink" Target="https://www.jneurosci.org/content/32/29/9773" TargetMode="External"/><Relationship Id="rId188" Type="http://schemas.openxmlformats.org/officeDocument/2006/relationships/hyperlink" Target="https://www.sec.gov/files/litigation/admin/2024/33-11311.pdf" TargetMode="External"/><Relationship Id="rId71" Type="http://schemas.openxmlformats.org/officeDocument/2006/relationships/hyperlink" Target="https://medlineplus.gov/genetics/gene/flna" TargetMode="External"/><Relationship Id="rId92" Type="http://schemas.openxmlformats.org/officeDocument/2006/relationships/hyperlink" Target="https://pmc.ncbi.nlm.nih.gov/articles/PMC9730531/" TargetMode="External"/><Relationship Id="rId213" Type="http://schemas.openxmlformats.org/officeDocument/2006/relationships/hyperlink" Target="https://www.qcmfunds.com/cassava-sciences-sava-game-over/" TargetMode="External"/><Relationship Id="rId234" Type="http://schemas.openxmlformats.org/officeDocument/2006/relationships/header" Target="header1.xml"/><Relationship Id="rId2" Type="http://schemas.openxmlformats.org/officeDocument/2006/relationships/numbering" Target="numbering.xml"/><Relationship Id="rId29" Type="http://schemas.openxmlformats.org/officeDocument/2006/relationships/hyperlink" Target="https://www.masterorganicchemistry.com/2017/04/18/basicity-of-amines-and-pkah/" TargetMode="External"/><Relationship Id="rId40" Type="http://schemas.openxmlformats.org/officeDocument/2006/relationships/hyperlink" Target="https://www.ncbi.nlm.nih.gov/pmc/articles/PMC5880202/" TargetMode="External"/><Relationship Id="rId115" Type="http://schemas.openxmlformats.org/officeDocument/2006/relationships/image" Target="media/image6.png"/><Relationship Id="rId136" Type="http://schemas.openxmlformats.org/officeDocument/2006/relationships/hyperlink" Target="https://pubmed.ncbi.nlm.nih.gov/34933129/" TargetMode="External"/><Relationship Id="rId157" Type="http://schemas.openxmlformats.org/officeDocument/2006/relationships/hyperlink" Target="https://www.statnews.com/2024/06/28/cassava-sciences-indictment-alzheimers-hoau-yan-wang/" TargetMode="External"/><Relationship Id="rId178" Type="http://schemas.openxmlformats.org/officeDocument/2006/relationships/hyperlink" Target="https://www.justice.gov/opa/pr/professor-charged-operating-multimillion-dollar-grant-fraud-scheme" TargetMode="External"/><Relationship Id="rId61" Type="http://schemas.openxmlformats.org/officeDocument/2006/relationships/hyperlink" Target="https://cmi.hms.harvard.edu/isothermal-titration-calorimetry" TargetMode="External"/><Relationship Id="rId82" Type="http://schemas.openxmlformats.org/officeDocument/2006/relationships/hyperlink" Target="https://pubmed.ncbi.nlm.nih.gov/21169733/" TargetMode="External"/><Relationship Id="rId199" Type="http://schemas.openxmlformats.org/officeDocument/2006/relationships/hyperlink" Target="https://clinicaltrials.gov/study/NCT04079803?term=NCT04079803&amp;rank=1&amp;tab=results" TargetMode="External"/><Relationship Id="rId203" Type="http://schemas.openxmlformats.org/officeDocument/2006/relationships/hyperlink" Target="https://www.science.org/do/10.1126/science.adl3444/full/cuny_wang_final_report-1698701360173.pdf" TargetMode="External"/><Relationship Id="rId19" Type="http://schemas.openxmlformats.org/officeDocument/2006/relationships/hyperlink" Target="https://www.alzdiscovery.org/uploads/cognitive_vitality_media/Simufilam_(PTI-125).pdf" TargetMode="External"/><Relationship Id="rId224" Type="http://schemas.openxmlformats.org/officeDocument/2006/relationships/hyperlink" Target="file:///Users/rafaeldoye/Downloads/FDA-2021-P-0930-0001_attachment_1%20(1).pdf" TargetMode="External"/><Relationship Id="rId30" Type="http://schemas.openxmlformats.org/officeDocument/2006/relationships/hyperlink" Target="https://fulir.irb.hr/4893/1/Heterocycles_Manuscript.pdf" TargetMode="External"/><Relationship Id="rId105" Type="http://schemas.openxmlformats.org/officeDocument/2006/relationships/hyperlink" Target="https://www.guidetopharmacology.org/GRAC/FamilyIntroductionForward?familyId=76" TargetMode="External"/><Relationship Id="rId126" Type="http://schemas.openxmlformats.org/officeDocument/2006/relationships/hyperlink" Target="https://molecularbrain.biomedcentral.com/articles/10.1186/s13041-024-01118-1" TargetMode="External"/><Relationship Id="rId147" Type="http://schemas.openxmlformats.org/officeDocument/2006/relationships/hyperlink" Target="https://pmc.ncbi.nlm.nih.gov/articles/PMC9198803/" TargetMode="External"/><Relationship Id="rId168" Type="http://schemas.openxmlformats.org/officeDocument/2006/relationships/hyperlink" Target="https://www.jneurosci.org/content/42/3/529" TargetMode="External"/><Relationship Id="rId51" Type="http://schemas.openxmlformats.org/officeDocument/2006/relationships/hyperlink" Target="https://journals.plos.org/plosone/article?id=10.1371/journal.pone.0001554" TargetMode="External"/><Relationship Id="rId72" Type="http://schemas.openxmlformats.org/officeDocument/2006/relationships/hyperlink" Target="https://medlineplus.gov/download/genetics/gene/flna.pdf" TargetMode="External"/><Relationship Id="rId93" Type="http://schemas.openxmlformats.org/officeDocument/2006/relationships/hyperlink" Target="https://pmc.ncbi.nlm.nih.gov/articles/PMC9730531/" TargetMode="External"/><Relationship Id="rId189" Type="http://schemas.openxmlformats.org/officeDocument/2006/relationships/hyperlink" Target="https://www.sec.gov/files/litigation/admin/2024/33-11311.pdf" TargetMode="External"/><Relationship Id="rId3" Type="http://schemas.openxmlformats.org/officeDocument/2006/relationships/styles" Target="styles.xml"/><Relationship Id="rId214" Type="http://schemas.openxmlformats.org/officeDocument/2006/relationships/hyperlink" Target="https://www.qcmfunds.com/cassava-sciences-sava-game-over/" TargetMode="External"/><Relationship Id="rId235" Type="http://schemas.openxmlformats.org/officeDocument/2006/relationships/footer" Target="footer1.xml"/><Relationship Id="rId116" Type="http://schemas.openxmlformats.org/officeDocument/2006/relationships/hyperlink" Target="https://www.mdpi.com/2073-4409/13/3/237" TargetMode="External"/><Relationship Id="rId137" Type="http://schemas.openxmlformats.org/officeDocument/2006/relationships/hyperlink" Target="https://www.stressmarq.com/tau-protein-role-alzheimers-disease/" TargetMode="External"/><Relationship Id="rId158" Type="http://schemas.openxmlformats.org/officeDocument/2006/relationships/hyperlink" Target="https://www.wsj.com/health/healthcare/cassava-sciences-adviser-indicted-on-fraud-charges-2ce67620" TargetMode="External"/><Relationship Id="rId20" Type="http://schemas.openxmlformats.org/officeDocument/2006/relationships/hyperlink" Target="https://onlinelibrary.wiley.com/doi/full/10.1111/jphp.12984" TargetMode="External"/><Relationship Id="rId41" Type="http://schemas.openxmlformats.org/officeDocument/2006/relationships/hyperlink" Target="https://www.nature.com/articles/s41392-020-00315-3" TargetMode="External"/><Relationship Id="rId62" Type="http://schemas.openxmlformats.org/officeDocument/2006/relationships/hyperlink" Target="https://www.cassavafraud.com/docs/CTAD/CTADposter_LP105A_RigorReplication_Simufilam_SF2022.pdf" TargetMode="External"/><Relationship Id="rId83" Type="http://schemas.openxmlformats.org/officeDocument/2006/relationships/hyperlink" Target="https://www.ncbi.nlm.nih.gov/pmc/articles/PMC9730531/" TargetMode="External"/><Relationship Id="rId179" Type="http://schemas.openxmlformats.org/officeDocument/2006/relationships/hyperlink" Target="https://www.justice.gov/opa/pr/professor-charged-operating-multimillion-dollar-grant-fraud-sche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99A72-8B79-7D47-8605-817156979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98</Pages>
  <Words>29709</Words>
  <Characters>169347</Characters>
  <Application>Microsoft Office Word</Application>
  <DocSecurity>0</DocSecurity>
  <Lines>1411</Lines>
  <Paragraphs>397</Paragraphs>
  <ScaleCrop>false</ScaleCrop>
  <Company/>
  <LinksUpToDate>false</LinksUpToDate>
  <CharactersWithSpaces>198659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Doye</dc:creator>
  <cp:keywords/>
  <dc:description/>
  <cp:lastModifiedBy>Rafael Doye</cp:lastModifiedBy>
  <cp:revision>2</cp:revision>
  <dcterms:created xsi:type="dcterms:W3CDTF">2024-11-03T09:23:00Z</dcterms:created>
  <dcterms:modified xsi:type="dcterms:W3CDTF">2024-11-03T09:23:00Z</dcterms:modified>
</cp:coreProperties>
</file>