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83002" w:rsidRDefault="00A83002">
      <w:pPr>
        <w:spacing w:before="1200" w:after="240"/>
        <w:jc w:val="center"/>
        <w:rPr>
          <w:b/>
          <w:bCs/>
          <w:color w:val="1F4E79"/>
          <w:sz w:val="52"/>
          <w:szCs w:val="52"/>
        </w:rPr>
      </w:pPr>
      <w:r>
        <w:rPr>
          <w:b/>
          <w:bCs/>
          <w:color w:val="1F4E79"/>
          <w:sz w:val="52"/>
          <w:szCs w:val="52"/>
        </w:rPr>
        <w:t>RAFAEL ESTRADA POWER BI ANALYSIS</w:t>
      </w:r>
    </w:p>
    <w:p w:rsidR="00A83002" w:rsidRDefault="00A83002">
      <w:pPr>
        <w:spacing w:before="1200" w:after="240"/>
        <w:jc w:val="center"/>
        <w:rPr>
          <w:b/>
          <w:bCs/>
          <w:color w:val="1F4E79"/>
          <w:sz w:val="52"/>
          <w:szCs w:val="52"/>
        </w:rPr>
      </w:pPr>
    </w:p>
    <w:p w:rsidR="0084370A" w:rsidRDefault="00A83002">
      <w:pPr>
        <w:spacing w:before="1200" w:after="240"/>
        <w:jc w:val="center"/>
      </w:pPr>
      <w:r>
        <w:rPr>
          <w:b/>
          <w:bCs/>
          <w:color w:val="1F4E79"/>
          <w:sz w:val="52"/>
          <w:szCs w:val="52"/>
        </w:rPr>
        <w:t>ECOMMERCE</w:t>
      </w:r>
      <w:r w:rsidR="00000000">
        <w:rPr>
          <w:b/>
          <w:bCs/>
          <w:color w:val="1F4E79"/>
          <w:sz w:val="52"/>
          <w:szCs w:val="52"/>
        </w:rPr>
        <w:t xml:space="preserve"> Customer &amp; Sales Analytics</w:t>
      </w:r>
    </w:p>
    <w:p w:rsidR="0084370A" w:rsidRDefault="00000000">
      <w:pPr>
        <w:spacing w:after="160"/>
        <w:jc w:val="center"/>
      </w:pPr>
      <w:r>
        <w:rPr>
          <w:color w:val="2E75B6"/>
          <w:sz w:val="36"/>
          <w:szCs w:val="36"/>
        </w:rPr>
        <w:t>Full Analysis Report</w:t>
      </w:r>
    </w:p>
    <w:p w:rsidR="0084370A" w:rsidRDefault="00000000">
      <w:pPr>
        <w:spacing w:after="80"/>
        <w:jc w:val="center"/>
      </w:pPr>
      <w:r>
        <w:rPr>
          <w:i/>
          <w:iCs/>
          <w:color w:val="555555"/>
          <w:sz w:val="24"/>
          <w:szCs w:val="24"/>
        </w:rPr>
        <w:t>Based on Power BI Dashboard Visualizations</w:t>
      </w:r>
    </w:p>
    <w:p w:rsidR="0084370A" w:rsidRDefault="00000000">
      <w:pPr>
        <w:spacing w:after="800"/>
        <w:jc w:val="center"/>
      </w:pPr>
      <w:r>
        <w:rPr>
          <w:color w:val="555555"/>
        </w:rPr>
        <w:t xml:space="preserve">Dataset: 3,035 </w:t>
      </w:r>
      <w:proofErr w:type="gramStart"/>
      <w:r>
        <w:rPr>
          <w:color w:val="555555"/>
        </w:rPr>
        <w:t>Records  |</w:t>
      </w:r>
      <w:proofErr w:type="gramEnd"/>
      <w:r>
        <w:rPr>
          <w:color w:val="555555"/>
        </w:rPr>
        <w:t xml:space="preserve">  1,000 </w:t>
      </w:r>
      <w:proofErr w:type="gramStart"/>
      <w:r>
        <w:rPr>
          <w:color w:val="555555"/>
        </w:rPr>
        <w:t>Customers  |</w:t>
      </w:r>
      <w:proofErr w:type="gramEnd"/>
      <w:r>
        <w:rPr>
          <w:color w:val="555555"/>
        </w:rPr>
        <w:t xml:space="preserve">  2022–2025</w:t>
      </w:r>
    </w:p>
    <w:p w:rsidR="0084370A" w:rsidRDefault="0084370A">
      <w:pPr>
        <w:spacing w:before="100" w:after="10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4370A">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160" w:type="dxa"/>
              <w:left w:w="160" w:type="dxa"/>
              <w:bottom w:w="160" w:type="dxa"/>
              <w:right w:w="160" w:type="dxa"/>
            </w:tcMar>
          </w:tcPr>
          <w:p w:rsidR="0084370A" w:rsidRDefault="00000000">
            <w:pPr>
              <w:jc w:val="center"/>
            </w:pPr>
            <w:r>
              <w:rPr>
                <w:b/>
                <w:bCs/>
                <w:color w:val="FFFFFF"/>
                <w:sz w:val="36"/>
                <w:szCs w:val="36"/>
              </w:rPr>
              <w:t>$1,304,422</w:t>
            </w:r>
          </w:p>
          <w:p w:rsidR="0084370A" w:rsidRDefault="00000000">
            <w:pPr>
              <w:jc w:val="center"/>
            </w:pPr>
            <w:r>
              <w:rPr>
                <w:color w:val="D6E4F0"/>
                <w:sz w:val="18"/>
                <w:szCs w:val="18"/>
              </w:rPr>
              <w:t>Total Revenue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160" w:type="dxa"/>
              <w:left w:w="160" w:type="dxa"/>
              <w:bottom w:w="160" w:type="dxa"/>
              <w:right w:w="160" w:type="dxa"/>
            </w:tcMar>
          </w:tcPr>
          <w:p w:rsidR="0084370A" w:rsidRDefault="00000000">
            <w:pPr>
              <w:jc w:val="center"/>
            </w:pPr>
            <w:r>
              <w:rPr>
                <w:b/>
                <w:bCs/>
                <w:color w:val="FFFFFF"/>
                <w:sz w:val="36"/>
                <w:szCs w:val="36"/>
              </w:rPr>
              <w:t>3,035</w:t>
            </w:r>
          </w:p>
          <w:p w:rsidR="0084370A" w:rsidRDefault="00000000">
            <w:pPr>
              <w:jc w:val="center"/>
            </w:pPr>
            <w:r>
              <w:rPr>
                <w:color w:val="D6E4F0"/>
                <w:sz w:val="18"/>
                <w:szCs w:val="18"/>
              </w:rPr>
              <w:t>Total Orders</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160" w:type="dxa"/>
              <w:left w:w="160" w:type="dxa"/>
              <w:bottom w:w="160" w:type="dxa"/>
              <w:right w:w="160" w:type="dxa"/>
            </w:tcMar>
          </w:tcPr>
          <w:p w:rsidR="0084370A" w:rsidRDefault="00000000">
            <w:pPr>
              <w:jc w:val="center"/>
            </w:pPr>
            <w:r>
              <w:rPr>
                <w:b/>
                <w:bCs/>
                <w:color w:val="FFFFFF"/>
                <w:sz w:val="36"/>
                <w:szCs w:val="36"/>
              </w:rPr>
              <w:t>1,000</w:t>
            </w:r>
          </w:p>
          <w:p w:rsidR="0084370A" w:rsidRDefault="00000000">
            <w:pPr>
              <w:jc w:val="center"/>
            </w:pPr>
            <w:r>
              <w:rPr>
                <w:color w:val="D6E4F0"/>
                <w:sz w:val="18"/>
                <w:szCs w:val="18"/>
              </w:rPr>
              <w:t>Unique Customers</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160" w:type="dxa"/>
              <w:left w:w="160" w:type="dxa"/>
              <w:bottom w:w="160" w:type="dxa"/>
              <w:right w:w="160" w:type="dxa"/>
            </w:tcMar>
          </w:tcPr>
          <w:p w:rsidR="0084370A" w:rsidRDefault="00000000">
            <w:pPr>
              <w:jc w:val="center"/>
            </w:pPr>
            <w:r>
              <w:rPr>
                <w:b/>
                <w:bCs/>
                <w:color w:val="FFFFFF"/>
                <w:sz w:val="36"/>
                <w:szCs w:val="36"/>
              </w:rPr>
              <w:t>$429.79</w:t>
            </w:r>
          </w:p>
          <w:p w:rsidR="0084370A" w:rsidRDefault="00000000">
            <w:pPr>
              <w:jc w:val="center"/>
            </w:pPr>
            <w:r>
              <w:rPr>
                <w:color w:val="D6E4F0"/>
                <w:sz w:val="18"/>
                <w:szCs w:val="18"/>
              </w:rPr>
              <w:t>Avg Order Value</w:t>
            </w:r>
          </w:p>
        </w:tc>
      </w:tr>
    </w:tbl>
    <w:p w:rsidR="0084370A" w:rsidRDefault="0084370A">
      <w:pPr>
        <w:spacing w:before="100" w:after="100"/>
      </w:pPr>
    </w:p>
    <w:p w:rsidR="0084370A" w:rsidRDefault="00000000">
      <w:pPr>
        <w:spacing w:before="600"/>
        <w:jc w:val="center"/>
      </w:pPr>
      <w:r>
        <w:rPr>
          <w:color w:val="555555"/>
          <w:sz w:val="20"/>
          <w:szCs w:val="20"/>
        </w:rPr>
        <w:t>February 2026</w:t>
      </w:r>
    </w:p>
    <w:p w:rsidR="0084370A" w:rsidRDefault="00000000">
      <w:r>
        <w:br w:type="page"/>
      </w:r>
    </w:p>
    <w:p w:rsidR="0084370A" w:rsidRDefault="00000000">
      <w:pPr>
        <w:pStyle w:val="Heading1"/>
        <w:pBdr>
          <w:bottom w:val="single" w:sz="8" w:space="1" w:color="2E75B6"/>
        </w:pBdr>
      </w:pPr>
      <w:r>
        <w:t>Executive Summary</w:t>
      </w:r>
    </w:p>
    <w:p w:rsidR="0084370A" w:rsidRDefault="00000000">
      <w:pPr>
        <w:spacing w:before="80" w:after="100"/>
      </w:pPr>
      <w:r>
        <w:rPr>
          <w:color w:val="222222"/>
        </w:rPr>
        <w:t xml:space="preserve">This report presents a comprehensive analysis of SBA customer and sales data covering the period from mid-2022 through mid-2025. The dataset contains 3,035 order records from 1,000 unique customers spanning multiple countries and regions worldwide. The analysis draws on six core Power BI visualizations: KPI cards, a top </w:t>
      </w:r>
      <w:proofErr w:type="gramStart"/>
      <w:r>
        <w:rPr>
          <w:color w:val="222222"/>
        </w:rPr>
        <w:t>customers</w:t>
      </w:r>
      <w:proofErr w:type="gramEnd"/>
      <w:r>
        <w:rPr>
          <w:color w:val="222222"/>
        </w:rPr>
        <w:t xml:space="preserve"> bar chart, geographic distribution charts, a regional pie chart, monthly trend lines, and year-over-year comparisons.</w:t>
      </w:r>
    </w:p>
    <w:p w:rsidR="0084370A" w:rsidRDefault="0084370A">
      <w:pPr>
        <w:spacing w:before="100" w:after="100"/>
      </w:pPr>
    </w:p>
    <w:p w:rsidR="0084370A" w:rsidRDefault="00000000">
      <w:pPr>
        <w:spacing w:before="80" w:after="100"/>
      </w:pPr>
      <w:r>
        <w:rPr>
          <w:color w:val="222222"/>
        </w:rPr>
        <w:t>The business demonstrates strong and consistent revenue performance, generating a total of $1,304,422.50 over the observed period. Key findings reveal a highly diversified global customer base, remarkably balanced payment method adoption, and a stable year-over-year growth trajectory that peaked in 2024.</w:t>
      </w:r>
    </w:p>
    <w:p w:rsidR="0084370A" w:rsidRDefault="0084370A">
      <w:pPr>
        <w:spacing w:before="100" w:after="100"/>
      </w:pPr>
    </w:p>
    <w:p w:rsidR="0084370A" w:rsidRDefault="00000000">
      <w:pPr>
        <w:pBdr>
          <w:left w:val="single" w:sz="12" w:space="0" w:color="2E75B6"/>
        </w:pBdr>
        <w:shd w:val="clear" w:color="auto" w:fill="EAF4FB"/>
        <w:spacing w:before="120" w:after="120"/>
        <w:ind w:left="360"/>
      </w:pPr>
      <w:r>
        <w:rPr>
          <w:b/>
          <w:bCs/>
          <w:color w:val="2E75B6"/>
        </w:rPr>
        <w:t xml:space="preserve">Key Insight: </w:t>
      </w:r>
      <w:r>
        <w:rPr>
          <w:color w:val="222222"/>
        </w:rPr>
        <w:t>The business generated over $1.3M in revenue from just 1,000 customers, averaging $1,304 in lifetime revenue per customer — a strong indicator of repeat purchasing behavior.</w:t>
      </w:r>
    </w:p>
    <w:p w:rsidR="0084370A" w:rsidRDefault="0084370A">
      <w:pPr>
        <w:spacing w:before="100" w:after="100"/>
      </w:pPr>
    </w:p>
    <w:p w:rsidR="0084370A" w:rsidRDefault="00000000">
      <w:r>
        <w:br w:type="page"/>
      </w:r>
    </w:p>
    <w:p w:rsidR="0084370A" w:rsidRDefault="00000000">
      <w:pPr>
        <w:pStyle w:val="Heading1"/>
        <w:pBdr>
          <w:bottom w:val="single" w:sz="8" w:space="1" w:color="2E75B6"/>
        </w:pBdr>
      </w:pPr>
      <w:r>
        <w:t>Section 1: KPI Cards Analysis</w:t>
      </w:r>
    </w:p>
    <w:p w:rsidR="0084370A" w:rsidRDefault="00000000">
      <w:pPr>
        <w:spacing w:before="80" w:after="100"/>
      </w:pPr>
      <w:r>
        <w:rPr>
          <w:color w:val="222222"/>
        </w:rPr>
        <w:t>The four KPI cards on the Executive Summary page provide an at-a-glance snapshot of overall business health. Together, they tell a clear and positive story about the scale and efficiency of the operation.</w:t>
      </w:r>
    </w:p>
    <w:p w:rsidR="0084370A" w:rsidRDefault="0084370A">
      <w:pPr>
        <w:spacing w:before="100" w:after="10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560"/>
      </w:tblGrid>
      <w:tr w:rsidR="0084370A">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4370A" w:rsidRDefault="00000000">
            <w:r>
              <w:rPr>
                <w:b/>
                <w:bCs/>
                <w:color w:val="FFFFFF"/>
                <w:sz w:val="20"/>
                <w:szCs w:val="20"/>
              </w:rPr>
              <w:t>KPI Metric</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4370A" w:rsidRDefault="00000000">
            <w:r>
              <w:rPr>
                <w:b/>
                <w:bCs/>
                <w:color w:val="FFFFFF"/>
                <w:sz w:val="20"/>
                <w:szCs w:val="20"/>
              </w:rPr>
              <w:t>Value</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4370A" w:rsidRDefault="00000000">
            <w:r>
              <w:rPr>
                <w:b/>
                <w:bCs/>
                <w:color w:val="FFFFFF"/>
                <w:sz w:val="20"/>
                <w:szCs w:val="20"/>
              </w:rPr>
              <w:t>What It Means</w:t>
            </w:r>
          </w:p>
        </w:tc>
      </w:tr>
      <w:tr w:rsidR="0084370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Total Revenue</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$1,304,422.50</w:t>
            </w:r>
          </w:p>
        </w:tc>
        <w:tc>
          <w:tcPr>
            <w:tcW w:w="4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All revenue earned across the full period</w:t>
            </w:r>
          </w:p>
        </w:tc>
      </w:tr>
      <w:tr w:rsidR="0084370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Total Orders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3,035</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Number of individual transactions processed</w:t>
            </w:r>
          </w:p>
        </w:tc>
      </w:tr>
      <w:tr w:rsidR="0084370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Unique Customers</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1,000</w:t>
            </w:r>
          </w:p>
        </w:tc>
        <w:tc>
          <w:tcPr>
            <w:tcW w:w="4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Distinct individuals who placed at least one order</w:t>
            </w:r>
          </w:p>
        </w:tc>
      </w:tr>
      <w:tr w:rsidR="0084370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Average Order Value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$429.79</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Typical spend per transaction</w:t>
            </w:r>
          </w:p>
        </w:tc>
      </w:tr>
    </w:tbl>
    <w:p w:rsidR="0084370A" w:rsidRDefault="0084370A">
      <w:pPr>
        <w:spacing w:before="100" w:after="100"/>
      </w:pPr>
    </w:p>
    <w:p w:rsidR="0084370A" w:rsidRDefault="00000000">
      <w:pPr>
        <w:pStyle w:val="Heading2"/>
      </w:pPr>
      <w:r>
        <w:t>Interpretation</w:t>
      </w:r>
    </w:p>
    <w:p w:rsidR="0084370A" w:rsidRDefault="00000000">
      <w:pPr>
        <w:spacing w:before="80" w:after="100"/>
      </w:pPr>
      <w:r>
        <w:rPr>
          <w:color w:val="222222"/>
        </w:rPr>
        <w:t>The average order value of $429.79 is notably high, suggesting customers are purchasing premium products or placing large multi-item orders. This is further supported by the order distribution data, which shows that 61.6% of all orders exceed $300 in value. Only 11.1% of orders fall below $100, confirming that low-value transactions are not a significant portion of the business.</w:t>
      </w:r>
    </w:p>
    <w:p w:rsidR="0084370A" w:rsidRDefault="0084370A">
      <w:pPr>
        <w:spacing w:before="100" w:after="100"/>
      </w:pPr>
    </w:p>
    <w:p w:rsidR="0084370A" w:rsidRDefault="00000000">
      <w:pPr>
        <w:spacing w:before="80" w:after="100"/>
      </w:pPr>
      <w:r>
        <w:rPr>
          <w:color w:val="222222"/>
        </w:rPr>
        <w:t>With 3,035 orders from 1,000 customers, the average customer places approximately 3 orders over their lifetime in this dataset. This indicates meaningful repeat purchase behavior and suggests a degree of customer loyalty that is worth cultivating through retention strategies.</w:t>
      </w:r>
    </w:p>
    <w:p w:rsidR="0084370A" w:rsidRDefault="0084370A">
      <w:pPr>
        <w:spacing w:before="100" w:after="100"/>
      </w:pPr>
    </w:p>
    <w:p w:rsidR="0084370A" w:rsidRDefault="00000000">
      <w:pPr>
        <w:pBdr>
          <w:left w:val="single" w:sz="12" w:space="0" w:color="2E75B6"/>
        </w:pBdr>
        <w:shd w:val="clear" w:color="auto" w:fill="EAF4FB"/>
        <w:spacing w:before="120" w:after="120"/>
        <w:ind w:left="360"/>
      </w:pPr>
      <w:r>
        <w:rPr>
          <w:b/>
          <w:bCs/>
          <w:color w:val="2E75B6"/>
        </w:rPr>
        <w:t xml:space="preserve">Key Insight: </w:t>
      </w:r>
      <w:r>
        <w:rPr>
          <w:color w:val="222222"/>
        </w:rPr>
        <w:t>61.6% of all orders are above $300, and just 11.1% fall below $100. This high-value order skew significantly lifts the average order value and reflects a premium customer profile.</w:t>
      </w:r>
    </w:p>
    <w:p w:rsidR="0084370A" w:rsidRDefault="0084370A">
      <w:pPr>
        <w:spacing w:before="100" w:after="100"/>
      </w:pPr>
    </w:p>
    <w:p w:rsidR="0084370A" w:rsidRDefault="00000000">
      <w:r>
        <w:br w:type="page"/>
      </w:r>
    </w:p>
    <w:p w:rsidR="0084370A" w:rsidRDefault="00000000">
      <w:pPr>
        <w:pStyle w:val="Heading1"/>
        <w:pBdr>
          <w:bottom w:val="single" w:sz="8" w:space="1" w:color="2E75B6"/>
        </w:pBdr>
      </w:pPr>
      <w:r>
        <w:t>Section 2: Top 10 Most Engaged Customers</w:t>
      </w:r>
    </w:p>
    <w:p w:rsidR="0084370A" w:rsidRDefault="00000000">
      <w:pPr>
        <w:spacing w:before="80" w:after="100"/>
      </w:pPr>
      <w:r>
        <w:rPr>
          <w:color w:val="222222"/>
        </w:rPr>
        <w:t>The clustered bar chart showing the Top 10 Most Engaged Customers ranks individuals by total number of orders placed. This visualization identifies the business's most loyal and active buyers.</w:t>
      </w:r>
    </w:p>
    <w:p w:rsidR="0084370A" w:rsidRDefault="0084370A">
      <w:pPr>
        <w:spacing w:before="100" w:after="10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800"/>
        <w:gridCol w:w="1800"/>
        <w:gridCol w:w="3960"/>
      </w:tblGrid>
      <w:tr w:rsidR="0084370A">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4370A" w:rsidRDefault="00000000">
            <w:r>
              <w:rPr>
                <w:b/>
                <w:bCs/>
                <w:color w:val="FFFFFF"/>
                <w:sz w:val="20"/>
                <w:szCs w:val="20"/>
              </w:rPr>
              <w:t>Rank</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4370A" w:rsidRDefault="00000000">
            <w:r>
              <w:rPr>
                <w:b/>
                <w:bCs/>
                <w:color w:val="FFFFFF"/>
                <w:sz w:val="20"/>
                <w:szCs w:val="20"/>
              </w:rPr>
              <w:t>Customer Name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4370A" w:rsidRDefault="00000000">
            <w:r>
              <w:rPr>
                <w:b/>
                <w:bCs/>
                <w:color w:val="FFFFFF"/>
                <w:sz w:val="20"/>
                <w:szCs w:val="20"/>
              </w:rPr>
              <w:t>Total Orders</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4370A" w:rsidRDefault="00000000">
            <w:r>
              <w:rPr>
                <w:b/>
                <w:bCs/>
                <w:color w:val="FFFFFF"/>
                <w:sz w:val="20"/>
                <w:szCs w:val="20"/>
              </w:rPr>
              <w:t>Engagement Level</w:t>
            </w:r>
          </w:p>
        </w:tc>
      </w:tr>
      <w:tr w:rsidR="0084370A">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Jonathan Lewis</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11</w:t>
            </w:r>
          </w:p>
        </w:tc>
        <w:tc>
          <w:tcPr>
            <w:tcW w:w="39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Exceptional — nearly 4x the average</w:t>
            </w:r>
          </w:p>
        </w:tc>
      </w:tr>
      <w:tr w:rsidR="0084370A">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Charles Smith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8</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Very High</w:t>
            </w:r>
          </w:p>
        </w:tc>
      </w:tr>
      <w:tr w:rsidR="0084370A">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Justin Pham</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7</w:t>
            </w:r>
          </w:p>
        </w:tc>
        <w:tc>
          <w:tcPr>
            <w:tcW w:w="39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Very High</w:t>
            </w:r>
          </w:p>
        </w:tc>
      </w:tr>
      <w:tr w:rsidR="0084370A">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Marissa Burgess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5</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Above Average</w:t>
            </w:r>
          </w:p>
        </w:tc>
      </w:tr>
      <w:tr w:rsidR="0084370A">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5–10</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Multiple customers</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4 each</w:t>
            </w:r>
          </w:p>
        </w:tc>
        <w:tc>
          <w:tcPr>
            <w:tcW w:w="39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Above Average</w:t>
            </w:r>
          </w:p>
        </w:tc>
      </w:tr>
    </w:tbl>
    <w:p w:rsidR="0084370A" w:rsidRDefault="0084370A">
      <w:pPr>
        <w:spacing w:before="100" w:after="100"/>
      </w:pPr>
    </w:p>
    <w:p w:rsidR="0084370A" w:rsidRDefault="00000000">
      <w:pPr>
        <w:pStyle w:val="Heading2"/>
      </w:pPr>
      <w:r>
        <w:t>Interpretation</w:t>
      </w:r>
    </w:p>
    <w:p w:rsidR="0084370A" w:rsidRDefault="00000000">
      <w:pPr>
        <w:spacing w:before="80" w:after="100"/>
      </w:pPr>
      <w:r>
        <w:rPr>
          <w:color w:val="222222"/>
        </w:rPr>
        <w:t>Jonathan Lewis stands out as the single most engaged customer with 11 orders, which is more than 3.6 times the dataset average of 3 orders per customer. This level of activity suggests either a high-frequency personal buyer or a small business reseller making regular purchases.</w:t>
      </w:r>
    </w:p>
    <w:p w:rsidR="0084370A" w:rsidRDefault="0084370A">
      <w:pPr>
        <w:spacing w:before="100" w:after="100"/>
      </w:pPr>
    </w:p>
    <w:p w:rsidR="0084370A" w:rsidRDefault="00000000">
      <w:pPr>
        <w:spacing w:before="80" w:after="100"/>
      </w:pPr>
      <w:r>
        <w:rPr>
          <w:color w:val="222222"/>
        </w:rPr>
        <w:t>The top 10 customers collectively place between 4 and 11 orders each, compared to the majority of customers who place only 1 to 3 orders. This concentration of orders among a small group is a classic Pareto pattern — a small percentage of customers driving a disproportionate share of transaction volume.</w:t>
      </w:r>
    </w:p>
    <w:p w:rsidR="0084370A" w:rsidRDefault="0084370A">
      <w:pPr>
        <w:spacing w:before="100" w:after="100"/>
      </w:pPr>
    </w:p>
    <w:p w:rsidR="0084370A" w:rsidRDefault="00000000">
      <w:pPr>
        <w:pBdr>
          <w:left w:val="single" w:sz="12" w:space="0" w:color="E67E22"/>
        </w:pBdr>
        <w:shd w:val="clear" w:color="auto" w:fill="FEF9E7"/>
        <w:spacing w:before="120" w:after="120"/>
        <w:ind w:left="360"/>
      </w:pPr>
      <w:r>
        <w:rPr>
          <w:b/>
          <w:bCs/>
          <w:color w:val="E67E22"/>
        </w:rPr>
        <w:t xml:space="preserve">Watch: </w:t>
      </w:r>
      <w:r>
        <w:rPr>
          <w:color w:val="222222"/>
        </w:rPr>
        <w:t>The top 10 customers represent only 1% of the customer base but account for a significant share of order volume. If these customers churn, it could meaningfully impact revenue. A loyalty or retention program targeting this group is strongly recommended.</w:t>
      </w:r>
    </w:p>
    <w:p w:rsidR="0084370A" w:rsidRDefault="0084370A">
      <w:pPr>
        <w:spacing w:before="100" w:after="100"/>
      </w:pPr>
    </w:p>
    <w:p w:rsidR="0084370A" w:rsidRDefault="00000000">
      <w:pPr>
        <w:pBdr>
          <w:left w:val="single" w:sz="12" w:space="0" w:color="2E75B6"/>
        </w:pBdr>
        <w:shd w:val="clear" w:color="auto" w:fill="EAF4FB"/>
        <w:spacing w:before="120" w:after="120"/>
        <w:ind w:left="360"/>
      </w:pPr>
      <w:r>
        <w:rPr>
          <w:b/>
          <w:bCs/>
          <w:color w:val="2E75B6"/>
        </w:rPr>
        <w:t xml:space="preserve">Key Insight: </w:t>
      </w:r>
      <w:r>
        <w:rPr>
          <w:color w:val="222222"/>
        </w:rPr>
        <w:t>Jonathan Lewis alone places 11 orders — nearly 4 times the customer average. The Top 10 customers are prime candidates for a VIP loyalty program.</w:t>
      </w:r>
    </w:p>
    <w:p w:rsidR="0084370A" w:rsidRDefault="0084370A">
      <w:pPr>
        <w:spacing w:before="100" w:after="100"/>
      </w:pPr>
    </w:p>
    <w:p w:rsidR="0084370A" w:rsidRDefault="00000000">
      <w:r>
        <w:br w:type="page"/>
      </w:r>
    </w:p>
    <w:p w:rsidR="0084370A" w:rsidRDefault="00000000">
      <w:pPr>
        <w:pStyle w:val="Heading1"/>
        <w:pBdr>
          <w:bottom w:val="single" w:sz="8" w:space="1" w:color="2E75B6"/>
        </w:pBdr>
      </w:pPr>
      <w:r>
        <w:t>Section 3: Geographic Customer Distribution</w:t>
      </w:r>
    </w:p>
    <w:p w:rsidR="0084370A" w:rsidRDefault="00000000">
      <w:pPr>
        <w:pStyle w:val="Heading2"/>
      </w:pPr>
      <w:r>
        <w:t>3a. Top 15 Locations by Customer Count</w:t>
      </w:r>
    </w:p>
    <w:p w:rsidR="0084370A" w:rsidRDefault="00000000">
      <w:pPr>
        <w:spacing w:before="80" w:after="100"/>
      </w:pPr>
      <w:r>
        <w:rPr>
          <w:color w:val="222222"/>
        </w:rPr>
        <w:t>The clustered column chart showing customer distribution by location reveals that the business serves a genuinely global audience, with no single country commanding a dominant share. Korea leads with 12 unique customers, followed closely by Bhutan and Rwanda with 10 and 9 respectively.</w:t>
      </w:r>
    </w:p>
    <w:p w:rsidR="0084370A" w:rsidRDefault="0084370A">
      <w:pPr>
        <w:spacing w:before="100" w:after="10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800"/>
        <w:gridCol w:w="1600"/>
        <w:gridCol w:w="3160"/>
      </w:tblGrid>
      <w:tr w:rsidR="0084370A">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4370A" w:rsidRDefault="00000000">
            <w:r>
              <w:rPr>
                <w:b/>
                <w:bCs/>
                <w:color w:val="FFFFFF"/>
                <w:sz w:val="20"/>
                <w:szCs w:val="20"/>
              </w:rPr>
              <w:t>Rank</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4370A" w:rsidRDefault="00000000">
            <w:r>
              <w:rPr>
                <w:b/>
                <w:bCs/>
                <w:color w:val="FFFFFF"/>
                <w:sz w:val="20"/>
                <w:szCs w:val="20"/>
              </w:rPr>
              <w:t>Location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4370A" w:rsidRDefault="00000000">
            <w:r>
              <w:rPr>
                <w:b/>
                <w:bCs/>
                <w:color w:val="FFFFFF"/>
                <w:sz w:val="20"/>
                <w:szCs w:val="20"/>
              </w:rPr>
              <w:t>Customers</w:t>
            </w:r>
          </w:p>
        </w:tc>
        <w:tc>
          <w:tcPr>
            <w:tcW w:w="3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4370A" w:rsidRDefault="00000000">
            <w:r>
              <w:rPr>
                <w:b/>
                <w:bCs/>
                <w:color w:val="FFFFFF"/>
                <w:sz w:val="20"/>
                <w:szCs w:val="20"/>
              </w:rPr>
              <w:t>Revenue</w:t>
            </w:r>
          </w:p>
        </w:tc>
      </w:tr>
      <w:tr w:rsidR="0084370A">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1</w:t>
            </w:r>
          </w:p>
        </w:tc>
        <w:tc>
          <w:tcPr>
            <w:tcW w:w="3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Korea</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12</w:t>
            </w:r>
          </w:p>
        </w:tc>
        <w:tc>
          <w:tcPr>
            <w:tcW w:w="31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$16,805</w:t>
            </w:r>
          </w:p>
        </w:tc>
      </w:tr>
      <w:tr w:rsidR="0084370A">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2</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Bhutan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10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w:t>
            </w:r>
          </w:p>
        </w:tc>
      </w:tr>
      <w:tr w:rsidR="0084370A">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3</w:t>
            </w:r>
          </w:p>
        </w:tc>
        <w:tc>
          <w:tcPr>
            <w:tcW w:w="3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Rwanda</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9</w:t>
            </w:r>
          </w:p>
        </w:tc>
        <w:tc>
          <w:tcPr>
            <w:tcW w:w="31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$13,562</w:t>
            </w:r>
          </w:p>
        </w:tc>
      </w:tr>
      <w:tr w:rsidR="0084370A">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4</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Congo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9</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$14,001</w:t>
            </w:r>
          </w:p>
        </w:tc>
      </w:tr>
      <w:tr w:rsidR="0084370A">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5</w:t>
            </w:r>
          </w:p>
        </w:tc>
        <w:tc>
          <w:tcPr>
            <w:tcW w:w="3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Saint Barthelemy</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9</w:t>
            </w:r>
          </w:p>
        </w:tc>
        <w:tc>
          <w:tcPr>
            <w:tcW w:w="31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w:t>
            </w:r>
          </w:p>
        </w:tc>
      </w:tr>
      <w:tr w:rsidR="0084370A">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6–15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Jordan, Bulgaria, Benin, Mali, Portugal, Venezuela, Papua New Guinea, Croatia, Australia, Bangladesh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7–8 each</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w:t>
            </w:r>
          </w:p>
        </w:tc>
      </w:tr>
    </w:tbl>
    <w:p w:rsidR="0084370A" w:rsidRDefault="0084370A">
      <w:pPr>
        <w:spacing w:before="100" w:after="100"/>
      </w:pPr>
    </w:p>
    <w:p w:rsidR="0084370A" w:rsidRDefault="00000000">
      <w:pPr>
        <w:spacing w:before="80" w:after="100"/>
      </w:pPr>
      <w:r>
        <w:rPr>
          <w:color w:val="222222"/>
        </w:rPr>
        <w:t>Notably, Tuvalu — a tiny Pacific island nation — generates the highest total revenue of any single country at $23,108, despite not appearing in the Top 15 by customer count. This suggests Tuvalu has fewer but higher-spending customers, making it a high-value market despite its small size.</w:t>
      </w:r>
    </w:p>
    <w:p w:rsidR="0084370A" w:rsidRDefault="0084370A">
      <w:pPr>
        <w:spacing w:before="100" w:after="100"/>
      </w:pPr>
    </w:p>
    <w:p w:rsidR="0084370A" w:rsidRDefault="00000000">
      <w:pPr>
        <w:pBdr>
          <w:left w:val="single" w:sz="12" w:space="0" w:color="2E75B6"/>
        </w:pBdr>
        <w:shd w:val="clear" w:color="auto" w:fill="EAF4FB"/>
        <w:spacing w:before="120" w:after="120"/>
        <w:ind w:left="360"/>
      </w:pPr>
      <w:r>
        <w:rPr>
          <w:b/>
          <w:bCs/>
          <w:color w:val="2E75B6"/>
        </w:rPr>
        <w:t xml:space="preserve">Key Insight: </w:t>
      </w:r>
      <w:r>
        <w:rPr>
          <w:color w:val="222222"/>
        </w:rPr>
        <w:t>Tuvalu generates the most revenue ($23,108) of any country but does not rank in the top 15 by customer count. This means Tuvalu customers spend significantly more per order than the average — a high-value niche market worth targeting.</w:t>
      </w:r>
    </w:p>
    <w:p w:rsidR="0084370A" w:rsidRDefault="0084370A">
      <w:pPr>
        <w:spacing w:before="100" w:after="100"/>
      </w:pPr>
    </w:p>
    <w:p w:rsidR="0084370A" w:rsidRDefault="00000000">
      <w:pPr>
        <w:pStyle w:val="Heading2"/>
      </w:pPr>
      <w:r>
        <w:t>3b. Regional Pie Chart</w:t>
      </w:r>
    </w:p>
    <w:p w:rsidR="0084370A" w:rsidRDefault="00000000">
      <w:pPr>
        <w:spacing w:before="80" w:after="100"/>
      </w:pPr>
      <w:r>
        <w:rPr>
          <w:color w:val="222222"/>
        </w:rPr>
        <w:t>The pie chart breaks down customers by broad geographic region. The distribution reveals a critical finding about data quality and classification:</w:t>
      </w:r>
    </w:p>
    <w:p w:rsidR="0084370A" w:rsidRDefault="0084370A">
      <w:pPr>
        <w:spacing w:before="100" w:after="10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1800"/>
        <w:gridCol w:w="3560"/>
      </w:tblGrid>
      <w:tr w:rsidR="0084370A">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4370A" w:rsidRDefault="00000000">
            <w:r>
              <w:rPr>
                <w:b/>
                <w:bCs/>
                <w:color w:val="FFFFFF"/>
                <w:sz w:val="20"/>
                <w:szCs w:val="20"/>
              </w:rPr>
              <w:t>Region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4370A" w:rsidRDefault="00000000">
            <w:r>
              <w:rPr>
                <w:b/>
                <w:bCs/>
                <w:color w:val="FFFFFF"/>
                <w:sz w:val="20"/>
                <w:szCs w:val="20"/>
              </w:rPr>
              <w:t>Customers</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4370A" w:rsidRDefault="00000000">
            <w:r>
              <w:rPr>
                <w:b/>
                <w:bCs/>
                <w:color w:val="FFFFFF"/>
                <w:sz w:val="20"/>
                <w:szCs w:val="20"/>
              </w:rPr>
              <w:t>Percentage</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4370A" w:rsidRDefault="00000000">
            <w:r>
              <w:rPr>
                <w:b/>
                <w:bCs/>
                <w:color w:val="FFFFFF"/>
                <w:sz w:val="20"/>
                <w:szCs w:val="20"/>
              </w:rPr>
              <w:t>Revenue</w:t>
            </w:r>
          </w:p>
        </w:tc>
      </w:tr>
      <w:tr w:rsidR="0084370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Other (Unclassified)</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959</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95.9%</w:t>
            </w:r>
          </w:p>
        </w:tc>
        <w:tc>
          <w:tcPr>
            <w:tcW w:w="3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$1,250,209</w:t>
            </w:r>
          </w:p>
        </w:tc>
      </w:tr>
      <w:tr w:rsidR="0084370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Europe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18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1.8%</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$26,795</w:t>
            </w:r>
          </w:p>
        </w:tc>
      </w:tr>
      <w:tr w:rsidR="0084370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Asia</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13</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1.3%</w:t>
            </w:r>
          </w:p>
        </w:tc>
        <w:tc>
          <w:tcPr>
            <w:tcW w:w="3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$13,919</w:t>
            </w:r>
          </w:p>
        </w:tc>
      </w:tr>
      <w:tr w:rsidR="0084370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North America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1.0%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$13,499</w:t>
            </w:r>
          </w:p>
        </w:tc>
      </w:tr>
    </w:tbl>
    <w:p w:rsidR="0084370A" w:rsidRDefault="0084370A">
      <w:pPr>
        <w:spacing w:before="100" w:after="100"/>
      </w:pPr>
    </w:p>
    <w:p w:rsidR="0084370A" w:rsidRDefault="00000000">
      <w:pPr>
        <w:pBdr>
          <w:left w:val="single" w:sz="12" w:space="0" w:color="E67E22"/>
        </w:pBdr>
        <w:shd w:val="clear" w:color="auto" w:fill="FEF9E7"/>
        <w:spacing w:before="120" w:after="120"/>
        <w:ind w:left="360"/>
      </w:pPr>
      <w:r>
        <w:rPr>
          <w:b/>
          <w:bCs/>
          <w:color w:val="E67E22"/>
        </w:rPr>
        <w:t xml:space="preserve">Watch: </w:t>
      </w:r>
      <w:r>
        <w:rPr>
          <w:color w:val="222222"/>
        </w:rPr>
        <w:t>95.9% of customers fall into the 'Other' region category. This is a data classification issue — most countries in the dataset have not been assigned to a named region. For the geographic analysis to be meaningful, the Region column needs to be enriched to correctly map countries like Korea, Rwanda, Bhutan, and others to their proper regions.</w:t>
      </w:r>
    </w:p>
    <w:p w:rsidR="0084370A" w:rsidRDefault="0084370A">
      <w:pPr>
        <w:spacing w:before="100" w:after="100"/>
      </w:pPr>
    </w:p>
    <w:p w:rsidR="0084370A" w:rsidRDefault="00000000">
      <w:pPr>
        <w:spacing w:before="80" w:after="100"/>
      </w:pPr>
      <w:r>
        <w:rPr>
          <w:color w:val="222222"/>
        </w:rPr>
        <w:t>Once the Region field is properly populated, the pie chart will become one of the most powerful visuals in the report, enabling genuine regional performance comparisons. As it stands, the Europe, Asia, and North America segments represent only the small fraction of countries that were correctly classified.</w:t>
      </w:r>
    </w:p>
    <w:p w:rsidR="0084370A" w:rsidRDefault="0084370A">
      <w:pPr>
        <w:spacing w:before="100" w:after="100"/>
      </w:pPr>
    </w:p>
    <w:p w:rsidR="0084370A" w:rsidRDefault="00000000">
      <w:r>
        <w:br w:type="page"/>
      </w:r>
    </w:p>
    <w:p w:rsidR="0084370A" w:rsidRDefault="00000000">
      <w:pPr>
        <w:pStyle w:val="Heading1"/>
        <w:pBdr>
          <w:bottom w:val="single" w:sz="8" w:space="1" w:color="2E75B6"/>
        </w:pBdr>
      </w:pPr>
      <w:r>
        <w:t>Section 4: Monthly Customer Registration Trend</w:t>
      </w:r>
    </w:p>
    <w:p w:rsidR="0084370A" w:rsidRDefault="00000000">
      <w:pPr>
        <w:spacing w:before="80" w:after="100"/>
      </w:pPr>
      <w:r>
        <w:rPr>
          <w:color w:val="222222"/>
        </w:rPr>
        <w:t>The monthly trend line chart tracks how many unique customers registered each month from mid-2022 through mid-2025. This visualization reveals the business growth trajectory and any seasonal patterns.</w:t>
      </w:r>
    </w:p>
    <w:p w:rsidR="0084370A" w:rsidRDefault="0084370A">
      <w:pPr>
        <w:spacing w:before="100" w:after="100"/>
      </w:pPr>
    </w:p>
    <w:p w:rsidR="0084370A" w:rsidRDefault="00000000">
      <w:pPr>
        <w:pStyle w:val="Heading2"/>
      </w:pPr>
      <w:r>
        <w:t>Year-by-Year Breakdown</w:t>
      </w:r>
    </w:p>
    <w:tbl>
      <w:tblPr>
        <w:tblW w:w="10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400"/>
        <w:gridCol w:w="1400"/>
        <w:gridCol w:w="1800"/>
        <w:gridCol w:w="4360"/>
      </w:tblGrid>
      <w:tr w:rsidR="0084370A">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4370A" w:rsidRDefault="00000000">
            <w:r>
              <w:rPr>
                <w:b/>
                <w:bCs/>
                <w:color w:val="FFFFFF"/>
                <w:sz w:val="20"/>
                <w:szCs w:val="20"/>
              </w:rPr>
              <w:t>Year</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4370A" w:rsidRDefault="00000000">
            <w:r>
              <w:rPr>
                <w:b/>
                <w:bCs/>
                <w:color w:val="FFFFFF"/>
                <w:sz w:val="20"/>
                <w:szCs w:val="20"/>
              </w:rPr>
              <w:t>Customers</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4370A" w:rsidRDefault="00000000">
            <w:r>
              <w:rPr>
                <w:b/>
                <w:bCs/>
                <w:color w:val="FFFFFF"/>
                <w:sz w:val="20"/>
                <w:szCs w:val="20"/>
              </w:rPr>
              <w:t>Orders</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4370A" w:rsidRDefault="00000000">
            <w:r>
              <w:rPr>
                <w:b/>
                <w:bCs/>
                <w:color w:val="FFFFFF"/>
                <w:sz w:val="20"/>
                <w:szCs w:val="20"/>
              </w:rPr>
              <w:t>Revenue</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4370A" w:rsidRDefault="00000000">
            <w:r>
              <w:rPr>
                <w:b/>
                <w:bCs/>
                <w:color w:val="FFFFFF"/>
                <w:sz w:val="20"/>
                <w:szCs w:val="20"/>
              </w:rPr>
              <w:t>Notes</w:t>
            </w:r>
          </w:p>
        </w:tc>
      </w:tr>
      <w:tr w:rsidR="0084370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2022 (Jun–Dec)</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197</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592</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$241,895</w:t>
            </w:r>
          </w:p>
        </w:tc>
        <w:tc>
          <w:tcPr>
            <w:tcW w:w="43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Partial year — business ramp-up phase</w:t>
            </w:r>
          </w:p>
        </w:tc>
      </w:tr>
      <w:tr w:rsidR="0084370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2023 (Full Year)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317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975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$427,211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Strong full-year performance</w:t>
            </w:r>
          </w:p>
        </w:tc>
      </w:tr>
      <w:tr w:rsidR="0084370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2024 (Full Year)</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341</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1,016</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$428,345</w:t>
            </w:r>
          </w:p>
        </w:tc>
        <w:tc>
          <w:tcPr>
            <w:tcW w:w="43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Peak year — highest customers and orders</w:t>
            </w:r>
          </w:p>
        </w:tc>
      </w:tr>
      <w:tr w:rsidR="0084370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2025 (Jan–Jun)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146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452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$206,971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Partial year — on pace with prior years</w:t>
            </w:r>
          </w:p>
        </w:tc>
      </w:tr>
    </w:tbl>
    <w:p w:rsidR="0084370A" w:rsidRDefault="0084370A">
      <w:pPr>
        <w:spacing w:before="100" w:after="100"/>
      </w:pPr>
    </w:p>
    <w:p w:rsidR="0084370A" w:rsidRDefault="00000000">
      <w:pPr>
        <w:pStyle w:val="Heading2"/>
      </w:pPr>
      <w:r>
        <w:t>Interpretation</w:t>
      </w:r>
    </w:p>
    <w:p w:rsidR="0084370A" w:rsidRDefault="00000000">
      <w:pPr>
        <w:spacing w:before="80" w:after="100"/>
      </w:pPr>
      <w:r>
        <w:rPr>
          <w:color w:val="222222"/>
        </w:rPr>
        <w:t>The monthly trend line shows a consistent and stable pattern of customer acquisition across 2023 and 2024, with monthly registration counts typically ranging between 20 and 38 customers per month. There are no dramatic spikes or crashes, which indicates organic and steady business growth rather than campaign-driven volatility.</w:t>
      </w:r>
    </w:p>
    <w:p w:rsidR="0084370A" w:rsidRDefault="0084370A">
      <w:pPr>
        <w:spacing w:before="100" w:after="100"/>
      </w:pPr>
    </w:p>
    <w:p w:rsidR="0084370A" w:rsidRDefault="00000000">
      <w:pPr>
        <w:spacing w:before="80" w:after="100"/>
      </w:pPr>
      <w:r>
        <w:rPr>
          <w:color w:val="222222"/>
        </w:rPr>
        <w:t>The year 2024 was the strongest year on record, with 341 unique customers and 1,016 orders generating $428,345 in revenue. This represents a 7.6% increase in customer count over 2023 and broadly flat revenue — meaning the average order value held steady even as customer volume grew.</w:t>
      </w:r>
    </w:p>
    <w:p w:rsidR="0084370A" w:rsidRDefault="0084370A">
      <w:pPr>
        <w:spacing w:before="100" w:after="100"/>
      </w:pPr>
    </w:p>
    <w:p w:rsidR="0084370A" w:rsidRDefault="00000000">
      <w:pPr>
        <w:spacing w:before="80" w:after="100"/>
      </w:pPr>
      <w:r>
        <w:rPr>
          <w:color w:val="222222"/>
        </w:rPr>
        <w:t xml:space="preserve">The 2025 data </w:t>
      </w:r>
      <w:proofErr w:type="gramStart"/>
      <w:r>
        <w:rPr>
          <w:color w:val="222222"/>
        </w:rPr>
        <w:t>covers</w:t>
      </w:r>
      <w:proofErr w:type="gramEnd"/>
      <w:r>
        <w:rPr>
          <w:color w:val="222222"/>
        </w:rPr>
        <w:t xml:space="preserve"> only January through approximately June. At 146 customers and $206,971 in revenue for roughly half a year, the business is on pace to match or slightly exceed 2024 performance if the second half of 2025 mirrors historical patterns.</w:t>
      </w:r>
    </w:p>
    <w:p w:rsidR="0084370A" w:rsidRDefault="0084370A">
      <w:pPr>
        <w:spacing w:before="100" w:after="100"/>
      </w:pPr>
    </w:p>
    <w:p w:rsidR="0084370A" w:rsidRDefault="00000000">
      <w:pPr>
        <w:pBdr>
          <w:left w:val="single" w:sz="12" w:space="0" w:color="2E75B6"/>
        </w:pBdr>
        <w:shd w:val="clear" w:color="auto" w:fill="EAF4FB"/>
        <w:spacing w:before="120" w:after="120"/>
        <w:ind w:left="360"/>
      </w:pPr>
      <w:r>
        <w:rPr>
          <w:b/>
          <w:bCs/>
          <w:color w:val="2E75B6"/>
        </w:rPr>
        <w:t xml:space="preserve">Key Insight: </w:t>
      </w:r>
      <w:r>
        <w:rPr>
          <w:color w:val="222222"/>
        </w:rPr>
        <w:t xml:space="preserve">2024 was the peak year with 341 customers and $428,345 in revenue. The 2025 partial-year data </w:t>
      </w:r>
      <w:proofErr w:type="gramStart"/>
      <w:r>
        <w:rPr>
          <w:color w:val="222222"/>
        </w:rPr>
        <w:t>suggests</w:t>
      </w:r>
      <w:proofErr w:type="gramEnd"/>
      <w:r>
        <w:rPr>
          <w:color w:val="222222"/>
        </w:rPr>
        <w:t xml:space="preserve"> the business is on track to maintain this momentum through the full year.</w:t>
      </w:r>
    </w:p>
    <w:p w:rsidR="0084370A" w:rsidRDefault="0084370A">
      <w:pPr>
        <w:spacing w:before="100" w:after="100"/>
      </w:pPr>
    </w:p>
    <w:p w:rsidR="0084370A" w:rsidRDefault="00000000">
      <w:pPr>
        <w:pStyle w:val="Heading2"/>
      </w:pPr>
      <w:r>
        <w:t>Year-over-Year Comparison Line Chart</w:t>
      </w:r>
    </w:p>
    <w:p w:rsidR="0084370A" w:rsidRDefault="00000000">
      <w:pPr>
        <w:spacing w:before="80" w:after="100"/>
      </w:pPr>
      <w:r>
        <w:rPr>
          <w:color w:val="222222"/>
        </w:rPr>
        <w:t>When the monthly trend lines are overlaid by year, a consistent seasonal shape emerges. The early months of each year (January through March) tend to show slightly higher registration activity, while the summer months show a mild dip. This pattern repeats across 2023 and 2024 and is beginning to appear in 2025 as well.</w:t>
      </w:r>
    </w:p>
    <w:p w:rsidR="0084370A" w:rsidRDefault="0084370A">
      <w:pPr>
        <w:spacing w:before="100" w:after="100"/>
      </w:pPr>
    </w:p>
    <w:p w:rsidR="0084370A" w:rsidRDefault="00000000">
      <w:pPr>
        <w:spacing w:before="80" w:after="100"/>
      </w:pPr>
      <w:r>
        <w:rPr>
          <w:color w:val="222222"/>
        </w:rPr>
        <w:t>October 2022 was the single strongest month on record with 38 registrations, which coincided with the business's early growth phase. By 2023 and 2024, monthly figures stabilized in the 20-35 range, reflecting a maturing customer acquisition pattern.</w:t>
      </w:r>
    </w:p>
    <w:p w:rsidR="0084370A" w:rsidRDefault="0084370A">
      <w:pPr>
        <w:spacing w:before="100" w:after="100"/>
      </w:pPr>
    </w:p>
    <w:p w:rsidR="0084370A" w:rsidRDefault="00000000">
      <w:r>
        <w:br w:type="page"/>
      </w:r>
    </w:p>
    <w:p w:rsidR="0084370A" w:rsidRDefault="00000000">
      <w:pPr>
        <w:pStyle w:val="Heading1"/>
        <w:pBdr>
          <w:bottom w:val="single" w:sz="8" w:space="1" w:color="2E75B6"/>
        </w:pBdr>
      </w:pPr>
      <w:r>
        <w:t>Section 5: Payment Method Analysis</w:t>
      </w:r>
    </w:p>
    <w:p w:rsidR="0084370A" w:rsidRDefault="00000000">
      <w:pPr>
        <w:spacing w:before="80" w:after="100"/>
      </w:pPr>
      <w:r>
        <w:rPr>
          <w:color w:val="222222"/>
        </w:rPr>
        <w:t>While not a standalone chart in the original specification, payment method data is a critical dimension that surfaces across multiple visuals — including the drill-through page pie chart and the KPI summary. The payment method distribution is one of the most striking findings in the entire dataset.</w:t>
      </w:r>
    </w:p>
    <w:p w:rsidR="0084370A" w:rsidRDefault="0084370A">
      <w:pPr>
        <w:spacing w:before="100" w:after="10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1800"/>
        <w:gridCol w:w="1800"/>
        <w:gridCol w:w="2360"/>
      </w:tblGrid>
      <w:tr w:rsidR="0084370A">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4370A" w:rsidRDefault="00000000">
            <w:r>
              <w:rPr>
                <w:b/>
                <w:bCs/>
                <w:color w:val="FFFFFF"/>
                <w:sz w:val="20"/>
                <w:szCs w:val="20"/>
              </w:rPr>
              <w:t>Payment Method</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4370A" w:rsidRDefault="00000000">
            <w:r>
              <w:rPr>
                <w:b/>
                <w:bCs/>
                <w:color w:val="FFFFFF"/>
                <w:sz w:val="20"/>
                <w:szCs w:val="20"/>
              </w:rPr>
              <w:t>Orders</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4370A" w:rsidRDefault="00000000">
            <w:r>
              <w:rPr>
                <w:b/>
                <w:bCs/>
                <w:color w:val="FFFFFF"/>
                <w:sz w:val="20"/>
                <w:szCs w:val="20"/>
              </w:rPr>
              <w:t>Revenue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4370A" w:rsidRDefault="00000000">
            <w:r>
              <w:rPr>
                <w:b/>
                <w:bCs/>
                <w:color w:val="FFFFFF"/>
                <w:sz w:val="20"/>
                <w:szCs w:val="20"/>
              </w:rPr>
              <w:t>Revenue Share</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4370A" w:rsidRDefault="00000000">
            <w:r>
              <w:rPr>
                <w:b/>
                <w:bCs/>
                <w:color w:val="FFFFFF"/>
                <w:sz w:val="20"/>
                <w:szCs w:val="20"/>
              </w:rPr>
              <w:t>Customers</w:t>
            </w:r>
          </w:p>
        </w:tc>
      </w:tr>
      <w:tr w:rsidR="0084370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PayPal</w:t>
            </w:r>
          </w:p>
        </w:tc>
        <w:tc>
          <w:tcPr>
            <w:tcW w:w="1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783</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$341,625</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26.2%</w:t>
            </w:r>
          </w:p>
        </w:tc>
        <w:tc>
          <w:tcPr>
            <w:tcW w:w="23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254</w:t>
            </w:r>
          </w:p>
        </w:tc>
      </w:tr>
      <w:tr w:rsidR="0084370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Crypto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793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$329,048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25.2%</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259</w:t>
            </w:r>
          </w:p>
        </w:tc>
      </w:tr>
      <w:tr w:rsidR="0084370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Bank Transfer</w:t>
            </w:r>
          </w:p>
        </w:tc>
        <w:tc>
          <w:tcPr>
            <w:tcW w:w="1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714</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$319,271</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24.5%</w:t>
            </w:r>
          </w:p>
        </w:tc>
        <w:tc>
          <w:tcPr>
            <w:tcW w:w="23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238</w:t>
            </w:r>
          </w:p>
        </w:tc>
      </w:tr>
      <w:tr w:rsidR="0084370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Credit Card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745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$314,479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24.1%</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250</w:t>
            </w:r>
          </w:p>
        </w:tc>
      </w:tr>
    </w:tbl>
    <w:p w:rsidR="0084370A" w:rsidRDefault="0084370A">
      <w:pPr>
        <w:spacing w:before="100" w:after="100"/>
      </w:pPr>
    </w:p>
    <w:p w:rsidR="0084370A" w:rsidRDefault="00000000">
      <w:pPr>
        <w:pStyle w:val="Heading2"/>
      </w:pPr>
      <w:r>
        <w:t>Interpretation</w:t>
      </w:r>
    </w:p>
    <w:p w:rsidR="0084370A" w:rsidRDefault="00000000">
      <w:pPr>
        <w:spacing w:before="80" w:after="100"/>
      </w:pPr>
      <w:r>
        <w:rPr>
          <w:color w:val="222222"/>
        </w:rPr>
        <w:t>The payment method distribution is extraordinarily balanced. All four methods — PayPal, Crypto, Bank Transfer, and Credit Card — account for between 24.1% and 26.2% of total revenue. This near-perfect distribution across four very different payment types is highly unusual and suggests either a deliberate business strategy to support diverse payment preferences, or that the dataset was generated with balanced payment assignments.</w:t>
      </w:r>
    </w:p>
    <w:p w:rsidR="0084370A" w:rsidRDefault="0084370A">
      <w:pPr>
        <w:spacing w:before="100" w:after="100"/>
      </w:pPr>
    </w:p>
    <w:p w:rsidR="0084370A" w:rsidRDefault="00000000">
      <w:pPr>
        <w:spacing w:before="80" w:after="100"/>
      </w:pPr>
      <w:r>
        <w:rPr>
          <w:color w:val="222222"/>
        </w:rPr>
        <w:t>The acceptance of cryptocurrency as a payment method is particularly noteworthy. Crypto accounts for 25.2% of all revenue ($329,048) and is used by 259 customers — more than any other single payment method by customer count. This positions the business as technically forward-thinking and accessible to a digitally native customer segment.</w:t>
      </w:r>
    </w:p>
    <w:p w:rsidR="0084370A" w:rsidRDefault="0084370A">
      <w:pPr>
        <w:spacing w:before="100" w:after="100"/>
      </w:pPr>
    </w:p>
    <w:p w:rsidR="0084370A" w:rsidRDefault="00000000">
      <w:pPr>
        <w:pBdr>
          <w:left w:val="single" w:sz="12" w:space="0" w:color="2E75B6"/>
        </w:pBdr>
        <w:shd w:val="clear" w:color="auto" w:fill="EAF4FB"/>
        <w:spacing w:before="120" w:after="120"/>
        <w:ind w:left="360"/>
      </w:pPr>
      <w:r>
        <w:rPr>
          <w:b/>
          <w:bCs/>
          <w:color w:val="2E75B6"/>
        </w:rPr>
        <w:t xml:space="preserve">Key Insight: </w:t>
      </w:r>
      <w:r>
        <w:rPr>
          <w:color w:val="222222"/>
        </w:rPr>
        <w:t xml:space="preserve">Crypto is the most widely used payment method by customer count (259 customers) and PayPal </w:t>
      </w:r>
      <w:proofErr w:type="gramStart"/>
      <w:r>
        <w:rPr>
          <w:color w:val="222222"/>
        </w:rPr>
        <w:t>leads</w:t>
      </w:r>
      <w:proofErr w:type="gramEnd"/>
      <w:r>
        <w:rPr>
          <w:color w:val="222222"/>
        </w:rPr>
        <w:t xml:space="preserve"> by total revenue ($341,625). The near-perfect 25/25/25/25 split across all four methods suggests a highly diverse and flexible customer base.</w:t>
      </w:r>
    </w:p>
    <w:p w:rsidR="0084370A" w:rsidRDefault="0084370A">
      <w:pPr>
        <w:spacing w:before="100" w:after="100"/>
      </w:pPr>
    </w:p>
    <w:p w:rsidR="0084370A" w:rsidRDefault="00000000">
      <w:r>
        <w:br w:type="page"/>
      </w:r>
    </w:p>
    <w:p w:rsidR="0084370A" w:rsidRDefault="00000000">
      <w:pPr>
        <w:pStyle w:val="Heading1"/>
        <w:pBdr>
          <w:bottom w:val="single" w:sz="8" w:space="1" w:color="2E75B6"/>
        </w:pBdr>
      </w:pPr>
      <w:r>
        <w:t>Section 6: Drill-Through Customer Detail Page</w:t>
      </w:r>
    </w:p>
    <w:p w:rsidR="0084370A" w:rsidRDefault="00000000">
      <w:pPr>
        <w:spacing w:before="80" w:after="100"/>
      </w:pPr>
      <w:r>
        <w:rPr>
          <w:color w:val="222222"/>
        </w:rPr>
        <w:t>The Customer Details drill-through page provides granular, individual-level analysis for any selected customer. When a user right-clicks a customer name on any main page visual and selects 'Drill through &gt; Customer Details,' they see a personalized view containing four visuals.</w:t>
      </w:r>
    </w:p>
    <w:p w:rsidR="0084370A" w:rsidRDefault="0084370A">
      <w:pPr>
        <w:spacing w:before="100" w:after="10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84370A">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4370A" w:rsidRDefault="00000000">
            <w:r>
              <w:rPr>
                <w:b/>
                <w:bCs/>
                <w:color w:val="FFFFFF"/>
                <w:sz w:val="20"/>
                <w:szCs w:val="20"/>
              </w:rPr>
              <w:t>Visual</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4370A" w:rsidRDefault="00000000">
            <w:r>
              <w:rPr>
                <w:b/>
                <w:bCs/>
                <w:color w:val="FFFFFF"/>
                <w:sz w:val="20"/>
                <w:szCs w:val="20"/>
              </w:rPr>
              <w:t>Fields Used</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4370A" w:rsidRDefault="00000000">
            <w:r>
              <w:rPr>
                <w:b/>
                <w:bCs/>
                <w:color w:val="FFFFFF"/>
                <w:sz w:val="20"/>
                <w:szCs w:val="20"/>
              </w:rPr>
              <w:t>What It Reveals</w:t>
            </w:r>
          </w:p>
        </w:tc>
      </w:tr>
      <w:tr w:rsidR="0084370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Card: Customer Name</w:t>
            </w:r>
          </w:p>
        </w:tc>
        <w:tc>
          <w:tcPr>
            <w:tcW w:w="3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proofErr w:type="spellStart"/>
            <w:r>
              <w:rPr>
                <w:sz w:val="20"/>
                <w:szCs w:val="20"/>
              </w:rPr>
              <w:t>Customer_Name</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Confirms which customer is being viewed</w:t>
            </w:r>
          </w:p>
        </w:tc>
      </w:tr>
      <w:tr w:rsidR="0084370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Table: Order History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proofErr w:type="spellStart"/>
            <w:r>
              <w:rPr>
                <w:sz w:val="20"/>
                <w:szCs w:val="20"/>
              </w:rPr>
              <w:t>Order_ID</w:t>
            </w:r>
            <w:proofErr w:type="spellEnd"/>
            <w:r>
              <w:rPr>
                <w:sz w:val="20"/>
                <w:szCs w:val="20"/>
              </w:rPr>
              <w:t xml:space="preserve">, </w:t>
            </w:r>
            <w:proofErr w:type="spellStart"/>
            <w:r>
              <w:rPr>
                <w:sz w:val="20"/>
                <w:szCs w:val="20"/>
              </w:rPr>
              <w:t>Registration_Date</w:t>
            </w:r>
            <w:proofErr w:type="spellEnd"/>
            <w:r>
              <w:rPr>
                <w:sz w:val="20"/>
                <w:szCs w:val="20"/>
              </w:rPr>
              <w:t xml:space="preserve">, </w:t>
            </w:r>
            <w:proofErr w:type="spellStart"/>
            <w:r>
              <w:rPr>
                <w:sz w:val="20"/>
                <w:szCs w:val="20"/>
              </w:rPr>
              <w:t>Order_Quantity</w:t>
            </w:r>
            <w:proofErr w:type="spellEnd"/>
            <w:r>
              <w:rPr>
                <w:sz w:val="20"/>
                <w:szCs w:val="20"/>
              </w:rPr>
              <w:t xml:space="preserve">, </w:t>
            </w:r>
            <w:proofErr w:type="spellStart"/>
            <w:r>
              <w:rPr>
                <w:sz w:val="20"/>
                <w:szCs w:val="20"/>
              </w:rPr>
              <w:t>Order_Amount</w:t>
            </w:r>
            <w:proofErr w:type="spellEnd"/>
            <w:r>
              <w:rPr>
                <w:sz w:val="20"/>
                <w:szCs w:val="20"/>
              </w:rPr>
              <w:t xml:space="preserve">, </w:t>
            </w:r>
            <w:proofErr w:type="spellStart"/>
            <w:r>
              <w:rPr>
                <w:sz w:val="20"/>
                <w:szCs w:val="20"/>
              </w:rPr>
              <w:t>Payment_Method</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Full transaction log for this customer</w:t>
            </w:r>
          </w:p>
        </w:tc>
      </w:tr>
      <w:tr w:rsidR="0084370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Line Chart: Orders Over Time</w:t>
            </w:r>
          </w:p>
        </w:tc>
        <w:tc>
          <w:tcPr>
            <w:tcW w:w="3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proofErr w:type="spellStart"/>
            <w:r>
              <w:rPr>
                <w:sz w:val="20"/>
                <w:szCs w:val="20"/>
              </w:rPr>
              <w:t>Registration_Date</w:t>
            </w:r>
            <w:proofErr w:type="spellEnd"/>
            <w:r>
              <w:rPr>
                <w:sz w:val="20"/>
                <w:szCs w:val="20"/>
              </w:rPr>
              <w:t xml:space="preserve"> (X), </w:t>
            </w:r>
            <w:proofErr w:type="spellStart"/>
            <w:r>
              <w:rPr>
                <w:sz w:val="20"/>
                <w:szCs w:val="20"/>
              </w:rPr>
              <w:t>Order_Amount</w:t>
            </w:r>
            <w:proofErr w:type="spellEnd"/>
            <w:r>
              <w:rPr>
                <w:sz w:val="20"/>
                <w:szCs w:val="20"/>
              </w:rPr>
              <w:t xml:space="preserve"> (Y)</w:t>
            </w:r>
          </w:p>
        </w:tc>
        <w:tc>
          <w:tcPr>
            <w:tcW w:w="41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rsidR="0084370A" w:rsidRDefault="00000000">
            <w:r>
              <w:rPr>
                <w:sz w:val="20"/>
                <w:szCs w:val="20"/>
              </w:rPr>
              <w:t>Whether the customer is spending more or less over time</w:t>
            </w:r>
          </w:p>
        </w:tc>
      </w:tr>
      <w:tr w:rsidR="0084370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Pie Chart: Payment Methods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proofErr w:type="spellStart"/>
            <w:r>
              <w:rPr>
                <w:sz w:val="20"/>
                <w:szCs w:val="20"/>
              </w:rPr>
              <w:t>Payment_Method</w:t>
            </w:r>
            <w:proofErr w:type="spellEnd"/>
            <w:r>
              <w:rPr>
                <w:sz w:val="20"/>
                <w:szCs w:val="20"/>
              </w:rPr>
              <w:t xml:space="preserve"> (Legend), </w:t>
            </w:r>
            <w:proofErr w:type="spellStart"/>
            <w:r>
              <w:rPr>
                <w:sz w:val="20"/>
                <w:szCs w:val="20"/>
              </w:rPr>
              <w:t>Order_Amount</w:t>
            </w:r>
            <w:proofErr w:type="spellEnd"/>
            <w:r>
              <w:rPr>
                <w:sz w:val="20"/>
                <w:szCs w:val="20"/>
              </w:rPr>
              <w:t xml:space="preserve"> (Values)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4370A" w:rsidRDefault="00000000">
            <w:r>
              <w:rPr>
                <w:sz w:val="20"/>
                <w:szCs w:val="20"/>
              </w:rPr>
              <w:t>Preferred payment method for this individual</w:t>
            </w:r>
          </w:p>
        </w:tc>
      </w:tr>
    </w:tbl>
    <w:p w:rsidR="0084370A" w:rsidRDefault="0084370A">
      <w:pPr>
        <w:spacing w:before="100" w:after="100"/>
      </w:pPr>
    </w:p>
    <w:p w:rsidR="0084370A" w:rsidRDefault="00000000">
      <w:pPr>
        <w:pStyle w:val="Heading2"/>
      </w:pPr>
      <w:r>
        <w:t>Example: Jonathan Lewis (Top Customer)</w:t>
      </w:r>
    </w:p>
    <w:p w:rsidR="0084370A" w:rsidRDefault="00000000">
      <w:pPr>
        <w:spacing w:before="80" w:after="100"/>
      </w:pPr>
      <w:r>
        <w:rPr>
          <w:color w:val="222222"/>
        </w:rPr>
        <w:t>As the most engaged customer with 11 orders, Jonathan Lewis's drill-through page would show 11 rows in the order history table. The line chart would reveal whether his spending is increasing, decreasing, or consistent over time. The payment pie chart would show whether he uses a single preferred method or switches between options.</w:t>
      </w:r>
    </w:p>
    <w:p w:rsidR="0084370A" w:rsidRDefault="0084370A">
      <w:pPr>
        <w:spacing w:before="100" w:after="100"/>
      </w:pPr>
    </w:p>
    <w:p w:rsidR="0084370A" w:rsidRDefault="00000000">
      <w:pPr>
        <w:spacing w:before="80" w:after="100"/>
      </w:pPr>
      <w:r>
        <w:rPr>
          <w:color w:val="222222"/>
        </w:rPr>
        <w:t>This level of individual customer visibility is what separates a true analytical report from a simple summary dashboard. It enables customer service teams, account managers, and marketing teams to make personalized decisions based on real behavioral data.</w:t>
      </w:r>
    </w:p>
    <w:p w:rsidR="0084370A" w:rsidRDefault="0084370A">
      <w:pPr>
        <w:spacing w:before="100" w:after="100"/>
      </w:pPr>
    </w:p>
    <w:p w:rsidR="0084370A" w:rsidRDefault="00000000">
      <w:pPr>
        <w:pBdr>
          <w:left w:val="single" w:sz="12" w:space="0" w:color="2E75B6"/>
        </w:pBdr>
        <w:shd w:val="clear" w:color="auto" w:fill="EAF4FB"/>
        <w:spacing w:before="120" w:after="120"/>
        <w:ind w:left="360"/>
      </w:pPr>
      <w:r>
        <w:rPr>
          <w:b/>
          <w:bCs/>
          <w:color w:val="2E75B6"/>
        </w:rPr>
        <w:t xml:space="preserve">Key Insight: </w:t>
      </w:r>
      <w:r>
        <w:rPr>
          <w:color w:val="222222"/>
        </w:rPr>
        <w:t>The drill-through page transforms the report from a summary tool into a customer intelligence platform. Every customer in the dataset can be individually profiled in seconds.</w:t>
      </w:r>
    </w:p>
    <w:p w:rsidR="0084370A" w:rsidRDefault="0084370A">
      <w:pPr>
        <w:spacing w:before="100" w:after="100"/>
      </w:pPr>
    </w:p>
    <w:p w:rsidR="0084370A" w:rsidRDefault="00000000">
      <w:r>
        <w:br w:type="page"/>
      </w:r>
    </w:p>
    <w:p w:rsidR="0084370A" w:rsidRDefault="00000000">
      <w:pPr>
        <w:pStyle w:val="Heading1"/>
        <w:pBdr>
          <w:bottom w:val="single" w:sz="8" w:space="1" w:color="2E75B6"/>
        </w:pBdr>
      </w:pPr>
      <w:r>
        <w:t>Section 7: Conclusions &amp; Recommendations</w:t>
      </w:r>
    </w:p>
    <w:p w:rsidR="0084370A" w:rsidRDefault="0084370A">
      <w:pPr>
        <w:spacing w:before="100" w:after="100"/>
      </w:pPr>
    </w:p>
    <w:p w:rsidR="0084370A" w:rsidRDefault="00000000">
      <w:pPr>
        <w:pStyle w:val="Heading2"/>
      </w:pPr>
      <w:r>
        <w:t>What the Data Tells Us</w:t>
      </w:r>
    </w:p>
    <w:p w:rsidR="0084370A" w:rsidRDefault="00000000">
      <w:pPr>
        <w:spacing w:before="80" w:after="100"/>
      </w:pPr>
      <w:r>
        <w:rPr>
          <w:color w:val="222222"/>
        </w:rPr>
        <w:t>Taken together, the six visualizations in this Power BI report paint a coherent picture of a healthy, growing, globally distributed business with strong repeat purchase behavior and diversified revenue streams. The key conclusions are:</w:t>
      </w:r>
    </w:p>
    <w:p w:rsidR="0084370A" w:rsidRDefault="0084370A">
      <w:pPr>
        <w:spacing w:before="100" w:after="100"/>
      </w:pPr>
    </w:p>
    <w:p w:rsidR="0084370A" w:rsidRDefault="00000000">
      <w:pPr>
        <w:pStyle w:val="ListParagraph"/>
        <w:numPr>
          <w:ilvl w:val="0"/>
          <w:numId w:val="2"/>
        </w:numPr>
        <w:spacing w:before="60" w:after="60"/>
      </w:pPr>
      <w:r>
        <w:rPr>
          <w:b/>
          <w:bCs/>
          <w:color w:val="222222"/>
        </w:rPr>
        <w:t xml:space="preserve">Revenue is strong and growing. </w:t>
      </w:r>
      <w:r>
        <w:rPr>
          <w:color w:val="222222"/>
        </w:rPr>
        <w:t>The business has generated $1.3M across the observed period, with 2023 and 2024 both delivering over $427K — a remarkable consistency.</w:t>
      </w:r>
    </w:p>
    <w:p w:rsidR="0084370A" w:rsidRDefault="00000000">
      <w:pPr>
        <w:pStyle w:val="ListParagraph"/>
        <w:numPr>
          <w:ilvl w:val="0"/>
          <w:numId w:val="2"/>
        </w:numPr>
        <w:spacing w:before="60" w:after="60"/>
      </w:pPr>
      <w:r>
        <w:rPr>
          <w:b/>
          <w:bCs/>
          <w:color w:val="222222"/>
        </w:rPr>
        <w:t xml:space="preserve">Customer loyalty exists. </w:t>
      </w:r>
      <w:r>
        <w:rPr>
          <w:color w:val="222222"/>
        </w:rPr>
        <w:t>With an average of 3 orders per customer and a top customer reaching 11 orders, the business retains buyers and encourages repeat purchasing.</w:t>
      </w:r>
    </w:p>
    <w:p w:rsidR="0084370A" w:rsidRDefault="00000000">
      <w:pPr>
        <w:pStyle w:val="ListParagraph"/>
        <w:numPr>
          <w:ilvl w:val="0"/>
          <w:numId w:val="2"/>
        </w:numPr>
        <w:spacing w:before="60" w:after="60"/>
      </w:pPr>
      <w:r>
        <w:rPr>
          <w:b/>
          <w:bCs/>
          <w:color w:val="222222"/>
        </w:rPr>
        <w:t xml:space="preserve">The customer base is highly global. </w:t>
      </w:r>
      <w:r>
        <w:rPr>
          <w:color w:val="222222"/>
        </w:rPr>
        <w:t>Customers span dozens of countries across every continent, with no single location dominating — reducing geographic concentration risk.</w:t>
      </w:r>
    </w:p>
    <w:p w:rsidR="0084370A" w:rsidRDefault="00000000">
      <w:pPr>
        <w:pStyle w:val="ListParagraph"/>
        <w:numPr>
          <w:ilvl w:val="0"/>
          <w:numId w:val="2"/>
        </w:numPr>
        <w:spacing w:before="60" w:after="60"/>
      </w:pPr>
      <w:r>
        <w:rPr>
          <w:b/>
          <w:bCs/>
          <w:color w:val="222222"/>
        </w:rPr>
        <w:t xml:space="preserve">Payment flexibility is a strength. </w:t>
      </w:r>
      <w:r>
        <w:rPr>
          <w:color w:val="222222"/>
        </w:rPr>
        <w:t>Accepting crypto, PayPal, bank transfer, and credit card ensures no customer segment is excluded by payment preference.</w:t>
      </w:r>
    </w:p>
    <w:p w:rsidR="0084370A" w:rsidRDefault="00000000">
      <w:pPr>
        <w:pStyle w:val="ListParagraph"/>
        <w:numPr>
          <w:ilvl w:val="0"/>
          <w:numId w:val="2"/>
        </w:numPr>
        <w:spacing w:before="60" w:after="60"/>
      </w:pPr>
      <w:r>
        <w:rPr>
          <w:b/>
          <w:bCs/>
          <w:color w:val="222222"/>
        </w:rPr>
        <w:t xml:space="preserve">High average order value. </w:t>
      </w:r>
      <w:r>
        <w:rPr>
          <w:color w:val="222222"/>
        </w:rPr>
        <w:t>At $429.79 average and 61.6% of orders above $300, this is clearly a premium-positioned business with strong price acceptance.</w:t>
      </w:r>
    </w:p>
    <w:p w:rsidR="0084370A" w:rsidRDefault="0084370A">
      <w:pPr>
        <w:spacing w:before="100" w:after="100"/>
      </w:pPr>
    </w:p>
    <w:p w:rsidR="0084370A" w:rsidRDefault="00000000">
      <w:pPr>
        <w:pStyle w:val="Heading2"/>
      </w:pPr>
      <w:r>
        <w:t>Recommendations</w:t>
      </w:r>
    </w:p>
    <w:p w:rsidR="0084370A" w:rsidRDefault="0084370A">
      <w:pPr>
        <w:spacing w:before="100" w:after="100"/>
      </w:pPr>
    </w:p>
    <w:p w:rsidR="0084370A" w:rsidRDefault="00000000">
      <w:pPr>
        <w:pStyle w:val="ListParagraph"/>
        <w:numPr>
          <w:ilvl w:val="0"/>
          <w:numId w:val="2"/>
        </w:numPr>
        <w:spacing w:before="60" w:after="60"/>
      </w:pPr>
      <w:r>
        <w:rPr>
          <w:b/>
          <w:bCs/>
          <w:color w:val="222222"/>
        </w:rPr>
        <w:t xml:space="preserve">Fix the Region classification. </w:t>
      </w:r>
      <w:r>
        <w:rPr>
          <w:color w:val="222222"/>
        </w:rPr>
        <w:t>95.9% of customers sit in 'Other.' Enriching the Region field will unlock the full power of the geographic pie chart and enable proper continent-level analysis.</w:t>
      </w:r>
    </w:p>
    <w:p w:rsidR="0084370A" w:rsidRDefault="00000000">
      <w:pPr>
        <w:pStyle w:val="ListParagraph"/>
        <w:numPr>
          <w:ilvl w:val="0"/>
          <w:numId w:val="2"/>
        </w:numPr>
        <w:spacing w:before="60" w:after="60"/>
      </w:pPr>
      <w:r>
        <w:rPr>
          <w:b/>
          <w:bCs/>
          <w:color w:val="222222"/>
        </w:rPr>
        <w:t xml:space="preserve">Launch a VIP loyalty program. </w:t>
      </w:r>
      <w:r>
        <w:rPr>
          <w:color w:val="222222"/>
        </w:rPr>
        <w:t>The Top 10 customers by order count (4–11 orders each) are at risk of being underserved. Personalized outreach and loyalty rewards could deepen these high-value relationships.</w:t>
      </w:r>
    </w:p>
    <w:p w:rsidR="0084370A" w:rsidRDefault="00000000">
      <w:pPr>
        <w:pStyle w:val="ListParagraph"/>
        <w:numPr>
          <w:ilvl w:val="0"/>
          <w:numId w:val="2"/>
        </w:numPr>
        <w:spacing w:before="60" w:after="60"/>
      </w:pPr>
      <w:r>
        <w:rPr>
          <w:b/>
          <w:bCs/>
          <w:color w:val="222222"/>
        </w:rPr>
        <w:t xml:space="preserve">Investigate Tuvalu as a high-value market. </w:t>
      </w:r>
      <w:r>
        <w:rPr>
          <w:color w:val="222222"/>
        </w:rPr>
        <w:t>Despite a small customer count, Tuvalu generates the most revenue of any country ($23,108). Understanding why these customers spend more could reveal a replicable premium segment strategy.</w:t>
      </w:r>
    </w:p>
    <w:p w:rsidR="0084370A" w:rsidRDefault="00000000">
      <w:pPr>
        <w:pStyle w:val="ListParagraph"/>
        <w:numPr>
          <w:ilvl w:val="0"/>
          <w:numId w:val="2"/>
        </w:numPr>
        <w:spacing w:before="60" w:after="60"/>
      </w:pPr>
      <w:r>
        <w:rPr>
          <w:b/>
          <w:bCs/>
          <w:color w:val="222222"/>
        </w:rPr>
        <w:t xml:space="preserve">Capitalize on 2025 momentum. </w:t>
      </w:r>
      <w:r>
        <w:rPr>
          <w:color w:val="222222"/>
        </w:rPr>
        <w:t>The first half of 2025 is on pace to match 2024. Maintaining acquisition and retention efforts through Q3 and Q4 will likely set a new annual revenue record.</w:t>
      </w:r>
    </w:p>
    <w:p w:rsidR="0084370A" w:rsidRDefault="00000000">
      <w:pPr>
        <w:pStyle w:val="ListParagraph"/>
        <w:numPr>
          <w:ilvl w:val="0"/>
          <w:numId w:val="2"/>
        </w:numPr>
        <w:spacing w:before="60" w:after="60"/>
      </w:pPr>
      <w:r>
        <w:rPr>
          <w:b/>
          <w:bCs/>
          <w:color w:val="222222"/>
        </w:rPr>
        <w:t xml:space="preserve">Monitor order value trends on the drill-through page. </w:t>
      </w:r>
      <w:r>
        <w:rPr>
          <w:color w:val="222222"/>
        </w:rPr>
        <w:t>Individual customer line charts reveal whether high-value customers are spending more or less over time — an early warning system for churn.</w:t>
      </w:r>
    </w:p>
    <w:p w:rsidR="0084370A" w:rsidRDefault="0084370A">
      <w:pPr>
        <w:spacing w:before="100" w:after="100"/>
      </w:pPr>
    </w:p>
    <w:p w:rsidR="0084370A" w:rsidRDefault="0084370A">
      <w:pPr>
        <w:spacing w:before="100" w:after="100"/>
      </w:pPr>
    </w:p>
    <w:p w:rsidR="0084370A" w:rsidRDefault="00000000">
      <w:pPr>
        <w:spacing w:before="240"/>
        <w:jc w:val="center"/>
      </w:pPr>
      <w:r>
        <w:rPr>
          <w:i/>
          <w:iCs/>
          <w:color w:val="555555"/>
        </w:rPr>
        <w:t>End of Analysis Report</w:t>
      </w:r>
    </w:p>
    <w:p w:rsidR="0084370A" w:rsidRDefault="00000000">
      <w:pPr>
        <w:jc w:val="center"/>
      </w:pPr>
      <w:r>
        <w:rPr>
          <w:color w:val="AAAAAA"/>
          <w:sz w:val="20"/>
          <w:szCs w:val="20"/>
        </w:rPr>
        <w:t xml:space="preserve">Generated from SBA </w:t>
      </w:r>
      <w:proofErr w:type="gramStart"/>
      <w:r>
        <w:rPr>
          <w:color w:val="AAAAAA"/>
          <w:sz w:val="20"/>
          <w:szCs w:val="20"/>
        </w:rPr>
        <w:t>Dataset  |</w:t>
      </w:r>
      <w:proofErr w:type="gramEnd"/>
      <w:r>
        <w:rPr>
          <w:color w:val="AAAAAA"/>
          <w:sz w:val="20"/>
          <w:szCs w:val="20"/>
        </w:rPr>
        <w:t xml:space="preserve">  Power BI </w:t>
      </w:r>
      <w:proofErr w:type="gramStart"/>
      <w:r>
        <w:rPr>
          <w:color w:val="AAAAAA"/>
          <w:sz w:val="20"/>
          <w:szCs w:val="20"/>
        </w:rPr>
        <w:t>Dashboard  |</w:t>
      </w:r>
      <w:proofErr w:type="gramEnd"/>
      <w:r>
        <w:rPr>
          <w:color w:val="AAAAAA"/>
          <w:sz w:val="20"/>
          <w:szCs w:val="20"/>
        </w:rPr>
        <w:t xml:space="preserve">  February 2026</w:t>
      </w:r>
    </w:p>
    <w:sectPr w:rsidR="0084370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E67E8D"/>
    <w:multiLevelType w:val="hybridMultilevel"/>
    <w:tmpl w:val="F8A8FD16"/>
    <w:lvl w:ilvl="0" w:tplc="D95075AE">
      <w:start w:val="1"/>
      <w:numFmt w:val="bullet"/>
      <w:lvlText w:val="●"/>
      <w:lvlJc w:val="left"/>
      <w:pPr>
        <w:ind w:left="720" w:hanging="360"/>
      </w:pPr>
    </w:lvl>
    <w:lvl w:ilvl="1" w:tplc="084485D0">
      <w:start w:val="1"/>
      <w:numFmt w:val="bullet"/>
      <w:lvlText w:val="○"/>
      <w:lvlJc w:val="left"/>
      <w:pPr>
        <w:ind w:left="1440" w:hanging="360"/>
      </w:pPr>
    </w:lvl>
    <w:lvl w:ilvl="2" w:tplc="1138E46C">
      <w:start w:val="1"/>
      <w:numFmt w:val="bullet"/>
      <w:lvlText w:val="■"/>
      <w:lvlJc w:val="left"/>
      <w:pPr>
        <w:ind w:left="2160" w:hanging="360"/>
      </w:pPr>
    </w:lvl>
    <w:lvl w:ilvl="3" w:tplc="8542964A">
      <w:start w:val="1"/>
      <w:numFmt w:val="bullet"/>
      <w:lvlText w:val="●"/>
      <w:lvlJc w:val="left"/>
      <w:pPr>
        <w:ind w:left="2880" w:hanging="360"/>
      </w:pPr>
    </w:lvl>
    <w:lvl w:ilvl="4" w:tplc="1174EF3C">
      <w:start w:val="1"/>
      <w:numFmt w:val="bullet"/>
      <w:lvlText w:val="○"/>
      <w:lvlJc w:val="left"/>
      <w:pPr>
        <w:ind w:left="3600" w:hanging="360"/>
      </w:pPr>
    </w:lvl>
    <w:lvl w:ilvl="5" w:tplc="922AD876">
      <w:start w:val="1"/>
      <w:numFmt w:val="bullet"/>
      <w:lvlText w:val="■"/>
      <w:lvlJc w:val="left"/>
      <w:pPr>
        <w:ind w:left="4320" w:hanging="360"/>
      </w:pPr>
    </w:lvl>
    <w:lvl w:ilvl="6" w:tplc="DC60F04A">
      <w:start w:val="1"/>
      <w:numFmt w:val="bullet"/>
      <w:lvlText w:val="●"/>
      <w:lvlJc w:val="left"/>
      <w:pPr>
        <w:ind w:left="5040" w:hanging="360"/>
      </w:pPr>
    </w:lvl>
    <w:lvl w:ilvl="7" w:tplc="06843F0E">
      <w:start w:val="1"/>
      <w:numFmt w:val="bullet"/>
      <w:lvlText w:val="●"/>
      <w:lvlJc w:val="left"/>
      <w:pPr>
        <w:ind w:left="5760" w:hanging="360"/>
      </w:pPr>
    </w:lvl>
    <w:lvl w:ilvl="8" w:tplc="46742F62">
      <w:start w:val="1"/>
      <w:numFmt w:val="bullet"/>
      <w:lvlText w:val="●"/>
      <w:lvlJc w:val="left"/>
      <w:pPr>
        <w:ind w:left="6480" w:hanging="360"/>
      </w:pPr>
    </w:lvl>
  </w:abstractNum>
  <w:abstractNum w:abstractNumId="1" w15:restartNumberingAfterBreak="0">
    <w:nsid w:val="5A011E72"/>
    <w:multiLevelType w:val="hybridMultilevel"/>
    <w:tmpl w:val="4EDCD36E"/>
    <w:lvl w:ilvl="0" w:tplc="B56A27C6">
      <w:start w:val="1"/>
      <w:numFmt w:val="bullet"/>
      <w:lvlText w:val="•"/>
      <w:lvlJc w:val="left"/>
      <w:pPr>
        <w:ind w:left="720" w:hanging="360"/>
      </w:pPr>
    </w:lvl>
    <w:lvl w:ilvl="1" w:tplc="58E484E6">
      <w:numFmt w:val="decimal"/>
      <w:lvlText w:val=""/>
      <w:lvlJc w:val="left"/>
    </w:lvl>
    <w:lvl w:ilvl="2" w:tplc="F4D2DF90">
      <w:numFmt w:val="decimal"/>
      <w:lvlText w:val=""/>
      <w:lvlJc w:val="left"/>
    </w:lvl>
    <w:lvl w:ilvl="3" w:tplc="5AB89D64">
      <w:numFmt w:val="decimal"/>
      <w:lvlText w:val=""/>
      <w:lvlJc w:val="left"/>
    </w:lvl>
    <w:lvl w:ilvl="4" w:tplc="88FC97B8">
      <w:numFmt w:val="decimal"/>
      <w:lvlText w:val=""/>
      <w:lvlJc w:val="left"/>
    </w:lvl>
    <w:lvl w:ilvl="5" w:tplc="E28A51F0">
      <w:numFmt w:val="decimal"/>
      <w:lvlText w:val=""/>
      <w:lvlJc w:val="left"/>
    </w:lvl>
    <w:lvl w:ilvl="6" w:tplc="F4D65FDE">
      <w:numFmt w:val="decimal"/>
      <w:lvlText w:val=""/>
      <w:lvlJc w:val="left"/>
    </w:lvl>
    <w:lvl w:ilvl="7" w:tplc="2196CE36">
      <w:numFmt w:val="decimal"/>
      <w:lvlText w:val=""/>
      <w:lvlJc w:val="left"/>
    </w:lvl>
    <w:lvl w:ilvl="8" w:tplc="82BCC81E">
      <w:numFmt w:val="decimal"/>
      <w:lvlText w:val=""/>
      <w:lvlJc w:val="left"/>
    </w:lvl>
  </w:abstractNum>
  <w:num w:numId="1" w16cid:durableId="1040741170">
    <w:abstractNumId w:val="0"/>
    <w:lvlOverride w:ilvl="0">
      <w:startOverride w:val="1"/>
    </w:lvlOverride>
  </w:num>
  <w:num w:numId="2" w16cid:durableId="17178559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70A"/>
    <w:rsid w:val="00185C36"/>
    <w:rsid w:val="0084370A"/>
    <w:rsid w:val="00861141"/>
    <w:rsid w:val="00A830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C9E63"/>
  <w15:docId w15:val="{E3B4C9FB-99BE-4851-93C1-C3A995D1E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4E79"/>
      <w:sz w:val="36"/>
      <w:szCs w:val="36"/>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2100</Words>
  <Characters>11970</Characters>
  <Application>Microsoft Office Word</Application>
  <DocSecurity>0</DocSecurity>
  <Lines>99</Lines>
  <Paragraphs>28</Paragraphs>
  <ScaleCrop>false</ScaleCrop>
  <Company/>
  <LinksUpToDate>false</LinksUpToDate>
  <CharactersWithSpaces>14042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Rafael Estrada</cp:lastModifiedBy>
  <cp:revision>2</cp:revision>
  <cp:lastPrinted>2026-02-24T23:32:00Z</cp:lastPrinted>
  <dcterms:created xsi:type="dcterms:W3CDTF">2026-02-25T00:14:00Z</dcterms:created>
  <dcterms:modified xsi:type="dcterms:W3CDTF">2026-02-25T00:14:00Z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0ff63d16-466a-441b-88e5-44532f6bc0a2</vt:lpwstr>
  </property>
</Properties>
</file>