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F51728" w:rsidRPr="005B7D5A">
        <w:rPr>
          <w:rFonts w:ascii="Calibri Light" w:hAnsi="Calibri Light" w:cs="Arial"/>
          <w:b/>
          <w:lang w:val="es-CO"/>
        </w:rPr>
        <w:t xml:space="preserve">EL SERVICIO DE </w:t>
      </w:r>
      <w:r w:rsidR="00F51728">
        <w:rPr>
          <w:rFonts w:ascii="Calibri Light" w:hAnsi="Calibri Light" w:cs="Arial"/>
          <w:b/>
          <w:lang w:val="es-CO"/>
        </w:rPr>
        <w:t xml:space="preserve">SOPORTE EN </w:t>
      </w:r>
      <w:r w:rsidR="00F51728" w:rsidRPr="005B7D5A">
        <w:rPr>
          <w:rFonts w:ascii="Calibri Light" w:hAnsi="Calibri Light" w:cs="Arial"/>
          <w:b/>
          <w:lang w:val="es-CO"/>
        </w:rPr>
        <w:t xml:space="preserve">TECNOLOGIAS DE LA </w:t>
      </w:r>
      <w:r w:rsidR="00F51728">
        <w:rPr>
          <w:rFonts w:ascii="Calibri Light" w:hAnsi="Calibri Light" w:cs="Arial"/>
          <w:b/>
          <w:lang w:val="es-CO"/>
        </w:rPr>
        <w:t>INFORM</w:t>
      </w:r>
      <w:r w:rsidR="004E6362">
        <w:rPr>
          <w:rFonts w:ascii="Calibri Light" w:hAnsi="Calibri Light" w:cs="Arial"/>
          <w:b/>
          <w:lang w:val="es-CO"/>
        </w:rPr>
        <w:t>ACIÓN Y LA COMUNICACIÓN PARA LA</w:t>
      </w:r>
      <w:r w:rsidR="00F51728">
        <w:rPr>
          <w:rFonts w:ascii="Calibri Light" w:hAnsi="Calibri Light" w:cs="Arial"/>
          <w:b/>
          <w:lang w:val="es-CO"/>
        </w:rPr>
        <w:t xml:space="preserve"> </w:t>
      </w:r>
      <w:r w:rsidR="00F51728" w:rsidRPr="005B7D5A">
        <w:rPr>
          <w:rFonts w:ascii="Calibri Light" w:hAnsi="Calibri Light" w:cs="Arial"/>
          <w:b/>
          <w:lang w:val="es-CO"/>
        </w:rPr>
        <w:t>OFICINA DEL NRC</w:t>
      </w:r>
      <w:r w:rsidR="00F51728">
        <w:rPr>
          <w:rFonts w:ascii="Calibri Light" w:hAnsi="Calibri Light" w:cs="Arial"/>
          <w:b/>
          <w:lang w:val="es-CO"/>
        </w:rPr>
        <w:t xml:space="preserve"> </w:t>
      </w:r>
      <w:r w:rsidR="009F5F97">
        <w:rPr>
          <w:rFonts w:ascii="Calibri Light" w:hAnsi="Calibri Light" w:cs="Arial"/>
          <w:b/>
          <w:sz w:val="20"/>
          <w:lang w:val="es-CO"/>
        </w:rPr>
        <w:t>CÚCUTA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F51728" w:rsidRPr="005B7D5A" w:rsidRDefault="00F51728" w:rsidP="00F51728">
      <w:pPr>
        <w:pStyle w:val="Sinespaciado"/>
        <w:ind w:left="720"/>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F51728" w:rsidRPr="005B7D5A" w:rsidRDefault="00F51728" w:rsidP="00F51728">
      <w:pPr>
        <w:pStyle w:val="Sinespaciado"/>
        <w:jc w:val="both"/>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F51728" w:rsidRPr="005B7D5A" w:rsidRDefault="00F51728" w:rsidP="00F51728">
      <w:pPr>
        <w:pStyle w:val="Sinespaciado"/>
        <w:ind w:left="720"/>
        <w:jc w:val="both"/>
        <w:rPr>
          <w:rFonts w:ascii="Calibri Light" w:hAnsi="Calibri Light"/>
          <w:b/>
          <w:sz w:val="24"/>
          <w:lang w:val="es-CO"/>
        </w:rPr>
      </w:pPr>
    </w:p>
    <w:p w:rsidR="00F51728" w:rsidRDefault="00F51728" w:rsidP="00F5172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F51728" w:rsidRDefault="00F51728" w:rsidP="00F51728">
      <w:pPr>
        <w:pStyle w:val="Prrafodelista"/>
        <w:rPr>
          <w:rFonts w:ascii="Calibri Light" w:hAnsi="Calibri Light"/>
          <w:b/>
          <w:sz w:val="24"/>
          <w:lang w:val="es-CO"/>
        </w:rPr>
      </w:pPr>
    </w:p>
    <w:p w:rsidR="00F51728" w:rsidRDefault="00F51728" w:rsidP="00F51728">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F51728" w:rsidRDefault="00F51728" w:rsidP="00F51728">
      <w:pPr>
        <w:pStyle w:val="Prrafodelista"/>
        <w:rPr>
          <w:rFonts w:ascii="Calibri Light" w:hAnsi="Calibri Light"/>
          <w:b/>
          <w:sz w:val="24"/>
          <w:lang w:val="es-CO"/>
        </w:rPr>
      </w:pPr>
    </w:p>
    <w:p w:rsidR="00F51728" w:rsidRPr="005B7D5A" w:rsidRDefault="00F51728" w:rsidP="00F51728">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spacing w:after="0" w:line="240" w:lineRule="auto"/>
        <w:ind w:left="1080"/>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3A1693"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3A1693"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3A1693"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3A1693"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3A1693"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9F5F97"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3A1693" w:rsidP="009F5F97">
            <w:pPr>
              <w:spacing w:after="0" w:line="240" w:lineRule="auto"/>
              <w:jc w:val="both"/>
              <w:rPr>
                <w:rFonts w:ascii="Calibri Light" w:eastAsia="Times New Roman" w:hAnsi="Calibri Light"/>
                <w:color w:val="262626"/>
                <w:sz w:val="16"/>
                <w:szCs w:val="16"/>
                <w:lang w:val="es-CO" w:eastAsia="es-CO"/>
              </w:rPr>
            </w:pPr>
            <w:r w:rsidRPr="003A1693">
              <w:rPr>
                <w:rFonts w:ascii="Calibri Light" w:eastAsia="Times New Roman" w:hAnsi="Calibri Light"/>
                <w:color w:val="262626"/>
                <w:sz w:val="16"/>
                <w:szCs w:val="16"/>
                <w:lang w:val="es-CO" w:eastAsia="es-CO"/>
              </w:rPr>
              <w:t>Soporte ICT- Oficina NRC Cúcuta - Avenida 11 A E No. 4 - 55 Y 4 - 61 Quinta Oriental</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F51728">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F51728">
              <w:rPr>
                <w:rFonts w:ascii="Calibri Light" w:eastAsia="Times New Roman" w:hAnsi="Calibri Light"/>
                <w:color w:val="262626"/>
                <w:sz w:val="16"/>
                <w:szCs w:val="16"/>
                <w:lang w:val="es-CO" w:eastAsia="es-CO"/>
              </w:rPr>
              <w:t xml:space="preserve">anexo 1.1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9F5F97">
            <w:pPr>
              <w:spacing w:after="0" w:line="240" w:lineRule="auto"/>
              <w:jc w:val="center"/>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3A1693"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FB06BB" w:rsidP="00F51728">
            <w:pPr>
              <w:spacing w:after="0" w:line="240" w:lineRule="auto"/>
              <w:jc w:val="center"/>
              <w:rPr>
                <w:rFonts w:ascii="Calibri Light" w:eastAsia="Times New Roman" w:hAnsi="Calibri Light"/>
                <w:b/>
                <w:bCs/>
                <w:color w:val="262626"/>
                <w:sz w:val="16"/>
                <w:szCs w:val="16"/>
                <w:lang w:val="es-CO" w:eastAsia="es-CO"/>
              </w:rPr>
            </w:pPr>
            <w:r w:rsidRPr="00170034">
              <w:rPr>
                <w:rFonts w:ascii="Calibri Light" w:eastAsia="Times New Roman" w:hAnsi="Calibri Light"/>
                <w:b/>
                <w:bCs/>
                <w:color w:val="262626"/>
                <w:sz w:val="16"/>
                <w:szCs w:val="16"/>
                <w:lang w:val="es-CO" w:eastAsia="es-CO"/>
              </w:rPr>
              <w:t>ITBCOL002</w:t>
            </w:r>
            <w:r w:rsidR="00F51728">
              <w:rPr>
                <w:rFonts w:ascii="Calibri Light" w:eastAsia="Times New Roman" w:hAnsi="Calibri Light"/>
                <w:b/>
                <w:bCs/>
                <w:color w:val="262626"/>
                <w:sz w:val="16"/>
                <w:szCs w:val="16"/>
                <w:lang w:val="es-CO" w:eastAsia="es-CO"/>
              </w:rPr>
              <w:t>8</w:t>
            </w:r>
            <w:r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00F51728" w:rsidRPr="00F51728">
              <w:rPr>
                <w:rFonts w:ascii="Calibri Light" w:eastAsia="Times New Roman" w:hAnsi="Calibri Light"/>
                <w:b/>
                <w:bCs/>
                <w:color w:val="262626"/>
                <w:sz w:val="16"/>
                <w:szCs w:val="16"/>
                <w:lang w:val="es-CO" w:eastAsia="es-CO"/>
              </w:rPr>
              <w:t>EL SERVICIO DE SOPORTE EN TECNOLOGIAS DE LA INFOR</w:t>
            </w:r>
            <w:r w:rsidR="004E6362">
              <w:rPr>
                <w:rFonts w:ascii="Calibri Light" w:eastAsia="Times New Roman" w:hAnsi="Calibri Light"/>
                <w:b/>
                <w:bCs/>
                <w:color w:val="262626"/>
                <w:sz w:val="16"/>
                <w:szCs w:val="16"/>
                <w:lang w:val="es-CO" w:eastAsia="es-CO"/>
              </w:rPr>
              <w:t>MACIÓN Y LA COMUNICACIÓN PARA LA OFICINA</w:t>
            </w:r>
            <w:r w:rsidR="00F51728" w:rsidRPr="00F51728">
              <w:rPr>
                <w:rFonts w:ascii="Calibri Light" w:eastAsia="Times New Roman" w:hAnsi="Calibri Light"/>
                <w:b/>
                <w:bCs/>
                <w:color w:val="262626"/>
                <w:sz w:val="16"/>
                <w:szCs w:val="16"/>
                <w:lang w:val="es-CO" w:eastAsia="es-CO"/>
              </w:rPr>
              <w:t xml:space="preserve"> DEL NRC </w:t>
            </w:r>
            <w:r w:rsidR="009F5F97">
              <w:rPr>
                <w:rFonts w:ascii="Calibri Light" w:eastAsia="Times New Roman" w:hAnsi="Calibri Light"/>
                <w:b/>
                <w:bCs/>
                <w:color w:val="262626"/>
                <w:sz w:val="16"/>
                <w:szCs w:val="16"/>
                <w:lang w:val="es-CO" w:eastAsia="es-CO"/>
              </w:rPr>
              <w:t>CÚCUTA.</w:t>
            </w:r>
          </w:p>
        </w:tc>
      </w:tr>
      <w:tr w:rsidR="00B01E43" w:rsidRPr="003A1693"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3A1693"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3A1693"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3A1693"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A1693"/>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E6362"/>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5F97"/>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1728"/>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C9829-7392-4830-BB3E-20E776E4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1678</Words>
  <Characters>9633</Characters>
  <Application>Microsoft Office Word</Application>
  <DocSecurity>0</DocSecurity>
  <Lines>291</Lines>
  <Paragraphs>226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11085</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16</cp:revision>
  <cp:lastPrinted>2014-10-30T13:57:00Z</cp:lastPrinted>
  <dcterms:created xsi:type="dcterms:W3CDTF">2014-10-30T13:58:00Z</dcterms:created>
  <dcterms:modified xsi:type="dcterms:W3CDTF">2016-04-25T14:46:00Z</dcterms:modified>
</cp:coreProperties>
</file>