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1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Validación del índice θ(Fz)/α(Pz) como indicador de carga cognitiva con EEG AURA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Reporte de análisis corregido — cohorte piloto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Rafael Hernández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18 de abril de 2026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Resumen ejecutivo</w:t>
      </w:r>
    </w:p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Este reporte presenta la re-validación del índice θ(Fz)/α(Pz) como indicador de carga cognitiva, usando el dispositivo AURA (8 canales, SR nominal 50 Hz) sobre una cohorte piloto de 17 sujetos.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Hallazgos principales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Calidad de datos: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9 de 17 sujetos fueron excluidos — 8 por frecuencia de muestreo inadecuada (~2.6 Hz, bajo el criterio de Nyquist para las bandas θ/α) y 1 por artefactos masivos (&gt;75%). N efectivo = 8 sujetos.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Corrección de pipeline: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Se identificó y corrigió un bug en el cálculo de bandpower en step4 (SR hardcoded a 250 Hz). Con el SR real estimado desde timestamps, varios resultados previos resultaron artefactuales.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Validación fisiológica (sanity checks):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El pipeline detecta de forma robusta el efecto Berger (α cerrados &gt; α abiertos, p&lt;0.001) y la diferencia reposo vs tarea (p&lt;0.001). Esto valida la cadena de procesamiento.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Análisis single-channel (a priori, Fz / Pz):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No significativo. Modelo mixto β = +0.045 log-unidades, p = 0.322. Wilcoxon pareado p = 1.00.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Análisis regional (post-hoc, F3+Fz+F4 / P3+Pz+P4):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Significativo en modelo mixto: β = +0.111 log-unidades (≈ +12% en el ratio), z = 3.25, p = 0.001. Wilcoxon pareado a nivel sujeto: p = 0.47 (no significativo).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Interpretación: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Evidencia preliminar, de magnitud pequeña, consistente con la hipótesis cuando se usa una definición regional del índice. Requiere replicación con una muestra mayor y preregistro.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Introducción y objetivo</w:t>
      </w:r>
    </w:p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índice θ(Fz)/α(Pz) ha sido propuesto en la literatura de EEG como marcador de carga cognitiva, basado en la observación de que la demanda mental aumenta la potencia de theta frontal y disminuye la potencia de alfa parietal. El presente estudio evalúa dicho índice usando el dispositivo AURA (8 canales: Fp1, Fp2, F3, Fz, F4, P3, Pz, P4) con una tasa de muestreo nominal de 50 Hz.</w:t>
      </w:r>
    </w:p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Hipótesis principal (H1): el ratio θ(Fz) / α(Pz) es mayor en tareas de alta carga cognitiva que en tareas de baja carga.</w:t>
      </w:r>
    </w:p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diseño experimental incluye cuatro fases por sujeto: (i) baseline_eyes_open, (ii) baseline_eyes_closed, (iii) low_cognitive_load, (iv) high_cognitive_load, de aproximadamente 90 s, 90 s, 180 s, 180 s respectivamente.</w:t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Métodos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2.1 Sujetos y datos</w:t>
      </w:r>
    </w:p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 recolectaron 17 sesiones EEG del dispositivo AURA. Los datos se guardaron como archivos CSV con 8 canales, timestamp, y etiqueta de fase por muestra. La frecuencia de muestreo real se estimó a partir de la mediana del intervalo entre timestamps.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2.2 Pipeline de procesamiento</w:t>
      </w:r>
    </w:p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Para cada sujeto y cada fase se aplicó la siguiente cadena: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Filtro notch a 60 Hz (IIR, Q=30) para eliminar ruido de línea eléctrica.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Bandpass Butterworth de orden 4, 1–40 Hz.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Common Average Reference (CAR) sobre los 8 canales.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Detección de artefactos por canal: unión de (|z-score| &gt; 3), (IQR x 3), y amplitud &gt; 200 µV.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Interpolación lineal de las muestras marcadas como artefacto.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Cálculo de potencia por bandas con Welch (ventana Hann, 2 s, 50 % solape, resolución 0.5 Hz).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Ventaneo deslizante de 2 s (solape 50 %) para obtener ratios ventana-a-ventana.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2.3 Bandas y canales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Theta: 4–7 Hz.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Alpha: 8–12 Hz.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Índice single-channel (a priori): θ en Fz, α en Pz.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Índice regional (análisis secundario post-hoc): promedio de log-potencia frontal (F3, Fz, F4) para θ y parietal (P3, Pz, P4) para α.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2.4 Transformación y normalización</w:t>
      </w:r>
    </w:p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 calculó log-ratio = log(θ) − log(α) a nivel ventana. Para mitigar la alta varianza inter-sujeto, se aplicó normalización intra-sujeto restando la media del log-ratio de baseline_eyes_open de cada sujeto.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2.5 Estadística</w:t>
      </w:r>
    </w:p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 emplearon dos enfoques complementarios: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Subject-level (a priori):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media por sujeto y fase, contraste pareado High vs Low con Wilcoxon signed-rank, tamaño de efecto Cohen's dz.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Window-level (análisis de potencia):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modelo mixto de efectos aleatorios (statsmodels MixedLM, REML), con fase como factor fijo (referencia: low_cognitive_load) e intercepto aleatorio por sujeto.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2.6 Criterios de exclusión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Sesiones con SR &lt; 45 Hz se excluyeron (bajo Nyquist para capturar alfa 8–12 Hz).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Fases con &gt;30 % de muestras marcadas como artefacto en Fz o Pz se excluyeron.</w:t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Calidad de datos</w:t>
      </w:r>
    </w:p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 los 17 sujetos, 8 presentaron frecuencia de muestreo ~2.6 Hz (genuinamente subsampleados en el CSV, ~1,500 filas para ~600 s de grabación), lo cual imposibilita la detección de θ y α por límite de Nyquist (1.3 Hz). Un sujeto adicional (Rafael) fue registrado a 20 Hz pero con 75–82 % de muestras marcadas como artefacto en Fz/Pz, por lo que también se excluyó. Los 8 sujetos con datos utilizables fueron: 1, 2, 3, 4, clau2, heberto, jonhy, michelle.</w:t>
      </w:r>
    </w:p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sujeto (heberto) tuvo artefactos moderados en baselines (Fz ≈ 18 %, Pz ≈ 33 %) por lo que sus baselines se excluyeron del análisis normalizado. El sujeto 2 perdió la fase high_cognitive_load (Pz art. 65 %).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3.1 Bug de pipeline corregido</w:t>
      </w:r>
    </w:p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script step4 original asumía SR = 250 Hz en el cálculo de bandpower con Welch. Al corregirlo para usar el SR real estimado desde timestamps, varios resultados previos cambiaron dramáticamente (por ejemplo, baseline_eyes_closed de michelle: ratio pasó de 0.74 a 0.055; el efecto Berger pasó de ausente a muy marcado). El análisis principal de este reporte usa la versión corregida.</w:t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Validación del pipeline (sanity checks)</w:t>
      </w:r>
    </w:p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Antes del contraste principal se verificaron dos fenómenos electrofisiológicos bien establecidos: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Efecto Berger (α eyes-closed &gt; α eyes-open)</w:t>
      </w:r>
    </w:p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 el modelo mixto regional, baseline_eyes_closed mostró β = −0.770 log-unidades vs low_cognitive_load (z = −19.3, p &lt; 0.001), reflejando el incremento masivo de alfa parietal al cerrar los ojos. A nivel sujeto, 7 de 8 sujetos muestran α_closed &gt; α_open (excepción: sujeto 3).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Reposo vs tarea</w:t>
      </w:r>
    </w:p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baseline_eyes_open mostró un ratio significativamente mayor que las tareas cognitivas (β = +0.260, z = 6.50, p &lt; 0.001), consistente con la reducción de alfa parietal durante la demanda cognitiva.</w:t>
      </w:r>
    </w:p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Ambos resultados, con efectos grandes y p &lt; 0.001, confirman que el pipeline captura correctamente la fisiología del EEG.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Resultados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5.1 Análisis principal — single-channel (Fz / Pz)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Subject-level (Wilcoxon pareado, N=7 pares completos H/L)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1400"/>
        <w:gridCol w:w="1400"/>
        <w:gridCol w:w="140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Δ media (H−L)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Mediana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dz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ratio crudo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−0.94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+0.11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−0.48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0.94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log(ratio)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+0.03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−0.03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+0.05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log(ratio) normalizado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−0.04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−0.05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−0.07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0.84</w:t>
            </w:r>
          </w:p>
        </w:tc>
      </w:tr>
    </w:tbl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Ningún contraste a nivel sujeto resulta significativo. El promedio por sujeto del contraste H vs L es prácticamente cero tras log-transformación.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Window-level (Modelo mixto, N=3,927 ventanas, 8 sujetos)</w:t>
      </w:r>
    </w:p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Formulación: log_ratio ~ phase + (1 | subject), REML.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500"/>
        <w:gridCol w:w="1500"/>
      </w:tblGrid>
      <w:tr>
        <w:trPr>
          <w:tblHeader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Contraste (ref = low)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β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high_cognitive_load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+0.045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0.322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baseline_eyes_open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+0.313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5.59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&lt;0.001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baseline_eyes_closed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−0.740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−13.21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&lt;0.001</w:t>
            </w:r>
          </w:p>
        </w:tc>
      </w:tr>
    </w:tbl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modelo detecta con alta potencia los efectos de baseline (Berger y reposo &gt; tarea) pero no el contraste high vs low.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2047875"/>
            <wp:effectExtent t="0" r="0" b="0" l="0"/>
            <wp:docPr id="1" name="_figure_comparison.png" descr="_figure_comparison.png" title="_figure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Figura 1. Análisis single-channel (Fz/Pz). Panel izquierdo: ratio crudo. Panel central: log-ratio. Panel derecho: log-ratio normalizado contra baseline_eyes_open. Barras = media ± SEM; líneas grises = sujetos individuales.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 Análisis secundario — regional (F3+Fz+F4 / P3+Pz+P4)</w:t>
      </w:r>
    </w:p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Motivación biológica: el theta midline frontal tipicamente maximiza en FCz y la referencia CAR con 8 canales es débil, por lo que el promedio regional mejora la relación señal-ruido. La potencia regional se calculó como la media de log-potencias por canal dentro de cada región.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Subject-level (Wilcoxon pareado, N=7 pares completos H/L)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300"/>
        <w:gridCol w:w="1300"/>
        <w:gridCol w:w="13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Δ media (H−L)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Mediana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dz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ratio crudo (regional)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+0.22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−0.03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+0.18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log(ratio) (regional)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+0.12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+0.08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+0.39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log(ratio) normalizado (regional)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+0.12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+0.08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+0.39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0.47</w:t>
            </w:r>
          </w:p>
        </w:tc>
      </w:tr>
    </w:tbl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Subjet-level tampoco alcanza significancia (N=7), pero la dirección se invierte al positivo y el tamaño de efecto aumenta 7× (dz=0.39 vs 0.05 single-channel).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Window-level (Modelo mixto, N=4,105 ventanas, 8 sujetos)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500"/>
        <w:gridCol w:w="1500"/>
      </w:tblGrid>
      <w:tr>
        <w:trPr>
          <w:tblHeader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Contraste (ref = low)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β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high_cognitive_load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+0.111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0.001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baseline_eyes_open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+0.260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6.50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&lt;0.001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baseline_eyes_closed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−0.770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−19.29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&lt;0.001</w:t>
            </w:r>
          </w:p>
        </w:tc>
      </w:tr>
    </w:tbl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contraste high vs low alcanza significancia estadística: β = +0.111 log-unidades, equivalente a un incremento de aproximadamente 12 % en el ratio. El intervalo de confianza del 95 % no incluye cero ([+0.044, +0.179]).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2047875"/>
            <wp:effectExtent t="0" r="0" b="0" l="0"/>
            <wp:docPr id="1" name="_figure_comparison.png" descr="_figure_comparison.png" title="_figure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Figura 2. Análisis regional (F3+Fz+F4 / P3+Pz+P4). Mismo formato que Figura 1.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_figure_window_violin.png" descr="_figure_window_violin.png" title="_figure_window_viol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Figura 3. Distribución window-level del log-ratio regional normalizado (pooled, todas las ventanas de los 8 sujetos). Las distribuciones de low y high muestran un desplazamiento pequeño pero consistente a favor de high.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5.3 Heterogeneidad inter-sujeto</w:t>
      </w:r>
    </w:p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nivel sujeto, la dirección del contraste H−L varía considerablemente en la versión regional: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900"/>
        <w:gridCol w:w="1600"/>
        <w:gridCol w:w="150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Sujeto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log-ratio (L)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log-ratio (H)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Δ (H−L)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+0.34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+0.25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−0.09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−0.07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+0.36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+0.43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+1.48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+1.21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−0.27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−0.73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−0.63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+0.09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heberto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−0.53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−0.55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−0.02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jonhy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+0.14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+0.76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+0.62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michelle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−1.86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−1.79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+0.07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Cuatro sujetos van en la dirección esperada, dos en contra y uno con magnitud despreciable. La consistencia poblacional del efecto depende del peso de los sujetos con mayor magnitud positiva (notablemente jonhy y 3).</w:t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Discusión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6.1 Interpretación del resultado principal</w:t>
      </w:r>
    </w:p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versión regional del índice θ/α captura una señal pequeña pero estadísticamente detectable en la dirección hipotética (alta &gt; baja carga). La magnitud (+0.11 log-unidades) es modesta en comparación con efectos tipicamente reportados en la literatura de workload EEG (0.3–1.0 log-unidades) y se detecta sólo cuando se explota toda la información a nivel ventana (n ≈ 4,100), no cuando se reduce a promedios por sujeto (N=7).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 Análisis exploratorio y riesgo de inflación de error tipo I</w:t>
      </w:r>
    </w:p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Debe reconocerse explícitamente que el análisis regional fue post-hoc: se exploró después de que el análisis a priori single-channel no fuera significativo. Esto incrementa el riesgo de falso positivo y obliga a interpretar el hallazgo como preliminar. La replicación en una muestra independiente con pre-registro del análisis regional es necesaria para considerarlo validado.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6.3 Robustez del pipeline</w:t>
      </w:r>
    </w:p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Independientemente del contraste high vs low, los sanity checks (Berger y reposo vs tarea) se cumplen con p &lt; 0.001 y efectos grandes. Esto confirma que la cadena de procesamiento y las decisiones espectrales son técnicamente correctas. El fracaso del contraste principal a nivel sujeto no es atribuible a un pipeline defectuoso, sino a la combinación de tamaño de muestra pequeño, alta heterogeneidad inter-sujeto y posiblemente un diferencial de carga cognitiva modesto entre las tareas low y high.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6.4 Por qué la versión regional mejora sobre single-channel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El theta midline frontal típicamente se distribuye alrededor de FCz; con CAR de 8 canales y Fz solo, parte de la señal queda atenuada por la referencia.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El alfa parietal en Pz puede contener contaminación local (mu, beta); el promedio P3+Pz+P4 atenúa esas fuentes puntuales.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La media de log-potencias regionales es una estimación de menor varianza que una única medida puntual, lo que mejora la potencia estadística sin cambiar el modelo biológico subyacente.</w:t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Limitaciones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Tamaño muestral pequeño: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 = 8 sujetos utilizables de 17 reclutados. La potencia estadística de pruebas a nivel sujeto es insuficiente para efectos de magnitud modesta.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Calidad de muestreo heterogénea: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casi la mitad de la cohorte fue inutilizable por SR inadecuada (~2.6 Hz). Esto es un problema metodológico severo que requiere investigar la pipeline de captura del dispositivo AURA.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Análisis exploratorio: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el resultado positivo regional es post-hoc. Sin pre-registro, la p-value nominal subestima el riesgo de falso positivo.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Heterogeneidad inter-sujeto: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dos de siete sujetos muestran la dirección opuesta a la hipótesis. La fuente de esta variabilidad (anatomía, contacto de electrodos, estrategias cognitivas) no se pudo investigar con estos datos.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Contraste de tareas: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el diferencial real de demanda cognitiva entre low y high no se cuantificó con una medida independiente (p. ej., NASA-TLX no disponible o no aplicado sistemáticamente).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Dispositivo de bajo número de canales: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con solo 8 canales la referencia CAR es débil y no es posible aplicar técnicas como ICA robusta o análisis de fuentes.</w:t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Conclusiones</w:t>
      </w:r>
    </w:p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 esta cohorte piloto de 8 sujetos, el índice θ(Fz)/α(Pz) en su versión single-channel a priori no diferencia estadísticamente tareas de alta y baja carga cognitiva. El análisis exploratorio regional (promedio sobre F3+Fz+F4 y P3+Pz+P4), con log-transformación, normalización intra-sujeto y modelo mixto window-level, detecta un efecto en la dirección esperada (β = +0.11 log-unidades, p = 0.001), pero de magnitud modesta y sin replicar a nivel sujeto (Wilcoxon p = 0.47).</w:t>
      </w:r>
    </w:p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Los sanity checks electrofisiológicos (Berger, reposo vs tarea) se cumplen robustamente, validando el pipeline. Los hallazgos positivos deben interpretarse como preliminares y requieren replicación en una muestra mayor con pre-registro del análisis regional y estricto control de calidad de muestreo (SR ≥ 50 Hz).</w:t>
      </w:r>
    </w:p>
    <w:p>
      <w:pPr>
        <w:spacing w:after="140" w:before="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 recomienda: (i) investigar la raíz del problema de SR en el dispositivo antes de continuar con recolección; (ii) pre-registrar el análisis regional como confirmatorio en la siguiente fase; (iii) incluir una medida independiente de carga cognitiva (p.ej. NASA-TLX) para cuantificar el diferencial real entre tareas; (iv) aumentar el N a ≥ 20 sujetos para tener potencia adecuada para efectos de magnitud β ≈ 0.1–0.2.</w:t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Apéndice A. Figuras complementarias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238500"/>
            <wp:effectExtent t="0" r="0" b="0" l="0"/>
            <wp:docPr id="1" name="_per_subject_ratios.png" descr="_per_subject_ratios.png" title="_per_subject_rati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Figura A1. Ratio θ(Fz)/α(Pz) promedio por sujeto y fase (pipeline single-channel), ordenado por SR descendente. Solo los primeros 8 sujetos son utilizables.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2857500"/>
            <wp:effectExtent t="0" r="0" b="0" l="0"/>
            <wp:docPr id="1" name="_artifacts_per_subject.png" descr="_artifacts_per_subject.png" title="_artifacts_per_subj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Figura A2. Porcentaje de muestras marcadas como artefacto en Fz y Pz por sujeto y fase.</w:t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Apéndice B. Scripts utilizados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analysis/pipeline/step4_cognitive_load_cleaned_fixed.py — pipeline corregido (SR real desde timestamps).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analysis/scripts/deep_dive_all.py — deep-dive per-sujeto del pipeline (17 sujetos, figuras y resúmenes).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analysis/scripts/advanced_analysis_log_mixedfx.py — análisis avanzado single-channel (log + normalización + MLM).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analysis/scripts/advanced_analysis_regional.py — análisis avanzado regional (F3+Fz+F4 / P3+Pz+P4).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output/deep_dive_all/ — salidas por sujeto y master summary.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output/advanced_log_mixed/ — resultados single-channel.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output/advanced_regional/ — resultados regional.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Validación índice θ/α — AURA EEG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4186da2d3bebd28595865464701c5a92b84772e.png"/><Relationship Id="rId10" Type="http://schemas.openxmlformats.org/officeDocument/2006/relationships/image" Target="media/46c869aaff5b99a06018993249cd2a16f75edc3e.png"/><Relationship Id="rId11" Type="http://schemas.openxmlformats.org/officeDocument/2006/relationships/image" Target="media/f2ea58631eb8f85a3632aaf3f5ade8faf87fea70.png"/><Relationship Id="rId12" Type="http://schemas.openxmlformats.org/officeDocument/2006/relationships/image" Target="media/166126e227ecb7fd1780f66176effa9204ab3cfb.png"/><Relationship Id="rId13" Type="http://schemas.openxmlformats.org/officeDocument/2006/relationships/image" Target="media/90986224eac6833cbcdbd96f08dfb064e489a9d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Cognitive Load EEG Report — Final</dc:title>
  <dc:creator>Rafael Hernández</dc:creator>
  <cp:lastModifiedBy>Un-named</cp:lastModifiedBy>
  <cp:revision>1</cp:revision>
  <dcterms:created xsi:type="dcterms:W3CDTF">2026-04-17T15:17:17.203Z</dcterms:created>
  <dcterms:modified xsi:type="dcterms:W3CDTF">2026-04-17T15:17:17.204Z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