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Validez del Índice de Carga Cognitiva Theta/Alpha (AURA)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Análisis estadístico — Datos data-experimento-rafa</w:t>
      </w:r>
    </w:p>
    <w:p>
      <w:pPr>
        <w:spacing w:after="360"/>
        <w:jc w:val="center"/>
      </w:pPr>
      <w:r>
        <w:rPr>
          <w:rFonts w:ascii="Arial" w:cs="Arial" w:eastAsia="Arial" w:hAnsi="Arial"/>
          <w:sz w:val="22"/>
          <w:szCs w:val="22"/>
        </w:rPr>
        <w:t xml:space="preserve">Rafael Hernández — 17 de abril de 2026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Resumen ejecutivo</w:t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evaluó si el índice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Theta(Fz)/Alpha(Pz)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medido con AURA distingue de forma fiable entre una tarea de baja carga cognitiva (lectura pasiva) y una tarea de alta carga cognitiva (Stroop), usando los datos ya procesados por el pipeline de limpieza y ventaneo (ventanas de 4 s con solapamiento, rechazo de artefactos por umbral de amplitud, z-score e IQR, e interpolación lineal).</w:t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 criterios de inclusión no circulares (porcentaje de artefactos ≤ 50 % y al menos 2 ventanas válidas por fase, aplicados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antes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de cualquier contraste), quedaron N = 13 sujetos en el análisis principal de Fz/Pz y N = 12 en el análisis de regiones F (promedio frontal) / P (promedio parietal).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Resultado principal (H1 High &gt; Low, Fz/Pz):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diferencia media va en la dirección hipotetizada (Δ = +1.27 unidades de ratio a favor de alta carga), con un tamaño del efecto pequeño-mediano (Cohen's dz = +0.37), pero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no es estadísticamente significativa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(Wilcoxon pareado p = 0.554; t pareada sobre log-ratio p = 0.296; IC 95 % de la diferencia ≈ [−0.22, +3.30]). Solo 6/13 sujetos muestran el patrón esperado.</w:t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hallazgo más consistente es el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efecto Berger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(alpha en Pz mayor con ojos cerrados vs. abiertos), que aquí se refleja como H4 con p = 0.069 en la t pareada sobre log-ratio y 8/13 sujetos en la dirección esperada — cerca de significancia a pesar de la N reducida y consistente con que la señal en Pz captura modulaciones conocidas del alfa.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Recomendación: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este análisis, tal como está, no prueba la validez del índice con los datos actuales. Reporta con transparencia esta falta de potencia en el paper y acompaña el reporte con (a) acciones de saneamiento de datos — corregir el bug de submuestreo y los timers que terminan las fases antes de tiempo para recuperar duraciones completas; (b) aumento de N; (c) un preregistro de los contrastes; y (d) análisis de sensibilidad con los sujetos de sesión completa.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Datos y muestra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Fuente</w:t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utilizaron los CSV de resumen generados por el paso 4 del pipeline (step4_cognitive_load_cleaned.py):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cognitive_load_cleaned_summary_fz_pz.csv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ratio medio por ventana Theta(Fz) / Alpha(Pz) resumido por sujeto y fase (64 filas; 16 sujetos × 4 fases).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cognitive_load_cleaned_summary_region.csv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equivalente con promedios regionales: Theta sobre los 3 canales frontales y Alpha sobre los 3 canales parietales (14 sujetos × 4 fases).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Fases experimentales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baseline_eyes_open — línea base con ojos abiertos.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baseline_eyes_closed — línea base con ojos cerrados (se espera ↑ alpha Pz → ↓ ratio).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low_cognitive_load — lectura pasiva.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high_cognitive_load — tarea Stroop.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Criterios de inclusión (aplicados antes de los contrastes)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fz_artifact_pct ≤ 50 % y pz_artifact_pct ≤ 50 % (o las equivalentes regionales) en ambas fases del contraste.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n_windows_after ≥ 2 en ambas fases del contraste.</w:t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Estos criterios son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no circulares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dependen únicamente de la calidad de la señal, no del valor del ratio. Esto es importante porque el archivo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cumplen_incluibles_estadisticas_fz_pz.txt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(N = 6, d = 0.75) del análisis previo filtraba por una condición que dependía del contraste mismo, lo que infla el tamaño del efecto.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Sujetos incluidos / excluidos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 incluidos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Sujetos excluidos y motivo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Fz/Pz (índice puntual)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 / 16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(Pz 65 % artefacto alta), Rafael (Fz y Pz ~75–80 % + low n_windows=0), mai (1 ventana por fase).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Regiones F/P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/ 14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Rafael (low n_windows=1), mai (1 ventana por fase).</w:t>
            </w:r>
          </w:p>
        </w:tc>
      </w:tr>
    </w:tbl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Nota importante: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 los 13 sujetos incluidos, solo 4 (1, 3, heberto, jonhy, michelle) tienen sesiones «completas» (~70 ventanas por fase). El resto tiene apenas 2 ventanas de tarea por fase, consecuencia de los bugs documentados en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DOCUMENTACION_DATOS.md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(timers de fases que se detienen prematuramente y submuestreo incorrecto). Este es un factor clave en la dispersión y en la baja potencia del análisis.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Métodos estadísticos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Unidad de análisis</w:t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usó el promedio por sujeto y fase como unidad de análisis. Esto respeta la independencia entre observaciones y evita pseudo-replicación (que ocurriría si cada ventana se contara como un dato independiente, dado que ventanas del mismo sujeto están correlacionadas).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Contrastes pareados planeados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H1 (principal, unilateral): High &gt; Low — operacionalización directa de la validez del índice.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H2a/H2b (convergente, unilateral): High &gt; Baseline ojos abiertos / cerrados.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H3a/H3b (control, bilateral): Low vs. baselines — se espera similitud, ya que la lectura pasiva activa redes no demasiado demandantes.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H4 (sanity check, bilateral): Baseline ojos cerrados vs. abiertos — efecto Berger sobre alpha Pz → el ratio debería bajar con ojos cerrados.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Tests utilizados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Wilcoxon pareado sobre la diferencia de ratios (no paramétrico, robusto a outliers y distribuciones sesgadas típicas de ratios Theta/Alpha).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t pareada sobre log(ratio) (paramétrico, reduce el sesgo por asimetría multiplicativa del ratio).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Cohen's dz pareado y r biserial por rangos (tamaños de efecto).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Bootstrap no paramétrico (5000 repeticiones) para el IC 95 % de la diferencia de medias.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Test de signos (binomial) sobre la proporción de sujetos con diferencia positiva.</w:t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Todos los tests se reportan completos; se aclara a posteriori cualquier ajuste de múltiples comparaciones (6 contrastes principales por dataset).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Resultados — Fz/Pz (análisis principal)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Tabla de contrastes (N = 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820"/>
        <w:gridCol w:w="1520"/>
        <w:gridCol w:w="780"/>
        <w:gridCol w:w="780"/>
        <w:gridCol w:w="780"/>
        <w:gridCol w:w="780"/>
        <w:gridCol w:w="186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Contraste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Δ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 95 % (Δ)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Wilcoxon p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t(log) p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dz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signos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Hipótesis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 High &gt; Low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+1.27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[-0.22, +3.30]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0.554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0.296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+0.37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6/13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unilateral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H2a High &gt; BaseOpen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+1.20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[-1.49, +3.94]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0.793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0.290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+0.23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8/13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unilateral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H2b High &gt; BaseClosed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+0.99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[-1.53, +3.63]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0.607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0.602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+0.20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6/13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unilateral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H3a Low vs BaseOpen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-0.06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[-1.67, +1.24]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0.839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0.729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7/13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bilateral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H3b Low vs BaseClosed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-0.28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[-1.72, +0.98]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0.685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0.379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-0.11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5/13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bilateral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H4 BaseOpen vs Closed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+0.22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[-0.20, +0.66]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0.273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0.069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+0.27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8/13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bilateral</w:t>
            </w:r>
          </w:p>
        </w:tc>
      </w:tr>
    </w:tbl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Abreviaturas: Δ = diferencia media de ratios (fase B − fase A); dz = Cohen d pareado; signos = sujetos con diferencia en la dirección hipotetizada; t(log) = t pareada sobre log-ratio.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Figuras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238500"/>
            <wp:effectExtent t="0" r="0" b="0" l="0"/>
            <wp:docPr id="1" name="01_paired_slope_fzpz.png" descr="Figura 1. Slopeplot pareado Low→High por sujeto (Fz/Pz, escala lineal). La media del grupo (rojo) sube, pero hay alta dispersión individual y varios sujetos con pendiente negativa." title="Figura 1. Slopeplot pareado Low→High por sujeto (Fz/Pz, escala lineal). La media del grupo (rojo) sube, pero hay alta dispersión individual y varios sujetos con pendiente negativ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1. Slopeplot pareado Low→High por sujeto (Fz/Pz, escala lineal). La media del grupo (rojo) sube, pero hay alta dispersión individual y varios sujetos con pendiente negativa.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238500"/>
            <wp:effectExtent t="0" r="0" b="0" l="0"/>
            <wp:docPr id="1" name="02_paired_slope_fzpz_log.png" descr="Figura 2. Mismo slopeplot en escala log (el ratio Theta/Alpha es multiplicativo). La media geométrica también sube." title="Figura 2. Mismo slopeplot en escala log (el ratio Theta/Alpha es multiplicativo). La media geométrica también sub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2. Mismo slopeplot en escala log (el ratio Theta/Alpha es multiplicativo). La media geométrica también sube.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4572000"/>
            <wp:effectExtent t="0" r="0" b="0" l="0"/>
            <wp:docPr id="1" name="03_delta_forest_fzpz.png" descr="Figura 3. Delta por sujeto (High − Low) con IC 95 % bootstrap de la media. El intervalo cruza el cero: la evidencia de grupo es débil." title="Figura 3. Delta por sujeto (High − Low) con IC 95 % bootstrap de la media. El intervalo cruza el cero: la evidencia de grupo es déb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3. Delta por sujeto (High − Low) con IC 95 % bootstrap de la media. El intervalo cruza el cero: la evidencia de grupo es débil.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429000"/>
            <wp:effectExtent t="0" r="0" b="0" l="0"/>
            <wp:docPr id="1" name="04_boxplot_fzpz.png" descr="Figura 4. Distribución del ratio por fase (N = 13). La mediana apenas se mueve entre condiciones; baseline cerrado tiende a estar por arriba del abierto (consistente con efecto Berger invertido en la proporción Theta/Alpha)." title="Figura 4. Distribución del ratio por fase (N = 13). La mediana apenas se mueve entre condiciones; baseline cerrado tiende a estar por arriba del abierto (consistente con efecto Berger invertido en la proporción Theta/Alph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4. Distribución del ratio por fase (N = 13). La mediana apenas se mueve entre condiciones; baseline cerrado tiende a estar por arriba del abierto (consistente con efecto Berger invertido en la proporción Theta/Alpha).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Resultados — Regiones F/P (análisis de sensibilidad)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Tabla de contrastes (N = 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820"/>
        <w:gridCol w:w="1520"/>
        <w:gridCol w:w="780"/>
        <w:gridCol w:w="780"/>
        <w:gridCol w:w="780"/>
        <w:gridCol w:w="780"/>
        <w:gridCol w:w="186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Contraste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Δ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 95 % (Δ)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Wilcoxon p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t(log) p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dz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signos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Hipótesis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 High &gt; Low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+0.12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[-0.33, +0.79]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0.190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0.777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+0.11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4/12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unilateral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H2a High &gt; BaseOpen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+0.06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[-0.45, +0.75]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0.311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0.561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+0.05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5/12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unilateral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H2b High &gt; BaseClosed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+0.03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[-0.50, +0.74]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0.170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0.661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+0.02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4/12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unilateral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H3a Low vs BaseOpen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-0.06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[-0.28, +0.13]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0.479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-0.15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7/12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bilateral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H3b Low vs BaseClosed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-0.09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[-0.45, +0.20]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0.690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-0.14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5/12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bilateral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H4 BaseOpen vs Closed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+0.03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[-0.32, +0.48]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0.733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0.838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+0.04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5/12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bilateral</w:t>
            </w:r>
          </w:p>
        </w:tc>
      </w:tr>
    </w:tbl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análisis regional es aún más plano: los efectos son ~3× menores en tamaño que en Fz/Pz. Promediar 3 canales suaviza el contraste theta frontal (localizado en Fz) y no aporta sensibilidad adicional en esta muestra.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238500"/>
            <wp:effectExtent t="0" r="0" b="0" l="0"/>
            <wp:docPr id="1" name="06_paired_slope_region_log.png" descr="Figura 5. Slopeplot pareado Low→High con regiones F/P (escala log)." title="Figura 5. Slopeplot pareado Low→High con regiones F/P (escala log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5. Slopeplot pareado Low→High con regiones F/P (escala log).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4572000"/>
            <wp:effectExtent t="0" r="0" b="0" l="0"/>
            <wp:docPr id="1" name="07_delta_forest_region.png" descr="Figura 6. Delta por sujeto (High − Low) — regiones F/P." title="Figura 6. Delta por sujeto (High − Low) — regiones F/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6. Delta por sujeto (High − Low) — regiones F/P.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Validez convergente exploratoria — NASA-TLX</w:t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NASA-TLX sólo fue aplicada a la tarea Stroop (alta carga), por lo que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no se puede hacer contraste pareado NASA-TLX vs índice en Low y High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En su lugar se evalúa correlación entre la puntuación NASA-TLX y (a) el ratio en High Load y (b) la ∆ (High − Low).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Solapamiento: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solo 5 sujetos aparecen en ambos conjuntos (Joss, Daniel, Edwin, Jeronimo, Eliza). Todos pertenecen al grupo de sesiones cortas (n_windows ≈ 2), por lo que esta correlación debe tomarse como exploratoria.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1320"/>
        <w:gridCol w:w="132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Correlación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ρ (Spearman)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NASA-TLX vs ratio High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-0.10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0.873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NASA-TLX vs Δ (High − Low)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-0.20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0.747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 N = 5 y dos Δ negativas (Edwin, Eliza), la correlación es prácticamente nula. Este resultado no invalida ni valida el índice — simplemente confirma que hacen falta (i) más sujetos con ambas medidas y (ii) NASA-TLX también para la condición Low para un análisis convergente robusto.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3238500"/>
            <wp:effectExtent t="0" r="0" b="0" l="0"/>
            <wp:docPr id="1" name="09_nasa_vs_high.png" descr="Figura 7. NASA-TLX (%) vs. ratio Theta/Alpha en High Load (N = 5)." title="Figura 7. NASA-TLX (%) vs. ratio Theta/Alpha en High Load (N = 5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7. NASA-TLX (%) vs. ratio Theta/Alpha en High Load (N = 5).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3238500"/>
            <wp:effectExtent t="0" r="0" b="0" l="0"/>
            <wp:docPr id="1" name="10_nasa_vs_delta.png" descr="Figura 8. NASA-TLX (%) vs. Δ ratio (High − Low) (N = 5)." title="Figura 8. NASA-TLX (%) vs. Δ ratio (High − Low) (N = 5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8. NASA-TLX (%) vs. Δ ratio (High − Low) (N = 5).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Interpretación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Qué dicen los números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dirección del efecto High &gt; Low es la esperada en todos los contrastes de carga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(H1, H2a, H2b en Fz/Pz; H1, H2a, H2b en regiones)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pero los tamaños del efecto son pequeños (dz 0.05–0.37) y los intervalos de confianza cruzan el cero.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El test de signos muestra que en Fz/Pz solo 6/13 sujetos tienen un ratio mayor en High que en Low — es decir, a nivel individual el índice se comporta como una moneda casi justa.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El efecto más plausible (H4, Berger) apenas roza p = 0.069 en t(log). Esto es consistente con que la señal Pz captura modulación de alpha — necesario para que el ratio tenga sentido fisiológico — pero la potencia no alcanza para confirmarlo con 13 sujetos.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Por qué el resultado previo de N = 6 parecía más favorable</w:t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archivo 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cumplen_incluibles_estadisticas_fz_pz.txt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reporta N = 6 con Cohen's d = 0.75 sin p-valor. Esa selección de 6 sujetos usa como criterio implícito que el ratio High fuese «lo suficientemente distinto» del ratio Low (o algún filtro adicional que excluyó a sujetos con delta opuesto). Esto es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selección circular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si elijo a quién incluir en función de la dirección del efecto, infla artificialmente el tamaño del efecto y convierte cualquier prueba posterior en no interpretable. El análisis presente reemplaza ese filtro por criterios de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calidad de señal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independientes del contraste.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Qué factores limitan la potencia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N efectivo pequeño (13 en el mejor caso; 5 en la intersección con NASA-TLX).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~9 de 13 sujetos tienen sesiones de apenas 2 ventanas de tarea por fase, debido a los bugs del timer y submuestreo ya documentados en DOCUMENTACION_DATOS.md. Esto hace que el «promedio por sujeto» de esas fases tenga altísima varianza y contamine la muestra.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Contaminación por artefactos remanente: en varios sujetos el pipeline aún descarta &gt; 20 % de ventanas pese a la limpieza (ver fz_artifact_pct y pz_artifact_pct en per_subject_data.csv).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Sin preregistro, los contrastes múltiples (6) penalizan la significancia (tras Bonferroni, el umbral por contraste sería 0.008).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Recomendaciones para el paper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Recomendación fuerte: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presentar la N = 6 previa como validación del índice. Reemplazarla por el análisis de N = 13 aquí reportado (o el equivalente que resulte tras sanear los datos) y marcar explícitamente las limitaciones.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Antes de fijar los resultados del paper: corregir los bugs de timers y submuestreo y volver a correr el pipeline para recuperar sesiones completas en Daniel, Edgar, Edwin, Jeronimo, Joss, edwin2, eliza. Esto solo debería aumentar N_ventanas, nunca alterar las medidas de los sujetos ya completos.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Reportar un análisis de sensibilidad excluyendo los sujetos con ≤ 2 ventanas; si el resultado se mantiene en ese subconjunto «long-session» solo (1, 3, heberto, jonhy, michelle, etc.), la interpretación es más defendible.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Cuando se reejecute el protocolo, aplicar NASA-TLX también a la condición Low (lectura) para habilitar contraste pareado de carga subjetiva.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Preregistrar los contrastes principales y el umbral de corrección por múltiples comparaciones antes de ejecutar nuevos análisis.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Considerar un índice compuesto (log-ratio o residualizado por baseline) que descuente las diferencias interindividuales de potencia absoluta; puede mejorar sensibilidad con N pequeño.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Apéndice A. Archivos generados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per_subject_data.csv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tabla plana: fila por sujeto × dataset (fz_pz / region) con mean, median, n_windows y % de artefactos por fase.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statistical_tests.csv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salida completa de los 12 contrastes (6 Fz/Pz + 6 regiones) con Wilcoxon, t(log), dz, r biserial, IC bootstrap y test de signos.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results_summary.csv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versión compacta de la tabla anterior para incluir en el paper.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nasa_tlx_merged.csv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integración de las puntuaciones NASA-TLX con los ratios por sujeto incluible.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figures/01..10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slopeplots, forest plots, boxplots y dispersiones con NASA-TLX (PNG + PDF).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log.txt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registro completo de la corrida.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analysis/scripts/statistical_validity_analysis.py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script reproducible que regenera todo lo anterior.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Apéndice B. Correspondencia de etiquetas NASA-TLX ↔ sujeto EEG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en hoja «Resultados»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 en CSV EEG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Joselin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Daniel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Daniel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Edwin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Edwin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Jeronimo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Jeronimo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Rafa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Rafael (excluido por artefactos)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Eliza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eliza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sz w:val="18"/>
        <w:szCs w:val="18"/>
      </w:rPr>
      <w:t xml:space="preserve">Validez índice carga cognitiva — 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e69d880e86aad659835af0daab38f14afbbb2be.png"/><Relationship Id="rId9" Type="http://schemas.openxmlformats.org/officeDocument/2006/relationships/image" Target="media/a94062e23afbe4ec0b6e0665cc372bfff97793f3.png"/><Relationship Id="rId10" Type="http://schemas.openxmlformats.org/officeDocument/2006/relationships/image" Target="media/c3c5b9cfe728f7f6b779cb09a59ce7c56a699e4e.png"/><Relationship Id="rId11" Type="http://schemas.openxmlformats.org/officeDocument/2006/relationships/image" Target="media/3a70033c81d47d96720f93f6658d4c8a0a865e7a.png"/><Relationship Id="rId12" Type="http://schemas.openxmlformats.org/officeDocument/2006/relationships/image" Target="media/e3886a69db35efecc9f502bd20ae3c3fb0236c92.png"/><Relationship Id="rId13" Type="http://schemas.openxmlformats.org/officeDocument/2006/relationships/image" Target="media/3380568a95073c6d8caab8b3af215df3925bbb14.png"/><Relationship Id="rId14" Type="http://schemas.openxmlformats.org/officeDocument/2006/relationships/image" Target="media/a35f5707fa254f8adeaa1ed75ce255eb342410dd.png"/><Relationship Id="rId15" Type="http://schemas.openxmlformats.org/officeDocument/2006/relationships/image" Target="media/f0057d79063c32632d33b2fba53770aa385a9b70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Validez del Índice de Carga Cognitiva Theta/Alpha</dc:title>
  <dc:creator>Rafael Hernández</dc:creator>
  <dc:description>Análisis estadístico de validez para paper AURA</dc:description>
  <cp:lastModifiedBy>Un-named</cp:lastModifiedBy>
  <cp:revision>1</cp:revision>
  <dcterms:created xsi:type="dcterms:W3CDTF">2026-04-17T08:21:33.817Z</dcterms:created>
  <dcterms:modified xsi:type="dcterms:W3CDTF">2026-04-17T08:21:33.817Z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