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B2D6" w14:textId="5D26EFE8" w:rsidR="00D81189" w:rsidRDefault="002F76E0" w:rsidP="005D05A4">
      <w:pPr>
        <w:pStyle w:val="Heading1"/>
        <w:jc w:val="center"/>
        <w:rPr>
          <w:lang w:val="en-US"/>
        </w:rPr>
      </w:pPr>
      <w:r>
        <w:rPr>
          <w:lang w:val="en-US"/>
        </w:rPr>
        <w:t>Deriving insights from Brazilian investment funds via Data Science – First Deliverable</w:t>
      </w:r>
    </w:p>
    <w:p w14:paraId="75DE0ACF" w14:textId="5C49E405" w:rsidR="002F76E0" w:rsidRDefault="002F76E0" w:rsidP="002F76E0">
      <w:pPr>
        <w:jc w:val="center"/>
        <w:rPr>
          <w:lang w:val="en-US"/>
        </w:rPr>
      </w:pPr>
      <w:r>
        <w:rPr>
          <w:lang w:val="en-US"/>
        </w:rPr>
        <w:t>Rafael Y. Imai – April 2021</w:t>
      </w:r>
    </w:p>
    <w:p w14:paraId="6DF535C0" w14:textId="07FFD236" w:rsidR="002F76E0" w:rsidRPr="002F76E0" w:rsidRDefault="002F76E0" w:rsidP="002F76E0">
      <w:pPr>
        <w:jc w:val="center"/>
        <w:rPr>
          <w:lang w:val="en-US"/>
        </w:rPr>
      </w:pPr>
      <w:r>
        <w:rPr>
          <w:lang w:val="en-US"/>
        </w:rPr>
        <w:pict w14:anchorId="7C30195C">
          <v:rect id="_x0000_i1025" style="width:0;height:1.5pt" o:hralign="center" o:hrstd="t" o:hr="t" fillcolor="#a0a0a0" stroked="f"/>
        </w:pict>
      </w:r>
    </w:p>
    <w:p w14:paraId="2754E461" w14:textId="66CD6383" w:rsidR="002F76E0" w:rsidRDefault="002F76E0" w:rsidP="005D05A4">
      <w:pPr>
        <w:pStyle w:val="Heading2"/>
        <w:rPr>
          <w:lang w:val="en-US"/>
        </w:rPr>
      </w:pPr>
      <w:r>
        <w:rPr>
          <w:lang w:val="en-US"/>
        </w:rPr>
        <w:t>Description of the problem and a brief discussion about the background</w:t>
      </w:r>
    </w:p>
    <w:p w14:paraId="706F9797" w14:textId="77777777" w:rsidR="005D05A4" w:rsidRPr="005D05A4" w:rsidRDefault="005D05A4" w:rsidP="005D05A4">
      <w:pPr>
        <w:rPr>
          <w:lang w:val="en-US"/>
        </w:rPr>
      </w:pPr>
    </w:p>
    <w:p w14:paraId="3FAC1A9C" w14:textId="04D37D7B" w:rsidR="002F76E0" w:rsidRDefault="002F76E0" w:rsidP="005D05A4">
      <w:pPr>
        <w:pStyle w:val="Heading3"/>
        <w:rPr>
          <w:lang w:val="en-US"/>
        </w:rPr>
      </w:pPr>
      <w:r>
        <w:rPr>
          <w:lang w:val="en-US"/>
        </w:rPr>
        <w:t>Problem</w:t>
      </w:r>
    </w:p>
    <w:p w14:paraId="4081955A" w14:textId="294EE59F" w:rsidR="002F76E0" w:rsidRDefault="002F76E0" w:rsidP="002F76E0">
      <w:pPr>
        <w:rPr>
          <w:lang w:val="en-US"/>
        </w:rPr>
      </w:pPr>
    </w:p>
    <w:p w14:paraId="70198348" w14:textId="3A66C920" w:rsidR="002F76E0" w:rsidRDefault="001C168C" w:rsidP="002F76E0">
      <w:pPr>
        <w:rPr>
          <w:lang w:val="en-US"/>
        </w:rPr>
      </w:pPr>
      <w:r w:rsidRPr="001C168C">
        <w:rPr>
          <w:lang w:val="en-US"/>
        </w:rPr>
        <w:t xml:space="preserve">According to the </w:t>
      </w:r>
      <w:proofErr w:type="spellStart"/>
      <w:r w:rsidRPr="001C168C">
        <w:rPr>
          <w:lang w:val="en-US"/>
        </w:rPr>
        <w:t>december</w:t>
      </w:r>
      <w:proofErr w:type="spellEnd"/>
      <w:r w:rsidRPr="001C168C">
        <w:rPr>
          <w:lang w:val="en-US"/>
        </w:rPr>
        <w:t>/2020 report</w:t>
      </w:r>
      <w:r w:rsidR="00686362">
        <w:rPr>
          <w:lang w:val="en-US"/>
        </w:rPr>
        <w:t xml:space="preserve"> [1]</w:t>
      </w:r>
      <w:r w:rsidRPr="001C168C">
        <w:rPr>
          <w:lang w:val="en-US"/>
        </w:rPr>
        <w:t xml:space="preserve"> of ANBIMA (</w:t>
      </w:r>
      <w:proofErr w:type="spellStart"/>
      <w:r w:rsidRPr="001C168C">
        <w:rPr>
          <w:i/>
          <w:iCs/>
          <w:lang w:val="en-US"/>
        </w:rPr>
        <w:t>Associação</w:t>
      </w:r>
      <w:proofErr w:type="spellEnd"/>
      <w:r w:rsidRPr="001C168C">
        <w:rPr>
          <w:i/>
          <w:iCs/>
          <w:lang w:val="en-US"/>
        </w:rPr>
        <w:t xml:space="preserve"> </w:t>
      </w:r>
      <w:proofErr w:type="spellStart"/>
      <w:r w:rsidRPr="001C168C">
        <w:rPr>
          <w:i/>
          <w:iCs/>
          <w:lang w:val="en-US"/>
        </w:rPr>
        <w:t>Brasileira</w:t>
      </w:r>
      <w:proofErr w:type="spellEnd"/>
      <w:r w:rsidRPr="001C168C">
        <w:rPr>
          <w:i/>
          <w:iCs/>
          <w:lang w:val="en-US"/>
        </w:rPr>
        <w:t xml:space="preserve"> das </w:t>
      </w:r>
      <w:proofErr w:type="spellStart"/>
      <w:r w:rsidRPr="001C168C">
        <w:rPr>
          <w:i/>
          <w:iCs/>
          <w:lang w:val="en-US"/>
        </w:rPr>
        <w:t>Entidades</w:t>
      </w:r>
      <w:proofErr w:type="spellEnd"/>
      <w:r w:rsidRPr="001C168C">
        <w:rPr>
          <w:i/>
          <w:iCs/>
          <w:lang w:val="en-US"/>
        </w:rPr>
        <w:t xml:space="preserve"> dos Mercados </w:t>
      </w:r>
      <w:proofErr w:type="spellStart"/>
      <w:r w:rsidRPr="001C168C">
        <w:rPr>
          <w:i/>
          <w:iCs/>
          <w:lang w:val="en-US"/>
        </w:rPr>
        <w:t>Financeiro</w:t>
      </w:r>
      <w:proofErr w:type="spellEnd"/>
      <w:r w:rsidRPr="001C168C">
        <w:rPr>
          <w:i/>
          <w:iCs/>
          <w:lang w:val="en-US"/>
        </w:rPr>
        <w:t xml:space="preserve"> e de </w:t>
      </w:r>
      <w:proofErr w:type="spellStart"/>
      <w:r w:rsidRPr="001C168C">
        <w:rPr>
          <w:i/>
          <w:iCs/>
          <w:lang w:val="en-US"/>
        </w:rPr>
        <w:t>Capitais</w:t>
      </w:r>
      <w:proofErr w:type="spellEnd"/>
      <w:r w:rsidRPr="001C168C">
        <w:rPr>
          <w:lang w:val="en-US"/>
        </w:rPr>
        <w:t>, Brazilian Financial and Capital Markets Entities Association in</w:t>
      </w:r>
      <w:r>
        <w:rPr>
          <w:lang w:val="en-US"/>
        </w:rPr>
        <w:t xml:space="preserve"> a free translation to English), the amount of assets managed by investment funds is steadily increasing</w:t>
      </w:r>
      <w:r w:rsidR="002311AB">
        <w:rPr>
          <w:lang w:val="en-US"/>
        </w:rPr>
        <w:t>.</w:t>
      </w:r>
      <w:r w:rsidR="005D6A7E">
        <w:rPr>
          <w:lang w:val="en-US"/>
        </w:rPr>
        <w:t xml:space="preserve"> The graph below shows th</w:t>
      </w:r>
      <w:r w:rsidR="00E7763E">
        <w:rPr>
          <w:lang w:val="en-US"/>
        </w:rPr>
        <w:t>e total net worth from dec-2006 to dec-2020, in million Brazilian Reais (BRL):</w:t>
      </w:r>
    </w:p>
    <w:p w14:paraId="1FB3A250" w14:textId="4966A67C" w:rsidR="001C168C" w:rsidRDefault="001C168C" w:rsidP="002F76E0">
      <w:pPr>
        <w:rPr>
          <w:lang w:val="en-US"/>
        </w:rPr>
      </w:pPr>
    </w:p>
    <w:p w14:paraId="020DD192" w14:textId="6332202E" w:rsidR="001C168C" w:rsidRDefault="001C168C" w:rsidP="001C168C">
      <w:pPr>
        <w:jc w:val="center"/>
        <w:rPr>
          <w:lang w:val="en-US"/>
        </w:rPr>
      </w:pPr>
      <w:r>
        <w:rPr>
          <w:noProof/>
        </w:rPr>
        <w:drawing>
          <wp:inline distT="0" distB="0" distL="0" distR="0" wp14:anchorId="5FE3BDD6" wp14:editId="0C038DC2">
            <wp:extent cx="4724400" cy="2057400"/>
            <wp:effectExtent l="0" t="0" r="0" b="0"/>
            <wp:docPr id="1" name="Chart 1">
              <a:extLst xmlns:a="http://schemas.openxmlformats.org/drawingml/2006/main">
                <a:ext uri="{FF2B5EF4-FFF2-40B4-BE49-F238E27FC236}">
                  <a16:creationId xmlns:a16="http://schemas.microsoft.com/office/drawing/2014/main" id="{263A5D7F-1153-40C5-A94D-3D03F22B79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50967EB" w14:textId="04C17BAF" w:rsidR="001C168C" w:rsidRPr="001C168C" w:rsidRDefault="001C168C" w:rsidP="001C168C">
      <w:pPr>
        <w:jc w:val="center"/>
        <w:rPr>
          <w:lang w:val="en-US"/>
        </w:rPr>
      </w:pPr>
      <w:r>
        <w:rPr>
          <w:lang w:val="en-US"/>
        </w:rPr>
        <w:t>Source: ANBIMA</w:t>
      </w:r>
    </w:p>
    <w:p w14:paraId="71D15974" w14:textId="6A173183" w:rsidR="00E7763E" w:rsidRDefault="00E7763E" w:rsidP="002F76E0">
      <w:pPr>
        <w:rPr>
          <w:lang w:val="en-US"/>
        </w:rPr>
      </w:pPr>
      <w:r>
        <w:rPr>
          <w:lang w:val="en-US"/>
        </w:rPr>
        <w:t>Along with the total net worth of the Brazilian investment fund industry, the number of investment funds has risen on the same period.</w:t>
      </w:r>
    </w:p>
    <w:p w14:paraId="23CCD278" w14:textId="010929DC" w:rsidR="002311AB" w:rsidRDefault="002311AB" w:rsidP="002F76E0">
      <w:pPr>
        <w:rPr>
          <w:lang w:val="en-US"/>
        </w:rPr>
      </w:pPr>
      <w:r>
        <w:rPr>
          <w:noProof/>
        </w:rPr>
        <w:drawing>
          <wp:inline distT="0" distB="0" distL="0" distR="0" wp14:anchorId="191660F6" wp14:editId="23E39818">
            <wp:extent cx="5400040" cy="2332990"/>
            <wp:effectExtent l="0" t="0" r="10160" b="10160"/>
            <wp:docPr id="2" name="Chart 2">
              <a:extLst xmlns:a="http://schemas.openxmlformats.org/drawingml/2006/main">
                <a:ext uri="{FF2B5EF4-FFF2-40B4-BE49-F238E27FC236}">
                  <a16:creationId xmlns:a16="http://schemas.microsoft.com/office/drawing/2014/main" id="{A8421340-E455-4895-98A3-364A53BA5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9790B2" w14:textId="34B95FD6" w:rsidR="002311AB" w:rsidRDefault="002311AB" w:rsidP="002311AB">
      <w:pPr>
        <w:jc w:val="center"/>
        <w:rPr>
          <w:lang w:val="en-US"/>
        </w:rPr>
      </w:pPr>
      <w:proofErr w:type="spellStart"/>
      <w:proofErr w:type="gramStart"/>
      <w:r>
        <w:rPr>
          <w:lang w:val="en-US"/>
        </w:rPr>
        <w:lastRenderedPageBreak/>
        <w:t>Source:ANBIMA</w:t>
      </w:r>
      <w:proofErr w:type="spellEnd"/>
      <w:proofErr w:type="gramEnd"/>
    </w:p>
    <w:p w14:paraId="469E57BA" w14:textId="0BBE7444" w:rsidR="002311AB" w:rsidRDefault="00E7763E" w:rsidP="002F76E0">
      <w:pPr>
        <w:rPr>
          <w:lang w:val="en-US"/>
        </w:rPr>
      </w:pPr>
      <w:r>
        <w:rPr>
          <w:lang w:val="en-US"/>
        </w:rPr>
        <w:t>Along with such metrics, that indicate a growth</w:t>
      </w:r>
      <w:r w:rsidR="002726A9">
        <w:rPr>
          <w:lang w:val="en-US"/>
        </w:rPr>
        <w:t xml:space="preserve"> of such class of financial products, it is interesting to remark that according to </w:t>
      </w:r>
      <w:r w:rsidR="0047413C">
        <w:rPr>
          <w:lang w:val="en-US"/>
        </w:rPr>
        <w:t>a report from ANBIMA</w:t>
      </w:r>
      <w:r w:rsidR="00686362">
        <w:rPr>
          <w:lang w:val="en-US"/>
        </w:rPr>
        <w:t xml:space="preserve"> [2]</w:t>
      </w:r>
      <w:r w:rsidR="0047413C">
        <w:rPr>
          <w:lang w:val="en-US"/>
        </w:rPr>
        <w:t xml:space="preserve">, Brazilians are increasing their usage of investment funds. In 2017, 4% of the investors used investment funds. In comparison, on the same year, 89% of investors used the savings account. The percentage of investment fund shareholders has risen to 5% in </w:t>
      </w:r>
      <w:r w:rsidR="00686362">
        <w:rPr>
          <w:lang w:val="en-US"/>
        </w:rPr>
        <w:t>2018 and 6% in 2019.</w:t>
      </w:r>
    </w:p>
    <w:p w14:paraId="247F1704" w14:textId="53E7F421" w:rsidR="00CD7155" w:rsidRDefault="00CD7155" w:rsidP="002F76E0">
      <w:pPr>
        <w:rPr>
          <w:lang w:val="en-US"/>
        </w:rPr>
      </w:pPr>
      <w:r>
        <w:rPr>
          <w:lang w:val="en-US"/>
        </w:rPr>
        <w:t xml:space="preserve">Investment funds can be analyzed both by the point of view of the asset manager and the perspective of the shareholder or the shareholder’s financial planner. For instance, the asset manager may find insights </w:t>
      </w:r>
      <w:r w:rsidR="00DE46C5">
        <w:rPr>
          <w:lang w:val="en-US"/>
        </w:rPr>
        <w:t xml:space="preserve">about the shareholder’s behavior according to given market variables </w:t>
      </w:r>
      <w:r w:rsidR="00DE46C5">
        <w:rPr>
          <w:lang w:val="en-US"/>
        </w:rPr>
        <w:t>useful</w:t>
      </w:r>
      <w:r w:rsidR="00DE46C5">
        <w:rPr>
          <w:lang w:val="en-US"/>
        </w:rPr>
        <w:t>, as they may help to project new funds or support decision-taking processes. The shareholder, on its turn, may use such insights while designing his/er portfolio, as to avoid excessive exposure on a given fund (concentration risk) or excessive variations on the portfolio’s value caused by market dynamics (a concept known as market risk).</w:t>
      </w:r>
    </w:p>
    <w:p w14:paraId="048D87CF" w14:textId="77777777" w:rsidR="00DE46C5" w:rsidRPr="001C168C" w:rsidRDefault="00DE46C5" w:rsidP="002F76E0">
      <w:pPr>
        <w:rPr>
          <w:lang w:val="en-US"/>
        </w:rPr>
      </w:pPr>
    </w:p>
    <w:p w14:paraId="19DFB0CA" w14:textId="6DDBA6C1" w:rsidR="002F76E0" w:rsidRDefault="002F76E0" w:rsidP="005D05A4">
      <w:pPr>
        <w:pStyle w:val="Heading3"/>
        <w:rPr>
          <w:lang w:val="en-US"/>
        </w:rPr>
      </w:pPr>
      <w:r w:rsidRPr="00DE46C5">
        <w:rPr>
          <w:lang w:val="en-US"/>
        </w:rPr>
        <w:t xml:space="preserve">Background </w:t>
      </w:r>
      <w:proofErr w:type="gramStart"/>
      <w:r w:rsidRPr="00DE46C5">
        <w:rPr>
          <w:lang w:val="en-US"/>
        </w:rPr>
        <w:t>needed</w:t>
      </w:r>
      <w:proofErr w:type="gramEnd"/>
    </w:p>
    <w:p w14:paraId="1E991E85" w14:textId="77777777" w:rsidR="00DE46C5" w:rsidRPr="00DE46C5" w:rsidRDefault="00DE46C5" w:rsidP="00DE46C5">
      <w:pPr>
        <w:rPr>
          <w:lang w:val="en-US"/>
        </w:rPr>
      </w:pPr>
    </w:p>
    <w:p w14:paraId="43CFAD88" w14:textId="3125E2B6" w:rsidR="0007604E" w:rsidRDefault="00DE46C5" w:rsidP="002F76E0">
      <w:pPr>
        <w:rPr>
          <w:lang w:val="en-US"/>
        </w:rPr>
      </w:pPr>
      <w:r>
        <w:rPr>
          <w:lang w:val="en-US"/>
        </w:rPr>
        <w:t>An investment fund, in a brief manner, consists of a pool of money belonging to several investors (named shareholders), which receive a given number of shares as they subscribe to the investment fund. Those shares represent an ideal fraction of the investment fund’s assets (e.g., stocks, bonds, FX accounts, cryptocurrencies) and its liabilities (</w:t>
      </w:r>
      <w:proofErr w:type="gramStart"/>
      <w:r w:rsidR="001417D2">
        <w:rPr>
          <w:lang w:val="en-US"/>
        </w:rPr>
        <w:t>e.g.</w:t>
      </w:r>
      <w:proofErr w:type="gramEnd"/>
      <w:r w:rsidR="001417D2">
        <w:rPr>
          <w:lang w:val="en-US"/>
        </w:rPr>
        <w:t xml:space="preserve"> </w:t>
      </w:r>
      <w:r>
        <w:rPr>
          <w:lang w:val="en-US"/>
        </w:rPr>
        <w:t xml:space="preserve">management tax, performance taxes, </w:t>
      </w:r>
      <w:r w:rsidR="001417D2">
        <w:rPr>
          <w:lang w:val="en-US"/>
        </w:rPr>
        <w:t>government taxes)</w:t>
      </w:r>
      <w:r w:rsidR="0007604E">
        <w:rPr>
          <w:lang w:val="en-US"/>
        </w:rPr>
        <w:t>, and they may be redeemed if permitted to do so. Closed end funds require the shares to be sold to another willing-to-be shareholder. Open end funds, on their turn, process the redemption by themselves and are free to emit and redeem shares.</w:t>
      </w:r>
    </w:p>
    <w:p w14:paraId="40D3B75D" w14:textId="152E53FD" w:rsidR="0007604E" w:rsidRDefault="00B13BFD" w:rsidP="002F76E0">
      <w:pPr>
        <w:rPr>
          <w:lang w:val="en-US"/>
        </w:rPr>
      </w:pPr>
      <w:r>
        <w:rPr>
          <w:lang w:val="en-US"/>
        </w:rPr>
        <w:t>The fund itself is managed by a management team, consisting of diverse professionals whose functions range from brokers responsible to buy and sell assets to operational personnel, needed to update records and calculate the share value at the end of the day.</w:t>
      </w:r>
      <w:r w:rsidR="0007604E">
        <w:rPr>
          <w:lang w:val="en-US"/>
        </w:rPr>
        <w:t xml:space="preserve"> </w:t>
      </w:r>
      <w:proofErr w:type="gramStart"/>
      <w:r w:rsidR="001417D2">
        <w:rPr>
          <w:lang w:val="en-US"/>
        </w:rPr>
        <w:t>Some</w:t>
      </w:r>
      <w:proofErr w:type="gramEnd"/>
      <w:r w:rsidR="001417D2">
        <w:rPr>
          <w:lang w:val="en-US"/>
        </w:rPr>
        <w:t xml:space="preserve"> of the advantages of using an investment fund are the ease of access to professional managers, along with the ability of having a diversified portfolio</w:t>
      </w:r>
      <w:r>
        <w:rPr>
          <w:lang w:val="en-US"/>
        </w:rPr>
        <w:t xml:space="preserve"> without necessarily having a lump sum of money to buy high-value assets. </w:t>
      </w:r>
    </w:p>
    <w:p w14:paraId="2DC646C5" w14:textId="2D58C549" w:rsidR="002F76E0" w:rsidRDefault="00B13BFD" w:rsidP="002F76E0">
      <w:pPr>
        <w:rPr>
          <w:lang w:val="en-US"/>
        </w:rPr>
      </w:pPr>
      <w:r>
        <w:rPr>
          <w:lang w:val="en-US"/>
        </w:rPr>
        <w:t>Disadvantages may include, for instance, managers acting recklessly in order to obtain short-term profits, the lack of interference of the shareholder onto the manager (if the shareholder does not agree with a change on the investment fund policy, his/er only options are to redeem their shares</w:t>
      </w:r>
      <w:r w:rsidR="0007604E">
        <w:rPr>
          <w:lang w:val="en-US"/>
        </w:rPr>
        <w:t>) and other managing-related errors.</w:t>
      </w:r>
    </w:p>
    <w:p w14:paraId="41955A16" w14:textId="1FD1C74E" w:rsidR="0007604E" w:rsidRDefault="0007604E" w:rsidP="002F76E0">
      <w:pPr>
        <w:rPr>
          <w:lang w:val="en-US"/>
        </w:rPr>
      </w:pPr>
      <w:r>
        <w:rPr>
          <w:lang w:val="en-US"/>
        </w:rPr>
        <w:t>Several classes of funds exist. Considering the Brazilian investment fund markets, some of the main classes are:</w:t>
      </w:r>
    </w:p>
    <w:p w14:paraId="06348D24" w14:textId="1952D188" w:rsidR="0007604E" w:rsidRDefault="0007604E" w:rsidP="002F76E0">
      <w:pPr>
        <w:pStyle w:val="ListParagraph"/>
        <w:numPr>
          <w:ilvl w:val="0"/>
          <w:numId w:val="2"/>
        </w:numPr>
        <w:rPr>
          <w:lang w:val="en-US"/>
        </w:rPr>
      </w:pPr>
      <w:r w:rsidRPr="0007604E">
        <w:rPr>
          <w:lang w:val="en-US"/>
        </w:rPr>
        <w:t xml:space="preserve">Fixed Income Investment Fund – </w:t>
      </w:r>
      <w:r w:rsidRPr="0007604E">
        <w:rPr>
          <w:i/>
          <w:iCs/>
          <w:lang w:val="en-US"/>
        </w:rPr>
        <w:t xml:space="preserve">(in </w:t>
      </w:r>
      <w:r w:rsidR="00F63633" w:rsidRPr="0007604E">
        <w:rPr>
          <w:i/>
          <w:iCs/>
          <w:lang w:val="en-US"/>
        </w:rPr>
        <w:t>Portuguese</w:t>
      </w:r>
      <w:r w:rsidRPr="0007604E">
        <w:rPr>
          <w:i/>
          <w:iCs/>
          <w:lang w:val="en-US"/>
        </w:rPr>
        <w:t xml:space="preserve">, Fundo de </w:t>
      </w:r>
      <w:proofErr w:type="spellStart"/>
      <w:r w:rsidRPr="0007604E">
        <w:rPr>
          <w:i/>
          <w:iCs/>
          <w:lang w:val="en-US"/>
        </w:rPr>
        <w:t>Investimento</w:t>
      </w:r>
      <w:proofErr w:type="spellEnd"/>
      <w:r w:rsidRPr="0007604E">
        <w:rPr>
          <w:i/>
          <w:iCs/>
          <w:lang w:val="en-US"/>
        </w:rPr>
        <w:t xml:space="preserve"> </w:t>
      </w:r>
      <w:proofErr w:type="spellStart"/>
      <w:r w:rsidRPr="0007604E">
        <w:rPr>
          <w:i/>
          <w:iCs/>
          <w:lang w:val="en-US"/>
        </w:rPr>
        <w:t>em</w:t>
      </w:r>
      <w:proofErr w:type="spellEnd"/>
      <w:r w:rsidRPr="0007604E">
        <w:rPr>
          <w:i/>
          <w:iCs/>
          <w:lang w:val="en-US"/>
        </w:rPr>
        <w:t xml:space="preserve"> Renda </w:t>
      </w:r>
      <w:proofErr w:type="spellStart"/>
      <w:r w:rsidRPr="0007604E">
        <w:rPr>
          <w:i/>
          <w:iCs/>
          <w:lang w:val="en-US"/>
        </w:rPr>
        <w:t>Fixa</w:t>
      </w:r>
      <w:proofErr w:type="spellEnd"/>
      <w:r w:rsidRPr="0007604E">
        <w:rPr>
          <w:i/>
          <w:iCs/>
          <w:lang w:val="en-US"/>
        </w:rPr>
        <w:t>)</w:t>
      </w:r>
      <w:r w:rsidRPr="0007604E">
        <w:rPr>
          <w:lang w:val="en-US"/>
        </w:rPr>
        <w:t xml:space="preserve"> – such funds may invest on</w:t>
      </w:r>
      <w:r>
        <w:rPr>
          <w:lang w:val="en-US"/>
        </w:rPr>
        <w:t xml:space="preserve">ly in fixed-income papers, such as commercial papers, bonds and deposit certificates. Bonds may range from sovereign bonds (emitted by a country, such as Treasury Bills from USA) to company emitted bonds. </w:t>
      </w:r>
    </w:p>
    <w:p w14:paraId="19958840" w14:textId="6C99F18C" w:rsidR="0007604E" w:rsidRDefault="0007604E" w:rsidP="002F76E0">
      <w:pPr>
        <w:pStyle w:val="ListParagraph"/>
        <w:numPr>
          <w:ilvl w:val="0"/>
          <w:numId w:val="2"/>
        </w:numPr>
        <w:rPr>
          <w:lang w:val="en-US"/>
        </w:rPr>
      </w:pPr>
      <w:r w:rsidRPr="0007604E">
        <w:rPr>
          <w:lang w:val="en-US"/>
        </w:rPr>
        <w:t xml:space="preserve">Stock Investment Fund - </w:t>
      </w:r>
      <w:r w:rsidRPr="0007604E">
        <w:rPr>
          <w:i/>
          <w:iCs/>
          <w:lang w:val="en-US"/>
        </w:rPr>
        <w:t xml:space="preserve">(in </w:t>
      </w:r>
      <w:r w:rsidR="00F63633" w:rsidRPr="0007604E">
        <w:rPr>
          <w:i/>
          <w:iCs/>
          <w:lang w:val="en-US"/>
        </w:rPr>
        <w:t>Portuguese</w:t>
      </w:r>
      <w:r w:rsidRPr="0007604E">
        <w:rPr>
          <w:i/>
          <w:iCs/>
          <w:lang w:val="en-US"/>
        </w:rPr>
        <w:t xml:space="preserve">, Fundo de </w:t>
      </w:r>
      <w:proofErr w:type="spellStart"/>
      <w:r w:rsidRPr="0007604E">
        <w:rPr>
          <w:i/>
          <w:iCs/>
          <w:lang w:val="en-US"/>
        </w:rPr>
        <w:t>Investimento</w:t>
      </w:r>
      <w:proofErr w:type="spellEnd"/>
      <w:r w:rsidRPr="0007604E">
        <w:rPr>
          <w:i/>
          <w:iCs/>
          <w:lang w:val="en-US"/>
        </w:rPr>
        <w:t xml:space="preserve"> </w:t>
      </w:r>
      <w:proofErr w:type="spellStart"/>
      <w:r w:rsidRPr="0007604E">
        <w:rPr>
          <w:i/>
          <w:iCs/>
          <w:lang w:val="en-US"/>
        </w:rPr>
        <w:t>em</w:t>
      </w:r>
      <w:proofErr w:type="spellEnd"/>
      <w:r w:rsidRPr="0007604E">
        <w:rPr>
          <w:i/>
          <w:iCs/>
          <w:lang w:val="en-US"/>
        </w:rPr>
        <w:t xml:space="preserve"> </w:t>
      </w:r>
      <w:proofErr w:type="spellStart"/>
      <w:r w:rsidRPr="0007604E">
        <w:rPr>
          <w:i/>
          <w:iCs/>
          <w:lang w:val="en-US"/>
        </w:rPr>
        <w:t>Ações</w:t>
      </w:r>
      <w:proofErr w:type="spellEnd"/>
      <w:r w:rsidRPr="0007604E">
        <w:rPr>
          <w:i/>
          <w:iCs/>
          <w:lang w:val="en-US"/>
        </w:rPr>
        <w:t>)</w:t>
      </w:r>
      <w:r w:rsidRPr="0007604E">
        <w:rPr>
          <w:i/>
          <w:iCs/>
          <w:lang w:val="en-US"/>
        </w:rPr>
        <w:t xml:space="preserve"> –</w:t>
      </w:r>
      <w:r w:rsidRPr="0007604E">
        <w:rPr>
          <w:lang w:val="en-US"/>
        </w:rPr>
        <w:t xml:space="preserve"> Having a bit more of</w:t>
      </w:r>
      <w:r>
        <w:rPr>
          <w:lang w:val="en-US"/>
        </w:rPr>
        <w:t xml:space="preserve"> leeway than Fixed Income Funds, Stock Investment Funds need to have at least a minimum percentage of their portfolio in stocks.</w:t>
      </w:r>
    </w:p>
    <w:p w14:paraId="2E20408F" w14:textId="4A24542A" w:rsidR="0007604E" w:rsidRDefault="0007604E" w:rsidP="002F76E0">
      <w:pPr>
        <w:pStyle w:val="ListParagraph"/>
        <w:numPr>
          <w:ilvl w:val="0"/>
          <w:numId w:val="2"/>
        </w:numPr>
        <w:rPr>
          <w:lang w:val="en-US"/>
        </w:rPr>
      </w:pPr>
      <w:r w:rsidRPr="0007604E">
        <w:rPr>
          <w:lang w:val="en-US"/>
        </w:rPr>
        <w:lastRenderedPageBreak/>
        <w:t xml:space="preserve">Hedge Fund </w:t>
      </w:r>
      <w:r w:rsidRPr="0007604E">
        <w:rPr>
          <w:i/>
          <w:iCs/>
          <w:lang w:val="en-US"/>
        </w:rPr>
        <w:t xml:space="preserve">– (in Portuguese, Fundo de </w:t>
      </w:r>
      <w:proofErr w:type="spellStart"/>
      <w:r w:rsidRPr="0007604E">
        <w:rPr>
          <w:i/>
          <w:iCs/>
          <w:lang w:val="en-US"/>
        </w:rPr>
        <w:t>Investimento</w:t>
      </w:r>
      <w:proofErr w:type="spellEnd"/>
      <w:r w:rsidRPr="0007604E">
        <w:rPr>
          <w:i/>
          <w:iCs/>
          <w:lang w:val="en-US"/>
        </w:rPr>
        <w:t xml:space="preserve"> </w:t>
      </w:r>
      <w:proofErr w:type="spellStart"/>
      <w:r w:rsidRPr="0007604E">
        <w:rPr>
          <w:i/>
          <w:iCs/>
          <w:lang w:val="en-US"/>
        </w:rPr>
        <w:t>Multimercado</w:t>
      </w:r>
      <w:proofErr w:type="spellEnd"/>
      <w:r w:rsidRPr="0007604E">
        <w:rPr>
          <w:i/>
          <w:iCs/>
          <w:lang w:val="en-US"/>
        </w:rPr>
        <w:t>)</w:t>
      </w:r>
      <w:r w:rsidRPr="0007604E">
        <w:rPr>
          <w:lang w:val="en-US"/>
        </w:rPr>
        <w:t xml:space="preserve"> – Hedge Funds have a larger freedom </w:t>
      </w:r>
      <w:r>
        <w:rPr>
          <w:lang w:val="en-US"/>
        </w:rPr>
        <w:t>in terms of investment abilities, being able to invest in several types of assets while still obliged to abide by the Brazilian regulations on the sector.</w:t>
      </w:r>
    </w:p>
    <w:p w14:paraId="6EBD9922" w14:textId="2ECDF3F0" w:rsidR="0007604E" w:rsidRDefault="0007604E" w:rsidP="002F76E0">
      <w:pPr>
        <w:pStyle w:val="ListParagraph"/>
        <w:numPr>
          <w:ilvl w:val="0"/>
          <w:numId w:val="2"/>
        </w:numPr>
        <w:rPr>
          <w:lang w:val="en-US"/>
        </w:rPr>
      </w:pPr>
      <w:r w:rsidRPr="00F63633">
        <w:rPr>
          <w:lang w:val="en-US"/>
        </w:rPr>
        <w:t xml:space="preserve">Pension Fund – </w:t>
      </w:r>
      <w:r w:rsidRPr="00F63633">
        <w:rPr>
          <w:i/>
          <w:iCs/>
          <w:lang w:val="en-US"/>
        </w:rPr>
        <w:t>(in P</w:t>
      </w:r>
      <w:r w:rsidR="00F63633" w:rsidRPr="00F63633">
        <w:rPr>
          <w:i/>
          <w:iCs/>
          <w:lang w:val="en-US"/>
        </w:rPr>
        <w:t xml:space="preserve">ortuguese, Fundo de </w:t>
      </w:r>
      <w:proofErr w:type="spellStart"/>
      <w:r w:rsidR="00F63633" w:rsidRPr="00F63633">
        <w:rPr>
          <w:i/>
          <w:iCs/>
          <w:lang w:val="en-US"/>
        </w:rPr>
        <w:t>Previdência</w:t>
      </w:r>
      <w:proofErr w:type="spellEnd"/>
      <w:r w:rsidR="00F63633" w:rsidRPr="00F63633">
        <w:rPr>
          <w:i/>
          <w:iCs/>
          <w:lang w:val="en-US"/>
        </w:rPr>
        <w:t>) –</w:t>
      </w:r>
      <w:r w:rsidR="00F63633" w:rsidRPr="00F63633">
        <w:rPr>
          <w:u w:val="single"/>
          <w:lang w:val="en-US"/>
        </w:rPr>
        <w:t xml:space="preserve"> </w:t>
      </w:r>
      <w:r w:rsidR="00F63633" w:rsidRPr="00F63633">
        <w:rPr>
          <w:lang w:val="en-US"/>
        </w:rPr>
        <w:t>Pension funds</w:t>
      </w:r>
      <w:r w:rsidR="00F63633">
        <w:rPr>
          <w:lang w:val="en-US"/>
        </w:rPr>
        <w:t xml:space="preserve"> are a special class of funds that support private retirement programs. Those programs may be specific to the workers of a given company, or available for the general public.</w:t>
      </w:r>
    </w:p>
    <w:p w14:paraId="2E13F81C" w14:textId="38D105CA" w:rsidR="00F63633" w:rsidRPr="00F63633" w:rsidRDefault="00F63633" w:rsidP="002F76E0">
      <w:pPr>
        <w:pStyle w:val="ListParagraph"/>
        <w:numPr>
          <w:ilvl w:val="0"/>
          <w:numId w:val="2"/>
        </w:numPr>
        <w:rPr>
          <w:lang w:val="en-US"/>
        </w:rPr>
      </w:pPr>
      <w:r w:rsidRPr="00F63633">
        <w:rPr>
          <w:lang w:val="en-US"/>
        </w:rPr>
        <w:t xml:space="preserve">FX Fund – </w:t>
      </w:r>
      <w:r w:rsidRPr="00F63633">
        <w:rPr>
          <w:i/>
          <w:iCs/>
          <w:lang w:val="en-US"/>
        </w:rPr>
        <w:t>(in Portuguese, Fundo Cambial)</w:t>
      </w:r>
      <w:r w:rsidRPr="00F63633">
        <w:rPr>
          <w:lang w:val="en-US"/>
        </w:rPr>
        <w:t xml:space="preserve"> – FX funds are</w:t>
      </w:r>
      <w:r>
        <w:rPr>
          <w:lang w:val="en-US"/>
        </w:rPr>
        <w:t xml:space="preserve"> </w:t>
      </w:r>
      <w:proofErr w:type="gramStart"/>
      <w:r>
        <w:rPr>
          <w:lang w:val="en-US"/>
        </w:rPr>
        <w:t>funds</w:t>
      </w:r>
      <w:proofErr w:type="gramEnd"/>
      <w:r>
        <w:rPr>
          <w:lang w:val="en-US"/>
        </w:rPr>
        <w:t xml:space="preserve"> whose portfolio attempts to replicate the variation of a given currency (e.g., FX Funds may attempt to replicate the variation of the United States Dollar).</w:t>
      </w:r>
    </w:p>
    <w:p w14:paraId="4E609E30" w14:textId="45D7D9AB" w:rsidR="002F76E0" w:rsidRDefault="002F76E0" w:rsidP="002F76E0">
      <w:pPr>
        <w:rPr>
          <w:lang w:val="en-US"/>
        </w:rPr>
      </w:pPr>
      <w:r w:rsidRPr="00F63633">
        <w:rPr>
          <w:lang w:val="en-US"/>
        </w:rPr>
        <w:t xml:space="preserve"> </w:t>
      </w:r>
    </w:p>
    <w:p w14:paraId="09ADE4FB" w14:textId="77777777" w:rsidR="00F63633" w:rsidRDefault="00F63633" w:rsidP="002F76E0">
      <w:pPr>
        <w:rPr>
          <w:lang w:val="en-US"/>
        </w:rPr>
      </w:pPr>
      <w:r>
        <w:rPr>
          <w:lang w:val="en-US"/>
        </w:rPr>
        <w:t>Investment funds need to have three main entities:</w:t>
      </w:r>
    </w:p>
    <w:p w14:paraId="04C6534F" w14:textId="010DAF43" w:rsidR="00F63633" w:rsidRDefault="00F63633" w:rsidP="00F63633">
      <w:pPr>
        <w:pStyle w:val="ListParagraph"/>
        <w:numPr>
          <w:ilvl w:val="0"/>
          <w:numId w:val="3"/>
        </w:numPr>
        <w:rPr>
          <w:lang w:val="en-US"/>
        </w:rPr>
      </w:pPr>
      <w:r w:rsidRPr="00F63633">
        <w:rPr>
          <w:lang w:val="en-US"/>
        </w:rPr>
        <w:t xml:space="preserve">a management company that owns the fund, being responsible to buy and sell assets, along with managing the portfolio and its </w:t>
      </w:r>
      <w:proofErr w:type="gramStart"/>
      <w:r w:rsidRPr="00F63633">
        <w:rPr>
          <w:lang w:val="en-US"/>
        </w:rPr>
        <w:t>risk</w:t>
      </w:r>
      <w:r>
        <w:rPr>
          <w:lang w:val="en-US"/>
        </w:rPr>
        <w:t>;</w:t>
      </w:r>
      <w:proofErr w:type="gramEnd"/>
    </w:p>
    <w:p w14:paraId="562AB353" w14:textId="4F18657E" w:rsidR="00F63633" w:rsidRDefault="00F63633" w:rsidP="00F63633">
      <w:pPr>
        <w:pStyle w:val="ListParagraph"/>
        <w:numPr>
          <w:ilvl w:val="0"/>
          <w:numId w:val="3"/>
        </w:numPr>
        <w:rPr>
          <w:lang w:val="en-US"/>
        </w:rPr>
      </w:pPr>
      <w:r>
        <w:rPr>
          <w:lang w:val="en-US"/>
        </w:rPr>
        <w:t xml:space="preserve">an administrator, responsible to process trades, register the portfolio and price </w:t>
      </w:r>
      <w:proofErr w:type="gramStart"/>
      <w:r>
        <w:rPr>
          <w:lang w:val="en-US"/>
        </w:rPr>
        <w:t>assets;</w:t>
      </w:r>
      <w:proofErr w:type="gramEnd"/>
    </w:p>
    <w:p w14:paraId="20A7AEBA" w14:textId="01DC71FD" w:rsidR="00F63633" w:rsidRPr="00F63633" w:rsidRDefault="00F63633" w:rsidP="00F63633">
      <w:pPr>
        <w:pStyle w:val="ListParagraph"/>
        <w:numPr>
          <w:ilvl w:val="0"/>
          <w:numId w:val="3"/>
        </w:numPr>
        <w:rPr>
          <w:lang w:val="en-US"/>
        </w:rPr>
      </w:pPr>
      <w:r>
        <w:rPr>
          <w:lang w:val="en-US"/>
        </w:rPr>
        <w:t>a safekeeper, responsible to safeguard the assets.</w:t>
      </w:r>
    </w:p>
    <w:p w14:paraId="7872A60E" w14:textId="77777777" w:rsidR="004C2AC2" w:rsidRDefault="004C2AC2" w:rsidP="002F76E0">
      <w:pPr>
        <w:rPr>
          <w:lang w:val="en-US"/>
        </w:rPr>
      </w:pPr>
    </w:p>
    <w:p w14:paraId="26947530" w14:textId="3E82CF5C" w:rsidR="00F63633" w:rsidRDefault="004C2AC2" w:rsidP="002F76E0">
      <w:pPr>
        <w:rPr>
          <w:lang w:val="en-US"/>
        </w:rPr>
      </w:pPr>
      <w:r>
        <w:rPr>
          <w:lang w:val="en-US"/>
        </w:rPr>
        <w:t>Subscription and redemption of shares on closed funds involve the steps below:</w:t>
      </w:r>
    </w:p>
    <w:p w14:paraId="6E35EF2C" w14:textId="479DC4D4" w:rsidR="004C2AC2" w:rsidRDefault="004C2AC2" w:rsidP="004C2AC2">
      <w:pPr>
        <w:pStyle w:val="ListParagraph"/>
        <w:numPr>
          <w:ilvl w:val="0"/>
          <w:numId w:val="4"/>
        </w:numPr>
        <w:rPr>
          <w:lang w:val="en-US"/>
        </w:rPr>
      </w:pPr>
      <w:r>
        <w:rPr>
          <w:lang w:val="en-US"/>
        </w:rPr>
        <w:t>Subscription</w:t>
      </w:r>
    </w:p>
    <w:p w14:paraId="3B59D0C1" w14:textId="22B1EAB7" w:rsidR="004C2AC2" w:rsidRDefault="004C2AC2" w:rsidP="004C2AC2">
      <w:pPr>
        <w:pStyle w:val="ListParagraph"/>
        <w:numPr>
          <w:ilvl w:val="1"/>
          <w:numId w:val="4"/>
        </w:numPr>
        <w:rPr>
          <w:lang w:val="en-US"/>
        </w:rPr>
      </w:pPr>
      <w:r>
        <w:rPr>
          <w:lang w:val="en-US"/>
        </w:rPr>
        <w:t xml:space="preserve">A shareholder registers itself within the fund management </w:t>
      </w:r>
      <w:proofErr w:type="gramStart"/>
      <w:r>
        <w:rPr>
          <w:lang w:val="en-US"/>
        </w:rPr>
        <w:t>company;</w:t>
      </w:r>
      <w:proofErr w:type="gramEnd"/>
    </w:p>
    <w:p w14:paraId="6D0B4999" w14:textId="5AA7E2EC" w:rsidR="004C2AC2" w:rsidRDefault="004C2AC2" w:rsidP="004C2AC2">
      <w:pPr>
        <w:pStyle w:val="ListParagraph"/>
        <w:numPr>
          <w:ilvl w:val="1"/>
          <w:numId w:val="4"/>
        </w:numPr>
        <w:rPr>
          <w:lang w:val="en-US"/>
        </w:rPr>
      </w:pPr>
      <w:r>
        <w:rPr>
          <w:lang w:val="en-US"/>
        </w:rPr>
        <w:t xml:space="preserve">The shareholder transfers a given sum of money towards the </w:t>
      </w:r>
      <w:proofErr w:type="gramStart"/>
      <w:r>
        <w:rPr>
          <w:lang w:val="en-US"/>
        </w:rPr>
        <w:t>fund;</w:t>
      </w:r>
      <w:proofErr w:type="gramEnd"/>
    </w:p>
    <w:p w14:paraId="75B96DF8" w14:textId="134067B6" w:rsidR="004C2AC2" w:rsidRDefault="004C2AC2" w:rsidP="004C2AC2">
      <w:pPr>
        <w:pStyle w:val="ListParagraph"/>
        <w:numPr>
          <w:ilvl w:val="1"/>
          <w:numId w:val="4"/>
        </w:numPr>
        <w:rPr>
          <w:lang w:val="en-US"/>
        </w:rPr>
      </w:pPr>
      <w:r>
        <w:rPr>
          <w:lang w:val="en-US"/>
        </w:rPr>
        <w:t>According to the share conversion policy (that determines which day’s share value will be used to compute the shareholder’s position in shares), the monies are incorporated into the fund’s assets and in exchange the shareholder receives a given number of shares.</w:t>
      </w:r>
    </w:p>
    <w:p w14:paraId="6A4BC31C" w14:textId="208D8730" w:rsidR="004C2AC2" w:rsidRDefault="004C2AC2" w:rsidP="004C2AC2">
      <w:pPr>
        <w:pStyle w:val="ListParagraph"/>
        <w:numPr>
          <w:ilvl w:val="0"/>
          <w:numId w:val="4"/>
        </w:numPr>
        <w:rPr>
          <w:lang w:val="en-US"/>
        </w:rPr>
      </w:pPr>
      <w:r>
        <w:rPr>
          <w:lang w:val="en-US"/>
        </w:rPr>
        <w:t>Redemption</w:t>
      </w:r>
    </w:p>
    <w:p w14:paraId="7087FB99" w14:textId="0168CA88" w:rsidR="004C2AC2" w:rsidRDefault="004C2AC2" w:rsidP="004C2AC2">
      <w:pPr>
        <w:pStyle w:val="ListParagraph"/>
        <w:numPr>
          <w:ilvl w:val="1"/>
          <w:numId w:val="4"/>
        </w:numPr>
        <w:rPr>
          <w:lang w:val="en-US"/>
        </w:rPr>
      </w:pPr>
      <w:r>
        <w:rPr>
          <w:lang w:val="en-US"/>
        </w:rPr>
        <w:t>The shareholder requisites the management company to redeem a given number of shares (ranging from a minimum value to the whole amount of shares detained by the shareholder).</w:t>
      </w:r>
    </w:p>
    <w:p w14:paraId="2C2E8771" w14:textId="5DB4EA69" w:rsidR="004C2AC2" w:rsidRPr="004C2AC2" w:rsidRDefault="004C2AC2" w:rsidP="004C2AC2">
      <w:pPr>
        <w:pStyle w:val="ListParagraph"/>
        <w:numPr>
          <w:ilvl w:val="1"/>
          <w:numId w:val="4"/>
        </w:numPr>
        <w:rPr>
          <w:lang w:val="en-US"/>
        </w:rPr>
      </w:pPr>
      <w:r>
        <w:rPr>
          <w:lang w:val="en-US"/>
        </w:rPr>
        <w:t xml:space="preserve">The redemption request is sent to the administrator, which will process the share conversion according to the fund’s </w:t>
      </w:r>
      <w:r>
        <w:rPr>
          <w:b/>
          <w:bCs/>
          <w:lang w:val="en-US"/>
        </w:rPr>
        <w:t>regulation</w:t>
      </w:r>
      <w:r>
        <w:rPr>
          <w:lang w:val="en-US"/>
        </w:rPr>
        <w:t xml:space="preserve"> and, according to the payment date, transfers to a bank account specified by the shareholder the monies related to the redemption request.</w:t>
      </w:r>
    </w:p>
    <w:p w14:paraId="2253B5B5" w14:textId="77777777" w:rsidR="002F76E0" w:rsidRPr="00F63633" w:rsidRDefault="002F76E0" w:rsidP="002F76E0">
      <w:pPr>
        <w:rPr>
          <w:lang w:val="en-US"/>
        </w:rPr>
      </w:pPr>
    </w:p>
    <w:p w14:paraId="5F869AD5" w14:textId="26285F8C" w:rsidR="002F76E0" w:rsidRPr="002F76E0" w:rsidRDefault="002F76E0" w:rsidP="005D05A4">
      <w:pPr>
        <w:pStyle w:val="Heading2"/>
        <w:rPr>
          <w:lang w:val="en-US"/>
        </w:rPr>
      </w:pPr>
      <w:r>
        <w:rPr>
          <w:lang w:val="en-US"/>
        </w:rPr>
        <w:t xml:space="preserve">Data items used on this </w:t>
      </w:r>
      <w:proofErr w:type="gramStart"/>
      <w:r>
        <w:rPr>
          <w:lang w:val="en-US"/>
        </w:rPr>
        <w:t>project</w:t>
      </w:r>
      <w:proofErr w:type="gramEnd"/>
    </w:p>
    <w:p w14:paraId="169A65A5" w14:textId="3C3A2DB4" w:rsidR="002F76E0" w:rsidRPr="002F76E0" w:rsidRDefault="002F76E0">
      <w:pPr>
        <w:rPr>
          <w:lang w:val="en-US"/>
        </w:rPr>
      </w:pPr>
    </w:p>
    <w:p w14:paraId="0C34437A" w14:textId="68215DAB" w:rsidR="0047413C" w:rsidRDefault="005D05A4" w:rsidP="002F76E0">
      <w:pPr>
        <w:rPr>
          <w:lang w:val="en-US"/>
        </w:rPr>
      </w:pPr>
      <w:r>
        <w:rPr>
          <w:lang w:val="en-US"/>
        </w:rPr>
        <w:t>All investment funds must be registered on CVM (</w:t>
      </w:r>
      <w:proofErr w:type="spellStart"/>
      <w:r>
        <w:rPr>
          <w:i/>
          <w:iCs/>
          <w:lang w:val="en-US"/>
        </w:rPr>
        <w:t>Comissão</w:t>
      </w:r>
      <w:proofErr w:type="spellEnd"/>
      <w:r>
        <w:rPr>
          <w:i/>
          <w:iCs/>
          <w:lang w:val="en-US"/>
        </w:rPr>
        <w:t xml:space="preserve"> de </w:t>
      </w:r>
      <w:proofErr w:type="spellStart"/>
      <w:r>
        <w:rPr>
          <w:i/>
          <w:iCs/>
          <w:lang w:val="en-US"/>
        </w:rPr>
        <w:t>Valores</w:t>
      </w:r>
      <w:proofErr w:type="spellEnd"/>
      <w:r>
        <w:rPr>
          <w:i/>
          <w:iCs/>
          <w:lang w:val="en-US"/>
        </w:rPr>
        <w:t xml:space="preserve"> </w:t>
      </w:r>
      <w:proofErr w:type="spellStart"/>
      <w:r>
        <w:rPr>
          <w:i/>
          <w:iCs/>
          <w:lang w:val="en-US"/>
        </w:rPr>
        <w:t>Mobiliários</w:t>
      </w:r>
      <w:proofErr w:type="spellEnd"/>
      <w:r>
        <w:rPr>
          <w:i/>
          <w:iCs/>
          <w:lang w:val="en-US"/>
        </w:rPr>
        <w:t xml:space="preserve">, </w:t>
      </w:r>
      <w:r>
        <w:rPr>
          <w:lang w:val="en-US"/>
        </w:rPr>
        <w:t>Securi</w:t>
      </w:r>
      <w:r w:rsidR="00E61B41">
        <w:rPr>
          <w:lang w:val="en-US"/>
        </w:rPr>
        <w:t xml:space="preserve">ties and Exchange </w:t>
      </w:r>
      <w:proofErr w:type="spellStart"/>
      <w:r w:rsidR="00E61B41">
        <w:rPr>
          <w:lang w:val="en-US"/>
        </w:rPr>
        <w:t>Commision</w:t>
      </w:r>
      <w:proofErr w:type="spellEnd"/>
      <w:r w:rsidR="00E61B41">
        <w:rPr>
          <w:lang w:val="en-US"/>
        </w:rPr>
        <w:t xml:space="preserve"> in Portuguese), a Brazilian federal authority responsible to regulate capital markets and their participants. They are also required to send daily the value of their shares, along with the subscription and redemption volume liquidated on a given day. </w:t>
      </w:r>
    </w:p>
    <w:p w14:paraId="639DB1FD" w14:textId="1335E8DD" w:rsidR="00E61B41" w:rsidRDefault="00E61B41" w:rsidP="002F76E0">
      <w:pPr>
        <w:rPr>
          <w:lang w:val="en-US"/>
        </w:rPr>
      </w:pPr>
      <w:r>
        <w:rPr>
          <w:lang w:val="en-US"/>
        </w:rPr>
        <w:t>A list of investment funds registered in Brazil since the late 90’s, along with CSV files containing the daily reported share values and subscription/redemption volumes for the period between 2017 and 2020 were obtained from CVM on the following links.</w:t>
      </w:r>
    </w:p>
    <w:p w14:paraId="16331AE3" w14:textId="5B7FABA7" w:rsidR="00E61B41" w:rsidRDefault="00E61B41" w:rsidP="002F76E0">
      <w:pPr>
        <w:rPr>
          <w:lang w:val="en-US"/>
        </w:rPr>
      </w:pPr>
      <w:r>
        <w:rPr>
          <w:lang w:val="en-US"/>
        </w:rPr>
        <w:lastRenderedPageBreak/>
        <w:t>In order to filter hedge funds, the reference portfolio of IHFA (</w:t>
      </w:r>
      <w:proofErr w:type="spellStart"/>
      <w:r>
        <w:rPr>
          <w:i/>
          <w:iCs/>
          <w:lang w:val="en-US"/>
        </w:rPr>
        <w:t>Índice</w:t>
      </w:r>
      <w:proofErr w:type="spellEnd"/>
      <w:r>
        <w:rPr>
          <w:i/>
          <w:iCs/>
          <w:lang w:val="en-US"/>
        </w:rPr>
        <w:t xml:space="preserve"> de Hedge Funds </w:t>
      </w:r>
      <w:proofErr w:type="spellStart"/>
      <w:r>
        <w:rPr>
          <w:i/>
          <w:iCs/>
          <w:lang w:val="en-US"/>
        </w:rPr>
        <w:t>Anbima</w:t>
      </w:r>
      <w:proofErr w:type="spellEnd"/>
      <w:r>
        <w:rPr>
          <w:i/>
          <w:iCs/>
          <w:lang w:val="en-US"/>
        </w:rPr>
        <w:t xml:space="preserve"> – </w:t>
      </w:r>
      <w:r>
        <w:rPr>
          <w:lang w:val="en-US"/>
        </w:rPr>
        <w:t>ANBIMA Hedge Fund Index) on the 4</w:t>
      </w:r>
      <w:r w:rsidRPr="00E61B41">
        <w:rPr>
          <w:vertAlign w:val="superscript"/>
          <w:lang w:val="en-US"/>
        </w:rPr>
        <w:t>th</w:t>
      </w:r>
      <w:r>
        <w:rPr>
          <w:lang w:val="en-US"/>
        </w:rPr>
        <w:t xml:space="preserve"> quarter of 2020 was used, and can be accessed here:</w:t>
      </w:r>
    </w:p>
    <w:p w14:paraId="4BE90966" w14:textId="461A5ED4" w:rsidR="00E61B41" w:rsidRDefault="00E61B41" w:rsidP="002F76E0">
      <w:pPr>
        <w:rPr>
          <w:lang w:val="en-US"/>
        </w:rPr>
      </w:pPr>
    </w:p>
    <w:p w14:paraId="7CB4BD82" w14:textId="738E9200" w:rsidR="00E61B41" w:rsidRDefault="00E61B41" w:rsidP="002F76E0">
      <w:pPr>
        <w:rPr>
          <w:lang w:val="en-US"/>
        </w:rPr>
      </w:pPr>
      <w:r>
        <w:rPr>
          <w:lang w:val="en-US"/>
        </w:rPr>
        <w:t xml:space="preserve">A historic series of IBOVESPA, the São Paulo’s Stock Market Index, was obtained via the </w:t>
      </w:r>
      <w:proofErr w:type="spellStart"/>
      <w:proofErr w:type="gramStart"/>
      <w:r>
        <w:rPr>
          <w:lang w:val="en-US"/>
        </w:rPr>
        <w:t>Yahoo!Finance</w:t>
      </w:r>
      <w:proofErr w:type="spellEnd"/>
      <w:proofErr w:type="gramEnd"/>
      <w:r>
        <w:rPr>
          <w:lang w:val="en-US"/>
        </w:rPr>
        <w:t xml:space="preserve"> API. More details can be found here.</w:t>
      </w:r>
    </w:p>
    <w:p w14:paraId="74C77437" w14:textId="39B5BAFA" w:rsidR="00E61B41" w:rsidRDefault="00E61B41" w:rsidP="002F76E0">
      <w:pPr>
        <w:rPr>
          <w:lang w:val="en-US"/>
        </w:rPr>
      </w:pPr>
    </w:p>
    <w:p w14:paraId="0BD2D387" w14:textId="3B6137B5" w:rsidR="00E61B41" w:rsidRDefault="00E61B41" w:rsidP="002F76E0">
      <w:pPr>
        <w:rPr>
          <w:lang w:val="en-US"/>
        </w:rPr>
      </w:pPr>
      <w:r>
        <w:rPr>
          <w:lang w:val="en-US"/>
        </w:rPr>
        <w:t xml:space="preserve">A historic series of SELIC, </w:t>
      </w:r>
      <w:r w:rsidR="000E2718">
        <w:rPr>
          <w:lang w:val="en-US"/>
        </w:rPr>
        <w:t xml:space="preserve">the Brazilian base interest rate, was obtained by using an API from the Brazilian Central Bank. </w:t>
      </w:r>
      <w:r w:rsidR="000E2718" w:rsidRPr="000E2718">
        <w:rPr>
          <w:lang w:val="en-US"/>
        </w:rPr>
        <w:t>http://api.bcb.gov.br/dados/serie/bcdata.sgs.4189/dados?formato=json&amp;dataInicial=01/01/2017&amp;dataFinal=31/12/2020</w:t>
      </w:r>
    </w:p>
    <w:p w14:paraId="78FB4B2B" w14:textId="77777777" w:rsidR="00E61B41" w:rsidRPr="00E61B41" w:rsidRDefault="00E61B41" w:rsidP="002F76E0">
      <w:pPr>
        <w:rPr>
          <w:lang w:val="en-US"/>
        </w:rPr>
      </w:pPr>
    </w:p>
    <w:p w14:paraId="42B4E222" w14:textId="77777777" w:rsidR="005D05A4" w:rsidRDefault="005D05A4" w:rsidP="002F76E0">
      <w:pPr>
        <w:rPr>
          <w:lang w:val="en-US"/>
        </w:rPr>
      </w:pPr>
    </w:p>
    <w:p w14:paraId="73D5C71D" w14:textId="77777777" w:rsidR="005D05A4" w:rsidRDefault="005D05A4" w:rsidP="002F76E0">
      <w:pPr>
        <w:rPr>
          <w:lang w:val="en-US"/>
        </w:rPr>
      </w:pPr>
    </w:p>
    <w:p w14:paraId="5BB4764B" w14:textId="352AF89C" w:rsidR="0047413C" w:rsidRPr="002F76E0" w:rsidRDefault="0047413C" w:rsidP="002F76E0">
      <w:pPr>
        <w:rPr>
          <w:lang w:val="en-US"/>
        </w:rPr>
      </w:pPr>
      <w:r>
        <w:rPr>
          <w:lang w:val="en-US"/>
        </w:rPr>
        <w:t>Bibliography:</w:t>
      </w:r>
    </w:p>
    <w:p w14:paraId="631588F5" w14:textId="76A41D99" w:rsidR="002F76E0" w:rsidRDefault="0047413C">
      <w:pPr>
        <w:rPr>
          <w:lang w:val="en-US"/>
        </w:rPr>
      </w:pPr>
      <w:r>
        <w:rPr>
          <w:lang w:val="en-US"/>
        </w:rPr>
        <w:t xml:space="preserve">[1] - </w:t>
      </w:r>
      <w:hyperlink r:id="rId7" w:history="1">
        <w:r w:rsidRPr="00F81FBC">
          <w:rPr>
            <w:rStyle w:val="Hyperlink"/>
            <w:lang w:val="en-US"/>
          </w:rPr>
          <w:t>https://www.anbima.com.br/pt_br/informar/relatorios/fundos-de-investimento/boletim-de-fundos-de-investimentos/classe-multimercados-registra-recorde-em-entrada-liquida-de-recursos-no-ano.htm</w:t>
        </w:r>
      </w:hyperlink>
    </w:p>
    <w:p w14:paraId="28687FBA" w14:textId="1FB178D1" w:rsidR="00B04F5D" w:rsidRPr="002F76E0" w:rsidRDefault="0047413C" w:rsidP="0047413C">
      <w:pPr>
        <w:rPr>
          <w:lang w:val="en-US"/>
        </w:rPr>
      </w:pPr>
      <w:r>
        <w:rPr>
          <w:lang w:val="en-US"/>
        </w:rPr>
        <w:t xml:space="preserve">[2] - </w:t>
      </w:r>
      <w:r w:rsidRPr="0047413C">
        <w:rPr>
          <w:lang w:val="en-US"/>
        </w:rPr>
        <w:t>https://www.anbima.com.br/pt_br/especial/raio-x-do-investidor-2020.htm#Onde</w:t>
      </w:r>
    </w:p>
    <w:sectPr w:rsidR="00B04F5D" w:rsidRPr="002F76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E41B0"/>
    <w:multiLevelType w:val="hybridMultilevel"/>
    <w:tmpl w:val="6DE420A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E0F544C"/>
    <w:multiLevelType w:val="hybridMultilevel"/>
    <w:tmpl w:val="73ACE8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6D5333F"/>
    <w:multiLevelType w:val="hybridMultilevel"/>
    <w:tmpl w:val="7E6EA7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F350AC1"/>
    <w:multiLevelType w:val="hybridMultilevel"/>
    <w:tmpl w:val="8B2EF6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FA94450"/>
    <w:multiLevelType w:val="hybridMultilevel"/>
    <w:tmpl w:val="03FE85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E0"/>
    <w:rsid w:val="0007604E"/>
    <w:rsid w:val="000E2718"/>
    <w:rsid w:val="001417D2"/>
    <w:rsid w:val="001C168C"/>
    <w:rsid w:val="002311AB"/>
    <w:rsid w:val="002726A9"/>
    <w:rsid w:val="002F76E0"/>
    <w:rsid w:val="0047413C"/>
    <w:rsid w:val="004C2AC2"/>
    <w:rsid w:val="005D05A4"/>
    <w:rsid w:val="005D6A7E"/>
    <w:rsid w:val="00686362"/>
    <w:rsid w:val="008C5A93"/>
    <w:rsid w:val="009459C0"/>
    <w:rsid w:val="00A97BF9"/>
    <w:rsid w:val="00B04F5D"/>
    <w:rsid w:val="00B13BFD"/>
    <w:rsid w:val="00CD7155"/>
    <w:rsid w:val="00DE46C5"/>
    <w:rsid w:val="00E61B41"/>
    <w:rsid w:val="00E7763E"/>
    <w:rsid w:val="00F636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8E4C"/>
  <w15:chartTrackingRefBased/>
  <w15:docId w15:val="{B6C0345D-EB1B-4F30-B1B4-6F80714F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0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05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6E0"/>
    <w:pPr>
      <w:ind w:left="720"/>
      <w:contextualSpacing/>
    </w:pPr>
  </w:style>
  <w:style w:type="character" w:styleId="Hyperlink">
    <w:name w:val="Hyperlink"/>
    <w:basedOn w:val="DefaultParagraphFont"/>
    <w:uiPriority w:val="99"/>
    <w:unhideWhenUsed/>
    <w:rsid w:val="00B04F5D"/>
    <w:rPr>
      <w:color w:val="0563C1" w:themeColor="hyperlink"/>
      <w:u w:val="single"/>
    </w:rPr>
  </w:style>
  <w:style w:type="character" w:styleId="UnresolvedMention">
    <w:name w:val="Unresolved Mention"/>
    <w:basedOn w:val="DefaultParagraphFont"/>
    <w:uiPriority w:val="99"/>
    <w:semiHidden/>
    <w:unhideWhenUsed/>
    <w:rsid w:val="00B04F5D"/>
    <w:rPr>
      <w:color w:val="605E5C"/>
      <w:shd w:val="clear" w:color="auto" w:fill="E1DFDD"/>
    </w:rPr>
  </w:style>
  <w:style w:type="character" w:customStyle="1" w:styleId="Heading2Char">
    <w:name w:val="Heading 2 Char"/>
    <w:basedOn w:val="DefaultParagraphFont"/>
    <w:link w:val="Heading2"/>
    <w:uiPriority w:val="9"/>
    <w:rsid w:val="005D05A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D05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D05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bima.com.br/pt_br/informar/relatorios/fundos-de-investimento/boletim-de-fundos-de-investimentos/classe-multimercados-registra-recorde-em-entrada-liquida-de-recursos-no-ano.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Total</a:t>
            </a:r>
            <a:r>
              <a:rPr lang="pt-BR" baseline="0"/>
              <a:t> Net Worth of Brazilian Investment Funds - in million BRL</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Sheet1!$A$4:$A$18</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Sheet1!$B$4:$B$18</c:f>
              <c:numCache>
                <c:formatCode>_(* #,##0.00_);_(* \(#,##0.00\);_(* "-"??_);_(@_)</c:formatCode>
                <c:ptCount val="15"/>
                <c:pt idx="0">
                  <c:v>939626.19070499996</c:v>
                </c:pt>
                <c:pt idx="1">
                  <c:v>1160831.4815380506</c:v>
                </c:pt>
                <c:pt idx="2">
                  <c:v>1126616.85078223</c:v>
                </c:pt>
                <c:pt idx="3">
                  <c:v>1403649.9315149104</c:v>
                </c:pt>
                <c:pt idx="4">
                  <c:v>1671906.7776818506</c:v>
                </c:pt>
                <c:pt idx="5">
                  <c:v>1942837.6713282401</c:v>
                </c:pt>
                <c:pt idx="6">
                  <c:v>2272338.3847502898</c:v>
                </c:pt>
                <c:pt idx="7">
                  <c:v>2471473.9558171001</c:v>
                </c:pt>
                <c:pt idx="8">
                  <c:v>2693573.8191815391</c:v>
                </c:pt>
                <c:pt idx="9">
                  <c:v>2997295.8423312507</c:v>
                </c:pt>
                <c:pt idx="10">
                  <c:v>3492861.2949796324</c:v>
                </c:pt>
                <c:pt idx="11">
                  <c:v>4150904.2715535387</c:v>
                </c:pt>
                <c:pt idx="12">
                  <c:v>4642190.6832847251</c:v>
                </c:pt>
                <c:pt idx="13">
                  <c:v>5469496.2820039196</c:v>
                </c:pt>
                <c:pt idx="14">
                  <c:v>6004511.3501878874</c:v>
                </c:pt>
              </c:numCache>
            </c:numRef>
          </c:val>
          <c:smooth val="0"/>
          <c:extLst>
            <c:ext xmlns:c16="http://schemas.microsoft.com/office/drawing/2014/chart" uri="{C3380CC4-5D6E-409C-BE32-E72D297353CC}">
              <c16:uniqueId val="{00000000-8743-4B7B-9EC1-B1EBB174F955}"/>
            </c:ext>
          </c:extLst>
        </c:ser>
        <c:dLbls>
          <c:showLegendKey val="0"/>
          <c:showVal val="0"/>
          <c:showCatName val="0"/>
          <c:showSerName val="0"/>
          <c:showPercent val="0"/>
          <c:showBubbleSize val="0"/>
        </c:dLbls>
        <c:smooth val="0"/>
        <c:axId val="653944320"/>
        <c:axId val="653945632"/>
      </c:lineChart>
      <c:catAx>
        <c:axId val="653944320"/>
        <c:scaling>
          <c:orientation val="minMax"/>
          <c:max val="15"/>
          <c:min val="1"/>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3945632"/>
        <c:crosses val="autoZero"/>
        <c:auto val="0"/>
        <c:lblAlgn val="ctr"/>
        <c:lblOffset val="100"/>
        <c:noMultiLvlLbl val="0"/>
      </c:catAx>
      <c:valAx>
        <c:axId val="653945632"/>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3944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Count</a:t>
            </a:r>
            <a:r>
              <a:rPr lang="pt-BR" baseline="0"/>
              <a:t> of Investment Funds per Class</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areaChart>
        <c:grouping val="stacked"/>
        <c:varyColors val="0"/>
        <c:ser>
          <c:idx val="0"/>
          <c:order val="0"/>
          <c:tx>
            <c:v>Fixed Income</c:v>
          </c:tx>
          <c:spPr>
            <a:solidFill>
              <a:schemeClr val="accent1"/>
            </a:solidFill>
            <a:ln>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Sheet2!$B$3:$B$17</c:f>
              <c:numCache>
                <c:formatCode>_(* #,##0_);_(* \(#,##0\);_(* "-"??_);_(@_)</c:formatCode>
                <c:ptCount val="15"/>
                <c:pt idx="0">
                  <c:v>1773</c:v>
                </c:pt>
                <c:pt idx="1">
                  <c:v>1685</c:v>
                </c:pt>
                <c:pt idx="2">
                  <c:v>1747</c:v>
                </c:pt>
                <c:pt idx="3">
                  <c:v>1855</c:v>
                </c:pt>
                <c:pt idx="4">
                  <c:v>1978</c:v>
                </c:pt>
                <c:pt idx="5">
                  <c:v>2140</c:v>
                </c:pt>
                <c:pt idx="6">
                  <c:v>2204</c:v>
                </c:pt>
                <c:pt idx="7">
                  <c:v>2240</c:v>
                </c:pt>
                <c:pt idx="8">
                  <c:v>2424</c:v>
                </c:pt>
                <c:pt idx="9">
                  <c:v>2541</c:v>
                </c:pt>
                <c:pt idx="10">
                  <c:v>2537</c:v>
                </c:pt>
                <c:pt idx="11">
                  <c:v>2505</c:v>
                </c:pt>
                <c:pt idx="12">
                  <c:v>2430</c:v>
                </c:pt>
                <c:pt idx="13">
                  <c:v>2579</c:v>
                </c:pt>
                <c:pt idx="14">
                  <c:v>2697</c:v>
                </c:pt>
              </c:numCache>
            </c:numRef>
          </c:val>
          <c:extLst>
            <c:ext xmlns:c16="http://schemas.microsoft.com/office/drawing/2014/chart" uri="{C3380CC4-5D6E-409C-BE32-E72D297353CC}">
              <c16:uniqueId val="{00000000-56FC-4EBF-AD02-3F11777A1FA6}"/>
            </c:ext>
          </c:extLst>
        </c:ser>
        <c:ser>
          <c:idx val="1"/>
          <c:order val="1"/>
          <c:tx>
            <c:v>Stock Funds</c:v>
          </c:tx>
          <c:spPr>
            <a:solidFill>
              <a:schemeClr val="accent2"/>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Sheet2!$C$3:$C$17</c:f>
              <c:numCache>
                <c:formatCode>_(* #,##0_);_(* \(#,##0\);_(* "-"??_);_(@_)</c:formatCode>
                <c:ptCount val="15"/>
                <c:pt idx="0">
                  <c:v>741</c:v>
                </c:pt>
                <c:pt idx="1">
                  <c:v>1036</c:v>
                </c:pt>
                <c:pt idx="2">
                  <c:v>1264</c:v>
                </c:pt>
                <c:pt idx="3">
                  <c:v>1397</c:v>
                </c:pt>
                <c:pt idx="4">
                  <c:v>1654</c:v>
                </c:pt>
                <c:pt idx="5">
                  <c:v>1785</c:v>
                </c:pt>
                <c:pt idx="6">
                  <c:v>1963</c:v>
                </c:pt>
                <c:pt idx="7">
                  <c:v>2129</c:v>
                </c:pt>
                <c:pt idx="8">
                  <c:v>2069</c:v>
                </c:pt>
                <c:pt idx="9">
                  <c:v>1898</c:v>
                </c:pt>
                <c:pt idx="10">
                  <c:v>1753</c:v>
                </c:pt>
                <c:pt idx="11">
                  <c:v>1849</c:v>
                </c:pt>
                <c:pt idx="12">
                  <c:v>2007</c:v>
                </c:pt>
                <c:pt idx="13">
                  <c:v>2397</c:v>
                </c:pt>
                <c:pt idx="14">
                  <c:v>2979</c:v>
                </c:pt>
              </c:numCache>
            </c:numRef>
          </c:val>
          <c:extLst>
            <c:ext xmlns:c16="http://schemas.microsoft.com/office/drawing/2014/chart" uri="{C3380CC4-5D6E-409C-BE32-E72D297353CC}">
              <c16:uniqueId val="{00000001-56FC-4EBF-AD02-3F11777A1FA6}"/>
            </c:ext>
          </c:extLst>
        </c:ser>
        <c:ser>
          <c:idx val="2"/>
          <c:order val="2"/>
          <c:tx>
            <c:v>Hedge Funds</c:v>
          </c:tx>
          <c:spPr>
            <a:solidFill>
              <a:schemeClr val="accent3"/>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Sheet2!$D$3:$D$17</c:f>
              <c:numCache>
                <c:formatCode>_(* #,##0_);_(* \(#,##0\);_(* "-"??_);_(@_)</c:formatCode>
                <c:ptCount val="15"/>
                <c:pt idx="0">
                  <c:v>3073</c:v>
                </c:pt>
                <c:pt idx="1">
                  <c:v>4466</c:v>
                </c:pt>
                <c:pt idx="2">
                  <c:v>4347</c:v>
                </c:pt>
                <c:pt idx="3">
                  <c:v>4498</c:v>
                </c:pt>
                <c:pt idx="4">
                  <c:v>5236</c:v>
                </c:pt>
                <c:pt idx="5">
                  <c:v>5755</c:v>
                </c:pt>
                <c:pt idx="6">
                  <c:v>6307</c:v>
                </c:pt>
                <c:pt idx="7">
                  <c:v>7025</c:v>
                </c:pt>
                <c:pt idx="8">
                  <c:v>7084</c:v>
                </c:pt>
                <c:pt idx="9">
                  <c:v>7042</c:v>
                </c:pt>
                <c:pt idx="10">
                  <c:v>7310</c:v>
                </c:pt>
                <c:pt idx="11">
                  <c:v>7893</c:v>
                </c:pt>
                <c:pt idx="12">
                  <c:v>8562</c:v>
                </c:pt>
                <c:pt idx="13">
                  <c:v>9538</c:v>
                </c:pt>
                <c:pt idx="14">
                  <c:v>10781</c:v>
                </c:pt>
              </c:numCache>
            </c:numRef>
          </c:val>
          <c:extLst>
            <c:ext xmlns:c16="http://schemas.microsoft.com/office/drawing/2014/chart" uri="{C3380CC4-5D6E-409C-BE32-E72D297353CC}">
              <c16:uniqueId val="{00000002-56FC-4EBF-AD02-3F11777A1FA6}"/>
            </c:ext>
          </c:extLst>
        </c:ser>
        <c:ser>
          <c:idx val="3"/>
          <c:order val="3"/>
          <c:tx>
            <c:v>FX Funds</c:v>
          </c:tx>
          <c:spPr>
            <a:solidFill>
              <a:schemeClr val="accent4"/>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Sheet2!$E$3:$E$17</c:f>
              <c:numCache>
                <c:formatCode>_(* #,##0_);_(* \(#,##0\);_(* "-"??_);_(@_)</c:formatCode>
                <c:ptCount val="15"/>
                <c:pt idx="0">
                  <c:v>73</c:v>
                </c:pt>
                <c:pt idx="1">
                  <c:v>65</c:v>
                </c:pt>
                <c:pt idx="2">
                  <c:v>57</c:v>
                </c:pt>
                <c:pt idx="3">
                  <c:v>57</c:v>
                </c:pt>
                <c:pt idx="4">
                  <c:v>57</c:v>
                </c:pt>
                <c:pt idx="5">
                  <c:v>55</c:v>
                </c:pt>
                <c:pt idx="6">
                  <c:v>51</c:v>
                </c:pt>
                <c:pt idx="7">
                  <c:v>49</c:v>
                </c:pt>
                <c:pt idx="8">
                  <c:v>53</c:v>
                </c:pt>
                <c:pt idx="9">
                  <c:v>55</c:v>
                </c:pt>
                <c:pt idx="10">
                  <c:v>58</c:v>
                </c:pt>
                <c:pt idx="11">
                  <c:v>56</c:v>
                </c:pt>
                <c:pt idx="12">
                  <c:v>56</c:v>
                </c:pt>
                <c:pt idx="13">
                  <c:v>56</c:v>
                </c:pt>
                <c:pt idx="14">
                  <c:v>64</c:v>
                </c:pt>
              </c:numCache>
            </c:numRef>
          </c:val>
          <c:extLst>
            <c:ext xmlns:c16="http://schemas.microsoft.com/office/drawing/2014/chart" uri="{C3380CC4-5D6E-409C-BE32-E72D297353CC}">
              <c16:uniqueId val="{00000003-56FC-4EBF-AD02-3F11777A1FA6}"/>
            </c:ext>
          </c:extLst>
        </c:ser>
        <c:ser>
          <c:idx val="4"/>
          <c:order val="4"/>
          <c:tx>
            <c:v>Pension Funds</c:v>
          </c:tx>
          <c:spPr>
            <a:solidFill>
              <a:schemeClr val="accent5"/>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Sheet2!$F$3:$F$17</c:f>
              <c:numCache>
                <c:formatCode>_(* #,##0_);_(* \(#,##0\);_(* "-"??_);_(@_)</c:formatCode>
                <c:ptCount val="15"/>
                <c:pt idx="0">
                  <c:v>321</c:v>
                </c:pt>
                <c:pt idx="1">
                  <c:v>392</c:v>
                </c:pt>
                <c:pt idx="2">
                  <c:v>485</c:v>
                </c:pt>
                <c:pt idx="3">
                  <c:v>571</c:v>
                </c:pt>
                <c:pt idx="4">
                  <c:v>670</c:v>
                </c:pt>
                <c:pt idx="5">
                  <c:v>775</c:v>
                </c:pt>
                <c:pt idx="6">
                  <c:v>898</c:v>
                </c:pt>
                <c:pt idx="7">
                  <c:v>1071</c:v>
                </c:pt>
                <c:pt idx="8">
                  <c:v>1176</c:v>
                </c:pt>
                <c:pt idx="9">
                  <c:v>1287</c:v>
                </c:pt>
                <c:pt idx="10">
                  <c:v>1375</c:v>
                </c:pt>
                <c:pt idx="11">
                  <c:v>1520</c:v>
                </c:pt>
                <c:pt idx="12">
                  <c:v>1688</c:v>
                </c:pt>
                <c:pt idx="13">
                  <c:v>2065</c:v>
                </c:pt>
                <c:pt idx="14">
                  <c:v>2515</c:v>
                </c:pt>
              </c:numCache>
            </c:numRef>
          </c:val>
          <c:extLst>
            <c:ext xmlns:c16="http://schemas.microsoft.com/office/drawing/2014/chart" uri="{C3380CC4-5D6E-409C-BE32-E72D297353CC}">
              <c16:uniqueId val="{00000004-56FC-4EBF-AD02-3F11777A1FA6}"/>
            </c:ext>
          </c:extLst>
        </c:ser>
        <c:dLbls>
          <c:showLegendKey val="0"/>
          <c:showVal val="0"/>
          <c:showCatName val="0"/>
          <c:showSerName val="0"/>
          <c:showPercent val="0"/>
          <c:showBubbleSize val="0"/>
        </c:dLbls>
        <c:axId val="651428256"/>
        <c:axId val="651423664"/>
      </c:areaChart>
      <c:catAx>
        <c:axId val="651428256"/>
        <c:scaling>
          <c:orientation val="minMax"/>
        </c:scaling>
        <c:delete val="0"/>
        <c:axPos val="b"/>
        <c:numFmt formatCode="mmm\-yy"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1423664"/>
        <c:crosses val="autoZero"/>
        <c:auto val="0"/>
        <c:lblAlgn val="ctr"/>
        <c:lblOffset val="100"/>
        <c:noMultiLvlLbl val="0"/>
      </c:catAx>
      <c:valAx>
        <c:axId val="651423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 of Investment Funds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1428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1197</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imai</dc:creator>
  <cp:keywords/>
  <dc:description/>
  <cp:lastModifiedBy>rafael imai</cp:lastModifiedBy>
  <cp:revision>7</cp:revision>
  <dcterms:created xsi:type="dcterms:W3CDTF">2021-04-26T02:15:00Z</dcterms:created>
  <dcterms:modified xsi:type="dcterms:W3CDTF">2021-04-26T04:40:00Z</dcterms:modified>
</cp:coreProperties>
</file>