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1A66C1C1" w:rsidR="00D81189" w:rsidRDefault="002F76E0" w:rsidP="005D05A4">
      <w:pPr>
        <w:pStyle w:val="Heading1"/>
        <w:jc w:val="center"/>
        <w:rPr>
          <w:lang w:val="en-US"/>
        </w:rPr>
      </w:pPr>
      <w:r>
        <w:rPr>
          <w:lang w:val="en-US"/>
        </w:rPr>
        <w:t xml:space="preserve">Deriving insights from Brazilian investment funds via Data Science – </w:t>
      </w:r>
      <w:r w:rsidR="005F2E2D">
        <w:rPr>
          <w:lang w:val="en-US"/>
        </w:rPr>
        <w:t>Final</w:t>
      </w:r>
      <w:r>
        <w:rPr>
          <w:lang w:val="en-US"/>
        </w:rPr>
        <w:t xml:space="preserve">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0E3029"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 xml:space="preserve">According to the </w:t>
      </w:r>
      <w:proofErr w:type="spellStart"/>
      <w:r w:rsidRPr="001C168C">
        <w:rPr>
          <w:lang w:val="en-US"/>
        </w:rPr>
        <w:t>december</w:t>
      </w:r>
      <w:proofErr w:type="spellEnd"/>
      <w:r w:rsidRPr="001C168C">
        <w:rPr>
          <w:lang w:val="en-US"/>
        </w:rPr>
        <w:t>/2020 report</w:t>
      </w:r>
      <w:r w:rsidR="00686362">
        <w:rPr>
          <w:lang w:val="en-US"/>
        </w:rPr>
        <w:t xml:space="preserve"> [1]</w:t>
      </w:r>
      <w:r w:rsidRPr="001C168C">
        <w:rPr>
          <w:lang w:val="en-US"/>
        </w:rPr>
        <w:t xml:space="preserve"> of ANBIMA (</w:t>
      </w:r>
      <w:proofErr w:type="spellStart"/>
      <w:r w:rsidRPr="001C168C">
        <w:rPr>
          <w:i/>
          <w:iCs/>
          <w:lang w:val="en-US"/>
        </w:rPr>
        <w:t>Associação</w:t>
      </w:r>
      <w:proofErr w:type="spellEnd"/>
      <w:r w:rsidRPr="001C168C">
        <w:rPr>
          <w:i/>
          <w:iCs/>
          <w:lang w:val="en-US"/>
        </w:rPr>
        <w:t xml:space="preserve"> </w:t>
      </w:r>
      <w:proofErr w:type="spellStart"/>
      <w:r w:rsidRPr="001C168C">
        <w:rPr>
          <w:i/>
          <w:iCs/>
          <w:lang w:val="en-US"/>
        </w:rPr>
        <w:t>Brasileira</w:t>
      </w:r>
      <w:proofErr w:type="spellEnd"/>
      <w:r w:rsidRPr="001C168C">
        <w:rPr>
          <w:i/>
          <w:iCs/>
          <w:lang w:val="en-US"/>
        </w:rPr>
        <w:t xml:space="preserve"> das </w:t>
      </w:r>
      <w:proofErr w:type="spellStart"/>
      <w:r w:rsidRPr="001C168C">
        <w:rPr>
          <w:i/>
          <w:iCs/>
          <w:lang w:val="en-US"/>
        </w:rPr>
        <w:t>Entidades</w:t>
      </w:r>
      <w:proofErr w:type="spellEnd"/>
      <w:r w:rsidRPr="001C168C">
        <w:rPr>
          <w:i/>
          <w:iCs/>
          <w:lang w:val="en-US"/>
        </w:rPr>
        <w:t xml:space="preserve"> dos Mercados </w:t>
      </w:r>
      <w:proofErr w:type="spellStart"/>
      <w:r w:rsidRPr="001C168C">
        <w:rPr>
          <w:i/>
          <w:iCs/>
          <w:lang w:val="en-US"/>
        </w:rPr>
        <w:t>Financeiro</w:t>
      </w:r>
      <w:proofErr w:type="spellEnd"/>
      <w:r w:rsidRPr="001C168C">
        <w:rPr>
          <w:i/>
          <w:iCs/>
          <w:lang w:val="en-US"/>
        </w:rPr>
        <w:t xml:space="preserve"> e de </w:t>
      </w:r>
      <w:proofErr w:type="spellStart"/>
      <w:r w:rsidRPr="001C168C">
        <w:rPr>
          <w:i/>
          <w:iCs/>
          <w:lang w:val="en-US"/>
        </w:rPr>
        <w:t>Capitais</w:t>
      </w:r>
      <w:proofErr w:type="spellEnd"/>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spellStart"/>
      <w:proofErr w:type="gramStart"/>
      <w:r>
        <w:rPr>
          <w:lang w:val="en-US"/>
        </w:rPr>
        <w:lastRenderedPageBreak/>
        <w:t>Source:ANBIMA</w:t>
      </w:r>
      <w:proofErr w:type="spellEnd"/>
      <w:proofErr w:type="gramEnd"/>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0946B8C1" w:rsidR="002F76E0" w:rsidRDefault="005F053F" w:rsidP="005D05A4">
      <w:pPr>
        <w:pStyle w:val="Heading3"/>
        <w:rPr>
          <w:lang w:val="en-US"/>
        </w:rPr>
      </w:pPr>
      <w:r>
        <w:rPr>
          <w:lang w:val="en-US"/>
        </w:rPr>
        <w:t>Needed Background</w:t>
      </w:r>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r w:rsidR="001417D2">
        <w:rPr>
          <w:lang w:val="en-US"/>
        </w:rPr>
        <w:t>Some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Renda </w:t>
      </w:r>
      <w:proofErr w:type="spellStart"/>
      <w:r w:rsidRPr="0007604E">
        <w:rPr>
          <w:i/>
          <w:iCs/>
          <w:lang w:val="en-US"/>
        </w:rPr>
        <w:t>Fixa</w:t>
      </w:r>
      <w:proofErr w:type="spellEnd"/>
      <w:r w:rsidRPr="0007604E">
        <w:rPr>
          <w:i/>
          <w:iCs/>
          <w:lang w:val="en-US"/>
        </w:rPr>
        <w:t>)</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w:t>
      </w:r>
      <w:proofErr w:type="spellStart"/>
      <w:r w:rsidRPr="0007604E">
        <w:rPr>
          <w:i/>
          <w:iCs/>
          <w:lang w:val="en-US"/>
        </w:rPr>
        <w:t>Ações</w:t>
      </w:r>
      <w:proofErr w:type="spellEnd"/>
      <w:r w:rsidRPr="0007604E">
        <w:rPr>
          <w:i/>
          <w:iCs/>
          <w:lang w:val="en-US"/>
        </w:rPr>
        <w:t>)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xml:space="preserve">– (in Portuguese,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Multimercado</w:t>
      </w:r>
      <w:proofErr w:type="spellEnd"/>
      <w:r w:rsidRPr="0007604E">
        <w:rPr>
          <w:i/>
          <w:iCs/>
          <w:lang w:val="en-US"/>
        </w:rPr>
        <w:t>)</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 xml:space="preserve">ortuguese, Fundo de </w:t>
      </w:r>
      <w:proofErr w:type="spellStart"/>
      <w:r w:rsidR="00F63633" w:rsidRPr="00F63633">
        <w:rPr>
          <w:i/>
          <w:iCs/>
          <w:lang w:val="en-US"/>
        </w:rPr>
        <w:t>Previdência</w:t>
      </w:r>
      <w:proofErr w:type="spellEnd"/>
      <w:r w:rsidR="00F63633" w:rsidRPr="00F63633">
        <w:rPr>
          <w:i/>
          <w:iCs/>
          <w:lang w:val="en-US"/>
        </w:rPr>
        <w:t>)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bookmarkStart w:id="0" w:name="_Hlk70454090"/>
      <w:r>
        <w:rPr>
          <w:lang w:val="en-US"/>
        </w:rPr>
        <w:t>All investment funds must be registered on CVM (</w:t>
      </w:r>
      <w:proofErr w:type="spellStart"/>
      <w:r>
        <w:rPr>
          <w:i/>
          <w:iCs/>
          <w:lang w:val="en-US"/>
        </w:rPr>
        <w:t>Comissão</w:t>
      </w:r>
      <w:proofErr w:type="spellEnd"/>
      <w:r>
        <w:rPr>
          <w:i/>
          <w:iCs/>
          <w:lang w:val="en-US"/>
        </w:rPr>
        <w:t xml:space="preserve"> de </w:t>
      </w:r>
      <w:proofErr w:type="spellStart"/>
      <w:r>
        <w:rPr>
          <w:i/>
          <w:iCs/>
          <w:lang w:val="en-US"/>
        </w:rPr>
        <w:t>Valores</w:t>
      </w:r>
      <w:proofErr w:type="spellEnd"/>
      <w:r>
        <w:rPr>
          <w:i/>
          <w:iCs/>
          <w:lang w:val="en-US"/>
        </w:rPr>
        <w:t xml:space="preserve"> </w:t>
      </w:r>
      <w:proofErr w:type="spellStart"/>
      <w:r>
        <w:rPr>
          <w:i/>
          <w:iCs/>
          <w:lang w:val="en-US"/>
        </w:rPr>
        <w:t>Mobiliários</w:t>
      </w:r>
      <w:proofErr w:type="spellEnd"/>
      <w:r>
        <w:rPr>
          <w:i/>
          <w:iCs/>
          <w:lang w:val="en-US"/>
        </w:rPr>
        <w:t xml:space="preserve">, </w:t>
      </w:r>
      <w:r>
        <w:rPr>
          <w:lang w:val="en-US"/>
        </w:rPr>
        <w:t>Securi</w:t>
      </w:r>
      <w:r w:rsidR="00E61B41">
        <w:rPr>
          <w:lang w:val="en-US"/>
        </w:rPr>
        <w:t xml:space="preserve">ties and Exchange </w:t>
      </w:r>
      <w:proofErr w:type="spellStart"/>
      <w:r w:rsidR="00E61B41">
        <w:rPr>
          <w:lang w:val="en-US"/>
        </w:rPr>
        <w:t>Commision</w:t>
      </w:r>
      <w:proofErr w:type="spellEnd"/>
      <w:r w:rsidR="00E61B41">
        <w:rPr>
          <w:lang w:val="en-US"/>
        </w:rPr>
        <w:t xml:space="preserve">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4FC128F9" w14:textId="1489D6EC" w:rsidR="008412FC" w:rsidRDefault="00CE09D6" w:rsidP="002F76E0">
      <w:pPr>
        <w:rPr>
          <w:lang w:val="en-US"/>
        </w:rPr>
      </w:pPr>
      <w:r>
        <w:rPr>
          <w:lang w:val="en-US"/>
        </w:rPr>
        <w:lastRenderedPageBreak/>
        <w:t xml:space="preserve"> </w:t>
      </w:r>
    </w:p>
    <w:p w14:paraId="55708C0F" w14:textId="08FAE3CD" w:rsidR="00187766" w:rsidRDefault="00E61B41" w:rsidP="002F76E0">
      <w:pPr>
        <w:rPr>
          <w:lang w:val="en-US"/>
        </w:rPr>
      </w:pPr>
      <w:r>
        <w:rPr>
          <w:lang w:val="en-US"/>
        </w:rPr>
        <w:t xml:space="preserve">A historic series of IBOVESPA, the São Paulo’s Stock Market Index, was obtained via the </w:t>
      </w:r>
      <w:proofErr w:type="spellStart"/>
      <w:proofErr w:type="gramStart"/>
      <w:r>
        <w:rPr>
          <w:lang w:val="en-US"/>
        </w:rPr>
        <w:t>Yahoo!Finance</w:t>
      </w:r>
      <w:proofErr w:type="spellEnd"/>
      <w:proofErr w:type="gramEnd"/>
      <w:r>
        <w:rPr>
          <w:lang w:val="en-US"/>
        </w:rPr>
        <w:t xml:space="preserve"> API. More details can be found here</w:t>
      </w:r>
      <w:r w:rsidR="00055CA8">
        <w:rPr>
          <w:lang w:val="en-US"/>
        </w:rPr>
        <w:t xml:space="preserve"> [6]</w:t>
      </w:r>
      <w:r>
        <w:rPr>
          <w:lang w:val="en-US"/>
        </w:rPr>
        <w:t>.</w:t>
      </w:r>
      <w:r w:rsidR="008412FC">
        <w:rPr>
          <w:lang w:val="en-US"/>
        </w:rPr>
        <w:t xml:space="preserve"> On the context of this work, IBOVESPA is used as a proxy metric to</w:t>
      </w:r>
      <w:r w:rsidR="00B154A7">
        <w:rPr>
          <w:lang w:val="en-US"/>
        </w:rPr>
        <w:t xml:space="preserve"> the stock market’s performance.</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r w:rsidR="00B154A7">
        <w:rPr>
          <w:lang w:val="en-US"/>
        </w:rPr>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Pr>
        <w:rPr>
          <w:lang w:val="en-US"/>
        </w:rPr>
      </w:pPr>
    </w:p>
    <w:p w14:paraId="7D8939E5" w14:textId="74A903E8" w:rsidR="00187766" w:rsidRDefault="00187766" w:rsidP="00187766">
      <w:pPr>
        <w:pStyle w:val="Heading2"/>
        <w:rPr>
          <w:lang w:val="en-US"/>
        </w:rPr>
      </w:pPr>
      <w:r>
        <w:rPr>
          <w:lang w:val="en-US"/>
        </w:rPr>
        <w:t>Methodology</w:t>
      </w:r>
    </w:p>
    <w:p w14:paraId="1307D7F7" w14:textId="2BD714C9" w:rsidR="00187766" w:rsidRDefault="00187766" w:rsidP="00187766">
      <w:pPr>
        <w:rPr>
          <w:lang w:val="en-US"/>
        </w:rPr>
      </w:pPr>
    </w:p>
    <w:p w14:paraId="7BA72E32" w14:textId="77777777" w:rsidR="00CF019E" w:rsidRDefault="00D22646" w:rsidP="00187766">
      <w:pPr>
        <w:rPr>
          <w:lang w:val="en-US"/>
        </w:rPr>
      </w:pPr>
      <w:r>
        <w:rPr>
          <w:lang w:val="en-US"/>
        </w:rPr>
        <w:t xml:space="preserve">Before filtering the data, I picked some categories of funds out of the original set. The set in [3]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pPr>
        <w:rPr>
          <w:lang w:val="en-US"/>
        </w:rPr>
      </w:pPr>
      <w:r>
        <w:rPr>
          <w:lang w:val="en-US"/>
        </w:rPr>
        <w:t>As the work’s focus is on the dynamics of open-end funds, those funds were selected out of the [3] dataset to create a first set of funds.</w:t>
      </w:r>
      <w:r w:rsidR="00CF019E">
        <w:rPr>
          <w:lang w:val="en-US"/>
        </w:rPr>
        <w:t xml:space="preserve"> Other criteria used to assemble this first set were:</w:t>
      </w:r>
    </w:p>
    <w:p w14:paraId="46F22CC0" w14:textId="5CBCFF82" w:rsidR="00CF019E" w:rsidRDefault="00CF019E" w:rsidP="00CF019E">
      <w:pPr>
        <w:pStyle w:val="ListParagraph"/>
        <w:numPr>
          <w:ilvl w:val="0"/>
          <w:numId w:val="6"/>
        </w:numPr>
        <w:rPr>
          <w:lang w:val="en-US"/>
        </w:rPr>
      </w:pPr>
      <w:r>
        <w:rPr>
          <w:lang w:val="en-US"/>
        </w:rPr>
        <w:t xml:space="preserve">Funds must have started before 2017 and must be active as of April </w:t>
      </w:r>
      <w:proofErr w:type="gramStart"/>
      <w:r>
        <w:rPr>
          <w:lang w:val="en-US"/>
        </w:rPr>
        <w:t>2021;</w:t>
      </w:r>
      <w:proofErr w:type="gramEnd"/>
    </w:p>
    <w:p w14:paraId="59A30780" w14:textId="4F654EAC" w:rsidR="00CF019E" w:rsidRDefault="00CF019E" w:rsidP="00CF019E">
      <w:pPr>
        <w:pStyle w:val="ListParagraph"/>
        <w:numPr>
          <w:ilvl w:val="0"/>
          <w:numId w:val="6"/>
        </w:numPr>
        <w:rPr>
          <w:lang w:val="en-US"/>
        </w:rPr>
      </w:pPr>
      <w:r>
        <w:rPr>
          <w:lang w:val="en-US"/>
        </w:rPr>
        <w:t xml:space="preserve">Funds must not be </w:t>
      </w:r>
      <w:proofErr w:type="gramStart"/>
      <w:r>
        <w:rPr>
          <w:lang w:val="en-US"/>
        </w:rPr>
        <w:t>exclusive;</w:t>
      </w:r>
      <w:proofErr w:type="gramEnd"/>
    </w:p>
    <w:p w14:paraId="7C87EE14" w14:textId="50B57DAA" w:rsidR="005F053F" w:rsidRDefault="005F053F" w:rsidP="00CF019E">
      <w:pPr>
        <w:pStyle w:val="ListParagraph"/>
        <w:numPr>
          <w:ilvl w:val="0"/>
          <w:numId w:val="6"/>
        </w:numPr>
        <w:rPr>
          <w:lang w:val="en-US"/>
        </w:rPr>
      </w:pPr>
      <w:r>
        <w:rPr>
          <w:lang w:val="en-US"/>
        </w:rPr>
        <w:t>Funds must be regulated only by the CVM Instruction #555 [8], as there are specific products that are also considered investment funds, while being regulated by other laws.</w:t>
      </w:r>
    </w:p>
    <w:p w14:paraId="5DA2B3FB" w14:textId="6B9D17DF" w:rsidR="005F053F" w:rsidRDefault="005F053F" w:rsidP="005F053F">
      <w:pPr>
        <w:rPr>
          <w:lang w:val="en-US"/>
        </w:rPr>
      </w:pPr>
      <w:r>
        <w:rPr>
          <w:lang w:val="en-US"/>
        </w:rPr>
        <w:t xml:space="preserve">After this first filter, a second filtering layer was applied in order to separate different investment fund classes (for more information, please refer to the section “Needed Background”). </w:t>
      </w:r>
      <w:r w:rsidR="00D913F8">
        <w:rPr>
          <w:lang w:val="en-US"/>
        </w:rPr>
        <w:t>Two</w:t>
      </w:r>
      <w:r>
        <w:rPr>
          <w:lang w:val="en-US"/>
        </w:rPr>
        <w:t xml:space="preserve"> main categories were chosen due to the size of their samples:</w:t>
      </w:r>
    </w:p>
    <w:p w14:paraId="4A411415" w14:textId="4E4195A9" w:rsidR="005F053F" w:rsidRPr="005F053F" w:rsidRDefault="005F053F" w:rsidP="005F053F">
      <w:pPr>
        <w:pStyle w:val="ListParagraph"/>
        <w:numPr>
          <w:ilvl w:val="0"/>
          <w:numId w:val="7"/>
        </w:numPr>
        <w:rPr>
          <w:i/>
          <w:iCs/>
        </w:rPr>
      </w:pPr>
      <w:proofErr w:type="spellStart"/>
      <w:r w:rsidRPr="005F053F">
        <w:t>Fixed</w:t>
      </w:r>
      <w:proofErr w:type="spellEnd"/>
      <w:r w:rsidRPr="005F053F">
        <w:t xml:space="preserve"> Income </w:t>
      </w:r>
      <w:proofErr w:type="spellStart"/>
      <w:r w:rsidRPr="005F053F">
        <w:t>Funds</w:t>
      </w:r>
      <w:proofErr w:type="spellEnd"/>
      <w:r w:rsidRPr="005F053F">
        <w:t xml:space="preserve"> - </w:t>
      </w:r>
      <w:r w:rsidRPr="005F053F">
        <w:rPr>
          <w:i/>
          <w:iCs/>
        </w:rPr>
        <w:t>Fundo de Renda Fixa</w:t>
      </w:r>
    </w:p>
    <w:p w14:paraId="66E19AD7" w14:textId="6FF70955" w:rsidR="00D22646" w:rsidRDefault="005F053F" w:rsidP="00D913F8">
      <w:pPr>
        <w:pStyle w:val="ListParagraph"/>
        <w:numPr>
          <w:ilvl w:val="0"/>
          <w:numId w:val="7"/>
        </w:numPr>
        <w:rPr>
          <w:lang w:val="en-US"/>
        </w:rPr>
      </w:pPr>
      <w:r>
        <w:t xml:space="preserve">Hedge </w:t>
      </w:r>
      <w:proofErr w:type="spellStart"/>
      <w:r>
        <w:t>Funds</w:t>
      </w:r>
      <w:proofErr w:type="spellEnd"/>
      <w:r>
        <w:t xml:space="preserve"> – </w:t>
      </w:r>
      <w:r>
        <w:rPr>
          <w:i/>
          <w:iCs/>
        </w:rPr>
        <w:t>Fundo Multimercado</w:t>
      </w:r>
      <w:r w:rsidR="00D913F8">
        <w:rPr>
          <w:i/>
          <w:iCs/>
        </w:rPr>
        <w:t xml:space="preserve"> </w:t>
      </w:r>
    </w:p>
    <w:p w14:paraId="37F7F0C9" w14:textId="6554A43D" w:rsidR="005F053F" w:rsidRDefault="005F053F" w:rsidP="005F053F">
      <w:pPr>
        <w:rPr>
          <w:lang w:val="en-US"/>
        </w:rPr>
      </w:pPr>
      <w:r>
        <w:rPr>
          <w:lang w:val="en-US"/>
        </w:rPr>
        <w:t xml:space="preserve">To prospect the data, </w:t>
      </w:r>
      <w:r w:rsidR="00BD6639">
        <w:rPr>
          <w:lang w:val="en-US"/>
        </w:rPr>
        <w:t xml:space="preserve">a </w:t>
      </w:r>
      <w:proofErr w:type="spellStart"/>
      <w:r w:rsidR="00BD6639">
        <w:rPr>
          <w:lang w:val="en-US"/>
        </w:rPr>
        <w:t>Jupyter</w:t>
      </w:r>
      <w:proofErr w:type="spellEnd"/>
      <w:r w:rsidR="00BD6639">
        <w:rPr>
          <w:lang w:val="en-US"/>
        </w:rPr>
        <w:t xml:space="preserve"> notebook was used and the correlations between the metrics below and the number of shareholders of the fund. By analyzing such correlations and their behavior, I intend to derive insights about the behavior of shareholders.</w:t>
      </w:r>
      <w:r w:rsidR="00905869">
        <w:rPr>
          <w:lang w:val="en-US"/>
        </w:rPr>
        <w:t xml:space="preserve"> Afterwards, the k-means clustering algorithm will be used to test whether this set of correlations can be used to form clusters of funds.</w:t>
      </w:r>
      <w:r w:rsidR="00377EF0">
        <w:rPr>
          <w:lang w:val="en-US"/>
        </w:rPr>
        <w:t xml:space="preserve"> A list of metrics can be seen below:</w:t>
      </w:r>
    </w:p>
    <w:p w14:paraId="7B2D954B" w14:textId="4F8D4AEE" w:rsidR="00377EF0" w:rsidRDefault="00D913F8" w:rsidP="00D913F8">
      <w:pPr>
        <w:pStyle w:val="ListParagraph"/>
        <w:numPr>
          <w:ilvl w:val="0"/>
          <w:numId w:val="8"/>
        </w:numPr>
        <w:rPr>
          <w:lang w:val="en-US"/>
        </w:rPr>
      </w:pPr>
      <w:r>
        <w:rPr>
          <w:lang w:val="en-US"/>
        </w:rPr>
        <w:t xml:space="preserve">SELIC </w:t>
      </w:r>
      <w:proofErr w:type="gramStart"/>
      <w:r>
        <w:rPr>
          <w:lang w:val="en-US"/>
        </w:rPr>
        <w:t>Rate;</w:t>
      </w:r>
      <w:proofErr w:type="gramEnd"/>
    </w:p>
    <w:p w14:paraId="42FB630E" w14:textId="7A8064B9" w:rsidR="00D913F8" w:rsidRDefault="00D913F8" w:rsidP="00D913F8">
      <w:pPr>
        <w:pStyle w:val="ListParagraph"/>
        <w:numPr>
          <w:ilvl w:val="0"/>
          <w:numId w:val="8"/>
        </w:numPr>
        <w:rPr>
          <w:lang w:val="en-US"/>
        </w:rPr>
      </w:pPr>
      <w:r>
        <w:rPr>
          <w:lang w:val="en-US"/>
        </w:rPr>
        <w:t>Stock Market Index (IBOVESPA</w:t>
      </w:r>
      <w:proofErr w:type="gramStart"/>
      <w:r>
        <w:rPr>
          <w:lang w:val="en-US"/>
        </w:rPr>
        <w:t>);</w:t>
      </w:r>
      <w:proofErr w:type="gramEnd"/>
    </w:p>
    <w:p w14:paraId="465890A0" w14:textId="2AA50C5D" w:rsidR="00D913F8" w:rsidRDefault="00D913F8" w:rsidP="00D913F8">
      <w:pPr>
        <w:pStyle w:val="ListParagraph"/>
        <w:numPr>
          <w:ilvl w:val="0"/>
          <w:numId w:val="8"/>
        </w:numPr>
        <w:rPr>
          <w:lang w:val="en-US"/>
        </w:rPr>
      </w:pPr>
      <w:r>
        <w:rPr>
          <w:lang w:val="en-US"/>
        </w:rPr>
        <w:t xml:space="preserve">Capital Flow – defined by the difference between subscriptions and redemptions paid on a given </w:t>
      </w:r>
      <w:proofErr w:type="gramStart"/>
      <w:r>
        <w:rPr>
          <w:lang w:val="en-US"/>
        </w:rPr>
        <w:t>day;</w:t>
      </w:r>
      <w:proofErr w:type="gramEnd"/>
    </w:p>
    <w:p w14:paraId="18D808B4" w14:textId="219F6409" w:rsidR="00D913F8" w:rsidRDefault="00D913F8" w:rsidP="00D913F8">
      <w:pPr>
        <w:pStyle w:val="ListParagraph"/>
        <w:numPr>
          <w:ilvl w:val="0"/>
          <w:numId w:val="8"/>
        </w:numPr>
        <w:rPr>
          <w:lang w:val="en-US"/>
        </w:rPr>
      </w:pPr>
      <w:r>
        <w:rPr>
          <w:lang w:val="en-US"/>
        </w:rPr>
        <w:t>Ave</w:t>
      </w:r>
      <w:r w:rsidR="00F12555">
        <w:rPr>
          <w:lang w:val="en-US"/>
        </w:rPr>
        <w:t>ra</w:t>
      </w:r>
      <w:r>
        <w:rPr>
          <w:lang w:val="en-US"/>
        </w:rPr>
        <w:t>ge Ticket – defined by the fund’s net worth at a given day divided by the number of its shareholders.</w:t>
      </w:r>
    </w:p>
    <w:p w14:paraId="2B0AB1DC" w14:textId="5EA60862" w:rsidR="00F12555" w:rsidRDefault="00F12555" w:rsidP="00D913F8">
      <w:pPr>
        <w:pStyle w:val="ListParagraph"/>
        <w:numPr>
          <w:ilvl w:val="0"/>
          <w:numId w:val="8"/>
        </w:numPr>
        <w:rPr>
          <w:lang w:val="en-US"/>
        </w:rPr>
      </w:pPr>
      <w:r>
        <w:rPr>
          <w:lang w:val="en-US"/>
        </w:rPr>
        <w:t>Vol – Standardized volatility, defined by the standard deviation of the share value divided by the mean of the share value.</w:t>
      </w:r>
    </w:p>
    <w:p w14:paraId="2077C5BC" w14:textId="5C34E3B4" w:rsidR="00D913F8" w:rsidRDefault="00DF52C7" w:rsidP="00D913F8">
      <w:pPr>
        <w:rPr>
          <w:lang w:val="en-US"/>
        </w:rPr>
      </w:pPr>
      <w:r>
        <w:rPr>
          <w:lang w:val="en-US"/>
        </w:rPr>
        <w:lastRenderedPageBreak/>
        <w:t>A more general analysis has been done using the time interval between 2017 and 2020, creating a distribution of correlations for each metric. Afterwards, yearly analysis using each year were taken to observe the yearly variation of the distribution of the correlations. Afterwards, the pair plots (via Seaborn) were taken for both types of funds, in order to seek for possible clusters. At the end, k-means algorithm is used to check if its use to find subtypes of hedge funds and fixed income funds return a meaningful difference.</w:t>
      </w:r>
    </w:p>
    <w:p w14:paraId="1671F773" w14:textId="5BB0802F" w:rsidR="00DF52C7" w:rsidRDefault="00E91711" w:rsidP="00D913F8">
      <w:pPr>
        <w:rPr>
          <w:lang w:val="en-US"/>
        </w:rPr>
      </w:pPr>
      <w:r>
        <w:rPr>
          <w:lang w:val="en-US"/>
        </w:rPr>
        <w:t xml:space="preserve">On the </w:t>
      </w:r>
      <w:r w:rsidR="00C141DE">
        <w:rPr>
          <w:lang w:val="en-US"/>
        </w:rPr>
        <w:t>latter</w:t>
      </w:r>
      <w:r>
        <w:rPr>
          <w:lang w:val="en-US"/>
        </w:rPr>
        <w:t xml:space="preserve"> case, I will run the algorithm within each set of funds, considering the correlations observed over the period 2017-2020. Using the clusters and the labels assigned to each fund, I will check whether subtypes of funds within a fund set exhibit similar behavior (in terms of the considered variables) or not. </w:t>
      </w:r>
    </w:p>
    <w:p w14:paraId="7B9EE8A0" w14:textId="77777777" w:rsidR="00E91711" w:rsidRPr="00D913F8" w:rsidRDefault="00E91711" w:rsidP="00D913F8">
      <w:pPr>
        <w:rPr>
          <w:lang w:val="en-US"/>
        </w:rPr>
      </w:pPr>
    </w:p>
    <w:p w14:paraId="6905D897" w14:textId="46DF141A" w:rsidR="00187766" w:rsidRPr="008412FC" w:rsidRDefault="00187766" w:rsidP="00187766">
      <w:pPr>
        <w:pStyle w:val="Heading2"/>
        <w:rPr>
          <w:lang w:val="en-US"/>
        </w:rPr>
      </w:pPr>
      <w:r w:rsidRPr="008412FC">
        <w:rPr>
          <w:lang w:val="en-US"/>
        </w:rPr>
        <w:t>Results</w:t>
      </w:r>
    </w:p>
    <w:p w14:paraId="77130561" w14:textId="50671858" w:rsidR="00187766" w:rsidRDefault="00187766" w:rsidP="00187766">
      <w:pPr>
        <w:rPr>
          <w:lang w:val="en-US"/>
        </w:rPr>
      </w:pPr>
    </w:p>
    <w:p w14:paraId="76E5F0C4" w14:textId="2F575BD5" w:rsidR="003E4AC7" w:rsidRDefault="003E4AC7" w:rsidP="003E4AC7">
      <w:pPr>
        <w:pStyle w:val="Heading3"/>
        <w:rPr>
          <w:lang w:val="en-US"/>
        </w:rPr>
      </w:pPr>
      <w:r>
        <w:rPr>
          <w:lang w:val="en-US"/>
        </w:rPr>
        <w:t>Correlation Analysis</w:t>
      </w:r>
      <w:r w:rsidR="00E20A69">
        <w:rPr>
          <w:lang w:val="en-US"/>
        </w:rPr>
        <w:t xml:space="preserve"> and Discussion</w:t>
      </w:r>
    </w:p>
    <w:p w14:paraId="456AD125" w14:textId="77777777" w:rsidR="00645BC9" w:rsidRPr="00645BC9" w:rsidRDefault="00645BC9" w:rsidP="00645BC9">
      <w:pPr>
        <w:rPr>
          <w:lang w:val="en-US"/>
        </w:rPr>
      </w:pPr>
    </w:p>
    <w:p w14:paraId="6A7EB118" w14:textId="344B2439" w:rsidR="00E20A69" w:rsidRDefault="00E20A69" w:rsidP="00187766">
      <w:pPr>
        <w:rPr>
          <w:lang w:val="en-US"/>
        </w:rPr>
      </w:pPr>
      <w:r>
        <w:rPr>
          <w:lang w:val="en-US"/>
        </w:rPr>
        <w:t>The figures below show the resulting correlation distributions between 2017 and 2020:</w:t>
      </w:r>
    </w:p>
    <w:p w14:paraId="41B97DF1" w14:textId="5360F3CB" w:rsidR="00E20A69" w:rsidRDefault="00E20A69" w:rsidP="00187766">
      <w:pPr>
        <w:rPr>
          <w:lang w:val="en-US"/>
        </w:rPr>
      </w:pPr>
      <w:r>
        <w:rPr>
          <w:noProof/>
        </w:rPr>
        <w:drawing>
          <wp:inline distT="0" distB="0" distL="0" distR="0" wp14:anchorId="5DD484EF" wp14:editId="2ECB96B2">
            <wp:extent cx="540004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49759760" w14:textId="6A86A8BB" w:rsidR="00E20A69" w:rsidRDefault="00E20A69" w:rsidP="00187766">
      <w:pPr>
        <w:rPr>
          <w:lang w:val="en-US"/>
        </w:rPr>
      </w:pPr>
      <w:r>
        <w:rPr>
          <w:noProof/>
        </w:rPr>
        <w:drawing>
          <wp:inline distT="0" distB="0" distL="0" distR="0" wp14:anchorId="30C844A3" wp14:editId="60667670">
            <wp:extent cx="5400040" cy="196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38547940" w14:textId="7A7D9E9E" w:rsidR="00E91711" w:rsidRDefault="00E20A69" w:rsidP="00187766">
      <w:pPr>
        <w:rPr>
          <w:lang w:val="en-US"/>
        </w:rPr>
      </w:pPr>
      <w:r>
        <w:rPr>
          <w:lang w:val="en-US"/>
        </w:rPr>
        <w:t xml:space="preserve">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 If the data corroborated the idea, little to no bins with positive correlations both on the “shareholders vs. SELIC rates” graphs on hedge funds, and a similar pattern should be observed on the same graph on fixed income funds, although inverted. In both cases, however, </w:t>
      </w:r>
      <w:r>
        <w:rPr>
          <w:lang w:val="en-US"/>
        </w:rPr>
        <w:lastRenderedPageBreak/>
        <w:t>there seem to be a set of “contrarian” funds – that is, funds</w:t>
      </w:r>
      <w:r w:rsidR="00645BC9">
        <w:rPr>
          <w:lang w:val="en-US"/>
        </w:rPr>
        <w:t xml:space="preserve"> whose shareholder trends</w:t>
      </w:r>
      <w:r>
        <w:rPr>
          <w:lang w:val="en-US"/>
        </w:rPr>
        <w:t xml:space="preserve"> go against </w:t>
      </w:r>
      <w:r w:rsidR="00645BC9">
        <w:rPr>
          <w:lang w:val="en-US"/>
        </w:rPr>
        <w:t>the theoretical trend of their classes.</w:t>
      </w:r>
    </w:p>
    <w:p w14:paraId="2F5A9182" w14:textId="2EE8AD91" w:rsidR="00645BC9" w:rsidRDefault="00645BC9" w:rsidP="00187766">
      <w:pPr>
        <w:rPr>
          <w:lang w:val="en-US"/>
        </w:rPr>
      </w:pPr>
      <w:r>
        <w:rPr>
          <w:lang w:val="en-US"/>
        </w:rPr>
        <w:t>A bit of leeway should be considered while analyzing such correlations for hedge funds, as the enhanced freedom experienced by their managers allow the constructions of various types of portfolios. In this case, the correlations could be used as an evidence of the existence of groups with noticeable differences on their strategies.</w:t>
      </w:r>
    </w:p>
    <w:p w14:paraId="680D0267" w14:textId="56ECFB68" w:rsidR="00E20A69" w:rsidRDefault="005B679D" w:rsidP="00187766">
      <w:pPr>
        <w:rPr>
          <w:lang w:val="en-US"/>
        </w:rPr>
      </w:pPr>
      <w:r>
        <w:rPr>
          <w:lang w:val="en-US"/>
        </w:rPr>
        <w:t xml:space="preserve">The sequence of pictures below </w:t>
      </w:r>
      <w:r w:rsidR="00C141DE">
        <w:rPr>
          <w:lang w:val="en-US"/>
        </w:rPr>
        <w:t>depicts</w:t>
      </w:r>
      <w:r>
        <w:rPr>
          <w:lang w:val="en-US"/>
        </w:rPr>
        <w:t xml:space="preserve"> the yearly analysis for fixed income funds.</w:t>
      </w:r>
      <w:r w:rsidR="00D51E9C">
        <w:rPr>
          <w:lang w:val="en-US"/>
        </w:rPr>
        <w:t xml:space="preserve"> </w:t>
      </w:r>
      <w:r w:rsidR="00D51E9C">
        <w:rPr>
          <w:noProof/>
          <w:lang w:val="en-US"/>
        </w:rPr>
        <w:drawing>
          <wp:inline distT="0" distB="0" distL="0" distR="0" wp14:anchorId="342F711E" wp14:editId="126873A1">
            <wp:extent cx="4804913" cy="174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829" cy="1750964"/>
                    </a:xfrm>
                    <a:prstGeom prst="rect">
                      <a:avLst/>
                    </a:prstGeom>
                    <a:noFill/>
                    <a:ln>
                      <a:noFill/>
                    </a:ln>
                  </pic:spPr>
                </pic:pic>
              </a:graphicData>
            </a:graphic>
          </wp:inline>
        </w:drawing>
      </w:r>
      <w:r w:rsidR="00D51E9C">
        <w:rPr>
          <w:noProof/>
          <w:lang w:val="en-US"/>
        </w:rPr>
        <w:drawing>
          <wp:inline distT="0" distB="0" distL="0" distR="0" wp14:anchorId="7258BA42" wp14:editId="0FD82B3E">
            <wp:extent cx="4787660" cy="173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2" cy="1744308"/>
                    </a:xfrm>
                    <a:prstGeom prst="rect">
                      <a:avLst/>
                    </a:prstGeom>
                    <a:noFill/>
                    <a:ln>
                      <a:noFill/>
                    </a:ln>
                  </pic:spPr>
                </pic:pic>
              </a:graphicData>
            </a:graphic>
          </wp:inline>
        </w:drawing>
      </w:r>
      <w:r w:rsidR="00D51E9C">
        <w:rPr>
          <w:noProof/>
          <w:lang w:val="en-US"/>
        </w:rPr>
        <w:drawing>
          <wp:inline distT="0" distB="0" distL="0" distR="0" wp14:anchorId="6A05F8CB" wp14:editId="1BF3948B">
            <wp:extent cx="4761781" cy="17295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893" cy="1745176"/>
                    </a:xfrm>
                    <a:prstGeom prst="rect">
                      <a:avLst/>
                    </a:prstGeom>
                    <a:noFill/>
                    <a:ln>
                      <a:noFill/>
                    </a:ln>
                  </pic:spPr>
                </pic:pic>
              </a:graphicData>
            </a:graphic>
          </wp:inline>
        </w:drawing>
      </w:r>
    </w:p>
    <w:p w14:paraId="79E38F52" w14:textId="2AD6CFD7" w:rsidR="00645BC9" w:rsidRDefault="00D51E9C" w:rsidP="00187766">
      <w:pPr>
        <w:rPr>
          <w:lang w:val="en-US"/>
        </w:rPr>
      </w:pPr>
      <w:r>
        <w:rPr>
          <w:noProof/>
          <w:lang w:val="en-US"/>
        </w:rPr>
        <w:drawing>
          <wp:inline distT="0" distB="0" distL="0" distR="0" wp14:anchorId="7FCDBF54" wp14:editId="23EB4A3D">
            <wp:extent cx="4735902" cy="17201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499" cy="1778447"/>
                    </a:xfrm>
                    <a:prstGeom prst="rect">
                      <a:avLst/>
                    </a:prstGeom>
                    <a:noFill/>
                    <a:ln>
                      <a:noFill/>
                    </a:ln>
                  </pic:spPr>
                </pic:pic>
              </a:graphicData>
            </a:graphic>
          </wp:inline>
        </w:drawing>
      </w:r>
    </w:p>
    <w:p w14:paraId="1B2B9A5E" w14:textId="148BD669" w:rsidR="00645BC9" w:rsidRDefault="00645BC9" w:rsidP="00187766">
      <w:pPr>
        <w:rPr>
          <w:lang w:val="en-US"/>
        </w:rPr>
      </w:pPr>
    </w:p>
    <w:p w14:paraId="574575E1" w14:textId="5A31595E" w:rsidR="005B679D" w:rsidRDefault="005B679D" w:rsidP="00187766">
      <w:pPr>
        <w:rPr>
          <w:lang w:val="en-US"/>
        </w:rPr>
      </w:pPr>
      <w:r>
        <w:rPr>
          <w:lang w:val="en-US"/>
        </w:rPr>
        <w:lastRenderedPageBreak/>
        <w:t>On their turn, the yearly analysis for hedge funds can be seen below:</w:t>
      </w:r>
    </w:p>
    <w:p w14:paraId="323E5CF7" w14:textId="1DBB6B08" w:rsidR="005B679D" w:rsidRDefault="005B679D" w:rsidP="00187766">
      <w:pPr>
        <w:rPr>
          <w:lang w:val="en-US"/>
        </w:rPr>
      </w:pPr>
      <w:r>
        <w:rPr>
          <w:noProof/>
          <w:lang w:val="en-US"/>
        </w:rPr>
        <w:drawing>
          <wp:inline distT="0" distB="0" distL="0" distR="0" wp14:anchorId="5219A254" wp14:editId="56AED86E">
            <wp:extent cx="4537494" cy="164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894" cy="1656917"/>
                    </a:xfrm>
                    <a:prstGeom prst="rect">
                      <a:avLst/>
                    </a:prstGeom>
                    <a:noFill/>
                    <a:ln>
                      <a:noFill/>
                    </a:ln>
                  </pic:spPr>
                </pic:pic>
              </a:graphicData>
            </a:graphic>
          </wp:inline>
        </w:drawing>
      </w:r>
      <w:r w:rsidR="00334CA9">
        <w:rPr>
          <w:noProof/>
          <w:lang w:val="en-US"/>
        </w:rPr>
        <w:drawing>
          <wp:inline distT="0" distB="0" distL="0" distR="0" wp14:anchorId="3A05DA5D" wp14:editId="24D2DCF6">
            <wp:extent cx="4511615" cy="1638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230" cy="1652317"/>
                    </a:xfrm>
                    <a:prstGeom prst="rect">
                      <a:avLst/>
                    </a:prstGeom>
                    <a:noFill/>
                    <a:ln>
                      <a:noFill/>
                    </a:ln>
                  </pic:spPr>
                </pic:pic>
              </a:graphicData>
            </a:graphic>
          </wp:inline>
        </w:drawing>
      </w:r>
    </w:p>
    <w:p w14:paraId="5E18EB3E" w14:textId="45D5F730" w:rsidR="005B679D" w:rsidRDefault="00334CA9" w:rsidP="00187766">
      <w:pPr>
        <w:rPr>
          <w:lang w:val="en-US"/>
        </w:rPr>
      </w:pPr>
      <w:r>
        <w:rPr>
          <w:noProof/>
          <w:lang w:val="en-US"/>
        </w:rPr>
        <w:drawing>
          <wp:inline distT="0" distB="0" distL="0" distR="0" wp14:anchorId="0C1CD68A" wp14:editId="2A40DC90">
            <wp:extent cx="4511040" cy="163844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641" cy="1646655"/>
                    </a:xfrm>
                    <a:prstGeom prst="rect">
                      <a:avLst/>
                    </a:prstGeom>
                    <a:noFill/>
                    <a:ln>
                      <a:noFill/>
                    </a:ln>
                  </pic:spPr>
                </pic:pic>
              </a:graphicData>
            </a:graphic>
          </wp:inline>
        </w:drawing>
      </w:r>
    </w:p>
    <w:p w14:paraId="3C78D770" w14:textId="649FADA8" w:rsidR="00334CA9" w:rsidRDefault="00334CA9" w:rsidP="00187766">
      <w:pPr>
        <w:rPr>
          <w:lang w:val="en-US"/>
        </w:rPr>
      </w:pPr>
      <w:r>
        <w:rPr>
          <w:noProof/>
          <w:lang w:val="en-US"/>
        </w:rPr>
        <w:drawing>
          <wp:inline distT="0" distB="0" distL="0" distR="0" wp14:anchorId="18F57E2B" wp14:editId="6F63766E">
            <wp:extent cx="4485736" cy="1629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597" cy="1634654"/>
                    </a:xfrm>
                    <a:prstGeom prst="rect">
                      <a:avLst/>
                    </a:prstGeom>
                    <a:noFill/>
                    <a:ln>
                      <a:noFill/>
                    </a:ln>
                  </pic:spPr>
                </pic:pic>
              </a:graphicData>
            </a:graphic>
          </wp:inline>
        </w:drawing>
      </w:r>
    </w:p>
    <w:p w14:paraId="5B9829E6" w14:textId="654538F3" w:rsidR="005B679D" w:rsidRDefault="00334CA9" w:rsidP="00187766">
      <w:pPr>
        <w:rPr>
          <w:lang w:val="en-US"/>
        </w:rPr>
      </w:pPr>
      <w:r>
        <w:rPr>
          <w:lang w:val="en-US"/>
        </w:rPr>
        <w:t xml:space="preserve">One of the interesting observations that can be done about hedge funds on the context of </w:t>
      </w:r>
      <w:r w:rsidR="00C141DE">
        <w:rPr>
          <w:lang w:val="en-US"/>
        </w:rPr>
        <w:t>a</w:t>
      </w:r>
      <w:r>
        <w:rPr>
          <w:lang w:val="en-US"/>
        </w:rPr>
        <w:t xml:space="preserve"> yearly analysis is that, unlike fixed income funds, there is a consistent trend of negative correlations between shareholders and the average ticket on a fund. As this indicates, for instance, that individual investors may be </w:t>
      </w:r>
      <w:r w:rsidR="00C141DE">
        <w:rPr>
          <w:lang w:val="en-US"/>
        </w:rPr>
        <w:t>especially</w:t>
      </w:r>
      <w:r>
        <w:rPr>
          <w:lang w:val="en-US"/>
        </w:rPr>
        <w:t xml:space="preserve"> prone to invest on hedge funds, as their tickets tend to be smaller than institutional investors (that is, other funds, corporations and the like).</w:t>
      </w:r>
    </w:p>
    <w:p w14:paraId="1D19F21C" w14:textId="618261F3" w:rsidR="00334CA9" w:rsidRDefault="00334CA9" w:rsidP="00187766">
      <w:pPr>
        <w:rPr>
          <w:lang w:val="en-US"/>
        </w:rPr>
      </w:pPr>
    </w:p>
    <w:p w14:paraId="61F49A5E" w14:textId="7FD2E1FC" w:rsidR="00D85CA8" w:rsidRDefault="00D85CA8" w:rsidP="00187766">
      <w:pPr>
        <w:rPr>
          <w:lang w:val="en-US"/>
        </w:rPr>
      </w:pPr>
    </w:p>
    <w:p w14:paraId="58347895" w14:textId="1EBD613F" w:rsidR="00D85CA8" w:rsidRDefault="00D85CA8" w:rsidP="00187766">
      <w:pPr>
        <w:rPr>
          <w:lang w:val="en-US"/>
        </w:rPr>
      </w:pPr>
      <w:r>
        <w:rPr>
          <w:lang w:val="en-US"/>
        </w:rPr>
        <w:lastRenderedPageBreak/>
        <w:t xml:space="preserve">Another phenomenon observed is that the histogram of the correlations between the number of shareholders and the stock market index seems to follow a cyclical pattern. In 2018 and 2020, correlations tend to stay close to zero (indicating </w:t>
      </w:r>
      <w:proofErr w:type="gramStart"/>
      <w:r>
        <w:rPr>
          <w:lang w:val="en-US"/>
        </w:rPr>
        <w:t>a</w:t>
      </w:r>
      <w:proofErr w:type="gramEnd"/>
      <w:r>
        <w:rPr>
          <w:lang w:val="en-US"/>
        </w:rPr>
        <w:t xml:space="preserve"> irrelevant correlation between the two variables on the period), while on 2017 and 2019 correlations are displaced to both extremes, showing sets of funds that have either a positive or negative correlation. </w:t>
      </w:r>
    </w:p>
    <w:p w14:paraId="0CA11895" w14:textId="1B38C6CD" w:rsidR="00334CA9" w:rsidRDefault="00334CA9" w:rsidP="00187766">
      <w:pPr>
        <w:rPr>
          <w:lang w:val="en-US"/>
        </w:rPr>
      </w:pPr>
    </w:p>
    <w:p w14:paraId="6C2F6290" w14:textId="6E9BABBF" w:rsidR="00334CA9" w:rsidRDefault="00334CA9" w:rsidP="00C141DE">
      <w:pPr>
        <w:jc w:val="center"/>
        <w:rPr>
          <w:lang w:val="en-US"/>
        </w:rPr>
      </w:pPr>
      <w:r w:rsidRPr="00334CA9">
        <w:rPr>
          <w:noProof/>
          <w:lang w:val="en-US"/>
        </w:rPr>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2324424"/>
                    </a:xfrm>
                    <a:prstGeom prst="rect">
                      <a:avLst/>
                    </a:prstGeom>
                  </pic:spPr>
                </pic:pic>
              </a:graphicData>
            </a:graphic>
          </wp:inline>
        </w:drawing>
      </w:r>
    </w:p>
    <w:p w14:paraId="3E3ACFE3" w14:textId="58D203EA" w:rsidR="00C141DE" w:rsidRDefault="00D85CA8" w:rsidP="00187766">
      <w:pPr>
        <w:rPr>
          <w:lang w:val="en-US"/>
        </w:rPr>
      </w:pPr>
      <w:r>
        <w:rPr>
          <w:lang w:val="en-US"/>
        </w:rPr>
        <w:t>By dividing the graph above in periods corresponding to each year, correlations between the number of shareholders and the stock market index tend to vary with the IBOVESPA yearly performance. The graph below shows the variation of IBOVESPA within each selected year.</w:t>
      </w:r>
    </w:p>
    <w:p w14:paraId="2159252C" w14:textId="0BED1123" w:rsidR="00334CA9" w:rsidRDefault="00C141DE" w:rsidP="00187766">
      <w:pPr>
        <w:rPr>
          <w:lang w:val="en-US"/>
        </w:rPr>
      </w:pPr>
      <w:r w:rsidRPr="00C141DE">
        <w:rPr>
          <w:lang w:val="en-US"/>
        </w:rPr>
        <w:drawing>
          <wp:inline distT="0" distB="0" distL="0" distR="0" wp14:anchorId="29248403" wp14:editId="4CB1E44D">
            <wp:extent cx="5400040" cy="3253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53105"/>
                    </a:xfrm>
                    <a:prstGeom prst="rect">
                      <a:avLst/>
                    </a:prstGeom>
                  </pic:spPr>
                </pic:pic>
              </a:graphicData>
            </a:graphic>
          </wp:inline>
        </w:drawing>
      </w:r>
    </w:p>
    <w:p w14:paraId="20B71920" w14:textId="7301B9B2" w:rsidR="00D85CA8" w:rsidRDefault="00084721" w:rsidP="00187766">
      <w:pPr>
        <w:rPr>
          <w:lang w:val="en-US"/>
        </w:rPr>
      </w:pPr>
      <w:r>
        <w:rPr>
          <w:lang w:val="en-US"/>
        </w:rPr>
        <w:t xml:space="preserve">Major events occurred on the stock market (in the sense of sharp, short-spanned movements) in each one of the years, with 2019 being an exception. On May 2017, a recording that composed the testimony of </w:t>
      </w:r>
      <w:proofErr w:type="spellStart"/>
      <w:r>
        <w:rPr>
          <w:lang w:val="en-US"/>
        </w:rPr>
        <w:t>Joesley</w:t>
      </w:r>
      <w:proofErr w:type="spellEnd"/>
      <w:r>
        <w:rPr>
          <w:lang w:val="en-US"/>
        </w:rPr>
        <w:t xml:space="preserve"> Batista (owner of JBS, a company investigated on corruption schemes) to “</w:t>
      </w:r>
      <w:proofErr w:type="spellStart"/>
      <w:r>
        <w:rPr>
          <w:lang w:val="en-US"/>
        </w:rPr>
        <w:t>Operação</w:t>
      </w:r>
      <w:proofErr w:type="spellEnd"/>
      <w:r>
        <w:rPr>
          <w:lang w:val="en-US"/>
        </w:rPr>
        <w:t xml:space="preserve"> Lava </w:t>
      </w:r>
      <w:proofErr w:type="spellStart"/>
      <w:r>
        <w:rPr>
          <w:lang w:val="en-US"/>
        </w:rPr>
        <w:t>Jato</w:t>
      </w:r>
      <w:proofErr w:type="spellEnd"/>
      <w:r>
        <w:rPr>
          <w:lang w:val="en-US"/>
        </w:rPr>
        <w:t xml:space="preserve">”, was made public. As Brazil had impeached a president on the previous year and the current president was involved on </w:t>
      </w:r>
      <w:proofErr w:type="spellStart"/>
      <w:r>
        <w:rPr>
          <w:lang w:val="en-US"/>
        </w:rPr>
        <w:t>Joesley’s</w:t>
      </w:r>
      <w:proofErr w:type="spellEnd"/>
      <w:r>
        <w:rPr>
          <w:lang w:val="en-US"/>
        </w:rPr>
        <w:t xml:space="preserve"> testimony, </w:t>
      </w:r>
      <w:r>
        <w:rPr>
          <w:lang w:val="en-US"/>
        </w:rPr>
        <w:lastRenderedPageBreak/>
        <w:t xml:space="preserve">uncertainty regarding Brazil’s political stability struck the stock market, driving it down by 12% over </w:t>
      </w:r>
      <w:proofErr w:type="gramStart"/>
      <w:r>
        <w:rPr>
          <w:lang w:val="en-US"/>
        </w:rPr>
        <w:t>an</w:t>
      </w:r>
      <w:proofErr w:type="gramEnd"/>
      <w:r>
        <w:rPr>
          <w:lang w:val="en-US"/>
        </w:rPr>
        <w:t xml:space="preserve"> </w:t>
      </w:r>
      <w:r w:rsidR="00580561">
        <w:rPr>
          <w:lang w:val="en-US"/>
        </w:rPr>
        <w:t xml:space="preserve">trading </w:t>
      </w:r>
      <w:r>
        <w:rPr>
          <w:lang w:val="en-US"/>
        </w:rPr>
        <w:t>hour</w:t>
      </w:r>
      <w:r w:rsidR="00580561">
        <w:rPr>
          <w:lang w:val="en-US"/>
        </w:rPr>
        <w:t xml:space="preserve"> [9]</w:t>
      </w:r>
      <w:r>
        <w:rPr>
          <w:lang w:val="en-US"/>
        </w:rPr>
        <w:t>.</w:t>
      </w:r>
    </w:p>
    <w:p w14:paraId="243DE9F6" w14:textId="78D38643" w:rsidR="00580561" w:rsidRDefault="00580561" w:rsidP="00187766">
      <w:pPr>
        <w:rPr>
          <w:lang w:val="en-US"/>
        </w:rPr>
      </w:pPr>
      <w:proofErr w:type="gramStart"/>
      <w:r>
        <w:rPr>
          <w:lang w:val="en-US"/>
        </w:rPr>
        <w:t>On</w:t>
      </w:r>
      <w:proofErr w:type="gramEnd"/>
      <w:r>
        <w:rPr>
          <w:lang w:val="en-US"/>
        </w:rPr>
        <w:t xml:space="preserve"> May 2018, a nationwide strike of truck drivers [10] sparked uncertainty on the country’s economic perspectives. This strike led to a temporary spike on inflation and a short-term loss on the IBOVESPA Index. Finally, on March 2020, a worldwide crisis caused by the impacts of Covid-19 on the global economy plummeted stock markets around the world [11]</w:t>
      </w:r>
      <w:r w:rsidR="00496319">
        <w:rPr>
          <w:lang w:val="en-US"/>
        </w:rPr>
        <w:t>, and IBOVESPA fell by almost 40% over the course of a month.</w:t>
      </w:r>
    </w:p>
    <w:p w14:paraId="1F52662A" w14:textId="230D54AB" w:rsidR="00084721" w:rsidRDefault="00496319" w:rsidP="00187766">
      <w:pPr>
        <w:rPr>
          <w:lang w:val="en-US"/>
        </w:rPr>
      </w:pPr>
      <w:r>
        <w:rPr>
          <w:lang w:val="en-US"/>
        </w:rPr>
        <w:t>If the presence of such events had a consistent interference on the correlation between the number of shareholders and the stock market index, the similarity of the histograms from 2017 and 2019 should not be observed. One could argue, however, that as most of those events were strongly linked to the political scenario at the time, an analysis focusing on the interference of the political scenario and the variation of shareholders on investment funds could yield more relevant results.</w:t>
      </w:r>
    </w:p>
    <w:p w14:paraId="5175FC16" w14:textId="18FBE15E" w:rsidR="00625E29" w:rsidRDefault="000E3029" w:rsidP="00187766">
      <w:pPr>
        <w:rPr>
          <w:lang w:val="en-US"/>
        </w:rPr>
      </w:pPr>
      <w:r>
        <w:rPr>
          <w:lang w:val="en-US"/>
        </w:rPr>
        <w:t>In terms of SELIC rates, a similar graph can be plotted:</w:t>
      </w:r>
    </w:p>
    <w:p w14:paraId="1201A4C0" w14:textId="641A05CE" w:rsidR="000E3029" w:rsidRDefault="000E3029" w:rsidP="00187766">
      <w:pPr>
        <w:rPr>
          <w:lang w:val="en-US"/>
        </w:rPr>
      </w:pPr>
    </w:p>
    <w:p w14:paraId="555DA88B" w14:textId="0517CE3E" w:rsidR="000E3029" w:rsidRDefault="000E3029" w:rsidP="00187766">
      <w:pPr>
        <w:rPr>
          <w:lang w:val="en-US"/>
        </w:rPr>
      </w:pPr>
    </w:p>
    <w:p w14:paraId="7D4FC9A8" w14:textId="77777777" w:rsidR="000E3029" w:rsidRDefault="000E3029" w:rsidP="00187766">
      <w:pPr>
        <w:rPr>
          <w:lang w:val="en-US"/>
        </w:rPr>
      </w:pPr>
    </w:p>
    <w:p w14:paraId="5AE6FD27" w14:textId="32B171B5" w:rsidR="005B679D" w:rsidRDefault="005B679D" w:rsidP="00187766">
      <w:pPr>
        <w:rPr>
          <w:lang w:val="en-US"/>
        </w:rPr>
      </w:pPr>
      <w:r>
        <w:rPr>
          <w:lang w:val="en-US"/>
        </w:rPr>
        <w:t xml:space="preserve">A noteworthy fact is that, along all intervals and funds, there does not seem to be a relevant correlation between the </w:t>
      </w:r>
      <w:r w:rsidR="00C141DE">
        <w:rPr>
          <w:lang w:val="en-US"/>
        </w:rPr>
        <w:t>number</w:t>
      </w:r>
      <w:r>
        <w:rPr>
          <w:lang w:val="en-US"/>
        </w:rP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Pr>
        <w:rPr>
          <w:lang w:val="en-US"/>
        </w:rPr>
      </w:pPr>
    </w:p>
    <w:p w14:paraId="228BF5B9" w14:textId="0FDAF2E6" w:rsidR="00E91711" w:rsidRDefault="00E91711" w:rsidP="00E91711">
      <w:pPr>
        <w:pStyle w:val="Heading3"/>
        <w:rPr>
          <w:lang w:val="en-US"/>
        </w:rPr>
      </w:pPr>
      <w:r>
        <w:rPr>
          <w:lang w:val="en-US"/>
        </w:rPr>
        <w:t xml:space="preserve">K-means algorithm and </w:t>
      </w:r>
      <w:proofErr w:type="spellStart"/>
      <w:r>
        <w:rPr>
          <w:lang w:val="en-US"/>
        </w:rPr>
        <w:t>wordclouds</w:t>
      </w:r>
      <w:proofErr w:type="spellEnd"/>
    </w:p>
    <w:p w14:paraId="173C29BE" w14:textId="16D367D8" w:rsidR="00187766" w:rsidRDefault="00187766" w:rsidP="00187766">
      <w:pPr>
        <w:rPr>
          <w:lang w:val="en-US"/>
        </w:rPr>
      </w:pPr>
    </w:p>
    <w:p w14:paraId="47437D9E" w14:textId="371782B5" w:rsidR="00334CA9" w:rsidRDefault="00334CA9" w:rsidP="00187766">
      <w:pPr>
        <w:rPr>
          <w:lang w:val="en-US"/>
        </w:rPr>
      </w:pPr>
      <w:r>
        <w:rPr>
          <w:lang w:val="en-US"/>
        </w:rPr>
        <w:t xml:space="preserve">WCSS graph – elbow </w:t>
      </w:r>
      <w:proofErr w:type="gramStart"/>
      <w:r>
        <w:rPr>
          <w:lang w:val="en-US"/>
        </w:rPr>
        <w:t>fixed</w:t>
      </w:r>
      <w:proofErr w:type="gramEnd"/>
    </w:p>
    <w:p w14:paraId="3E4B87C0" w14:textId="77777777" w:rsidR="00334CA9" w:rsidRDefault="00334CA9" w:rsidP="00334CA9">
      <w:pPr>
        <w:rPr>
          <w:lang w:val="en-US"/>
        </w:rPr>
      </w:pPr>
      <w:r w:rsidRPr="00334CA9">
        <w:rPr>
          <w:noProof/>
          <w:lang w:val="en-US"/>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1975" cy="1821123"/>
                    </a:xfrm>
                    <a:prstGeom prst="rect">
                      <a:avLst/>
                    </a:prstGeom>
                  </pic:spPr>
                </pic:pic>
              </a:graphicData>
            </a:graphic>
          </wp:inline>
        </w:drawing>
      </w:r>
    </w:p>
    <w:p w14:paraId="6F3B9C32" w14:textId="4F5656C4" w:rsidR="00334CA9" w:rsidRDefault="00334CA9" w:rsidP="00334CA9">
      <w:pPr>
        <w:rPr>
          <w:lang w:val="en-US"/>
        </w:rPr>
      </w:pPr>
      <w:r>
        <w:rPr>
          <w:lang w:val="en-US"/>
        </w:rPr>
        <w:t>WCSS graph – elbow hedge</w:t>
      </w:r>
    </w:p>
    <w:p w14:paraId="4AD499DA" w14:textId="53C76D66" w:rsidR="00334CA9" w:rsidRDefault="00334CA9" w:rsidP="00187766">
      <w:pPr>
        <w:rPr>
          <w:lang w:val="en-US"/>
        </w:rPr>
      </w:pPr>
      <w:r w:rsidRPr="00334CA9">
        <w:rPr>
          <w:noProof/>
          <w:lang w:val="en-US"/>
        </w:rPr>
        <w:lastRenderedPageBreak/>
        <w:drawing>
          <wp:inline distT="0" distB="0" distL="0" distR="0" wp14:anchorId="135D74FF" wp14:editId="7A8D7EC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2414" cy="1818915"/>
                    </a:xfrm>
                    <a:prstGeom prst="rect">
                      <a:avLst/>
                    </a:prstGeom>
                  </pic:spPr>
                </pic:pic>
              </a:graphicData>
            </a:graphic>
          </wp:inline>
        </w:drawing>
      </w:r>
    </w:p>
    <w:p w14:paraId="19BDB6DE" w14:textId="1D12E53B" w:rsidR="00334CA9" w:rsidRDefault="00334CA9" w:rsidP="00187766">
      <w:pPr>
        <w:rPr>
          <w:lang w:val="en-US"/>
        </w:rPr>
      </w:pPr>
    </w:p>
    <w:p w14:paraId="47689CA5" w14:textId="2CE6600F" w:rsidR="00334CA9" w:rsidRDefault="008E0244" w:rsidP="00187766">
      <w:pPr>
        <w:rPr>
          <w:lang w:val="en-US"/>
        </w:rPr>
      </w:pPr>
      <w:r>
        <w:rPr>
          <w:noProof/>
          <w:lang w:val="en-US"/>
        </w:rPr>
        <w:drawing>
          <wp:anchor distT="0" distB="0" distL="114300" distR="114300" simplePos="0" relativeHeight="251662336" behindDoc="0" locked="0" layoutInCell="1" allowOverlap="1" wp14:anchorId="7DE90561" wp14:editId="1CFFDADF">
            <wp:simplePos x="0" y="0"/>
            <wp:positionH relativeFrom="page">
              <wp:align>left</wp:align>
            </wp:positionH>
            <wp:positionV relativeFrom="paragraph">
              <wp:posOffset>397510</wp:posOffset>
            </wp:positionV>
            <wp:extent cx="3932555" cy="26200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255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01A43CE2" wp14:editId="3BEF051D">
            <wp:simplePos x="0" y="0"/>
            <wp:positionH relativeFrom="page">
              <wp:posOffset>3629660</wp:posOffset>
            </wp:positionH>
            <wp:positionV relativeFrom="paragraph">
              <wp:posOffset>397510</wp:posOffset>
            </wp:positionV>
            <wp:extent cx="3930650" cy="26200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065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0" locked="0" layoutInCell="1" allowOverlap="1" wp14:anchorId="5ADED8F9" wp14:editId="07C0E152">
            <wp:simplePos x="0" y="0"/>
            <wp:positionH relativeFrom="page">
              <wp:align>left</wp:align>
            </wp:positionH>
            <wp:positionV relativeFrom="paragraph">
              <wp:posOffset>2430126</wp:posOffset>
            </wp:positionV>
            <wp:extent cx="4121150" cy="27470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115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14:anchorId="3458AEAE" wp14:editId="28EA6750">
            <wp:simplePos x="0" y="0"/>
            <wp:positionH relativeFrom="column">
              <wp:posOffset>2426970</wp:posOffset>
            </wp:positionH>
            <wp:positionV relativeFrom="paragraph">
              <wp:posOffset>2362835</wp:posOffset>
            </wp:positionV>
            <wp:extent cx="4053205" cy="27019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3205" cy="270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CA9">
        <w:rPr>
          <w:lang w:val="en-US"/>
        </w:rPr>
        <w:t>Fixed Income funds</w:t>
      </w:r>
    </w:p>
    <w:p w14:paraId="7FAB980D" w14:textId="1CD5033B" w:rsidR="008E0244" w:rsidRDefault="008E0244" w:rsidP="00187766">
      <w:pPr>
        <w:rPr>
          <w:lang w:val="en-US"/>
        </w:rPr>
      </w:pPr>
    </w:p>
    <w:p w14:paraId="7DDB4810" w14:textId="33B20452" w:rsidR="008E0244" w:rsidRDefault="008E0244" w:rsidP="00187766">
      <w:pPr>
        <w:rPr>
          <w:lang w:val="en-US"/>
        </w:rPr>
      </w:pPr>
    </w:p>
    <w:p w14:paraId="267EBCCE" w14:textId="1C39114D" w:rsidR="008E0244" w:rsidRDefault="008E0244" w:rsidP="00187766">
      <w:pPr>
        <w:rPr>
          <w:lang w:val="en-US"/>
        </w:rPr>
      </w:pPr>
    </w:p>
    <w:p w14:paraId="54596727" w14:textId="2A00165F" w:rsidR="008E0244" w:rsidRDefault="008E0244" w:rsidP="00187766">
      <w:pPr>
        <w:rPr>
          <w:lang w:val="en-US"/>
        </w:rPr>
      </w:pPr>
    </w:p>
    <w:p w14:paraId="39E67596" w14:textId="1E174A5A" w:rsidR="008E0244" w:rsidRDefault="008E0244" w:rsidP="00187766">
      <w:pPr>
        <w:rPr>
          <w:lang w:val="en-US"/>
        </w:rPr>
      </w:pPr>
    </w:p>
    <w:p w14:paraId="1AEDAD3A" w14:textId="2B1B3FA5" w:rsidR="008E0244" w:rsidRDefault="008E0244" w:rsidP="00187766">
      <w:pPr>
        <w:rPr>
          <w:lang w:val="en-US"/>
        </w:rPr>
      </w:pPr>
    </w:p>
    <w:p w14:paraId="4F6571E9" w14:textId="1F3EC83C" w:rsidR="008E0244" w:rsidRDefault="008E0244" w:rsidP="00187766">
      <w:pPr>
        <w:rPr>
          <w:lang w:val="en-US"/>
        </w:rPr>
      </w:pPr>
    </w:p>
    <w:p w14:paraId="1C879504" w14:textId="186C7055" w:rsidR="008E0244" w:rsidRDefault="008E0244" w:rsidP="00187766">
      <w:pPr>
        <w:rPr>
          <w:lang w:val="en-US"/>
        </w:rPr>
      </w:pPr>
    </w:p>
    <w:p w14:paraId="131E2800" w14:textId="06F1478B" w:rsidR="008E0244" w:rsidRDefault="008E0244" w:rsidP="00187766">
      <w:pPr>
        <w:rPr>
          <w:lang w:val="en-US"/>
        </w:rPr>
      </w:pPr>
    </w:p>
    <w:p w14:paraId="7152542B" w14:textId="7E73EA0E" w:rsidR="008E0244" w:rsidRDefault="008E0244" w:rsidP="00187766">
      <w:pPr>
        <w:rPr>
          <w:lang w:val="en-US"/>
        </w:rPr>
      </w:pPr>
    </w:p>
    <w:p w14:paraId="3FE725C7" w14:textId="21A12587" w:rsidR="008E0244" w:rsidRDefault="008E0244" w:rsidP="00187766">
      <w:pPr>
        <w:rPr>
          <w:lang w:val="en-US"/>
        </w:rPr>
      </w:pPr>
    </w:p>
    <w:p w14:paraId="3E29648A" w14:textId="761FC257" w:rsidR="008E0244" w:rsidRDefault="008E0244">
      <w:pPr>
        <w:rPr>
          <w:lang w:val="en-US"/>
        </w:rPr>
      </w:pPr>
      <w:r>
        <w:rPr>
          <w:lang w:val="en-US"/>
        </w:rPr>
        <w:br w:type="page"/>
      </w:r>
    </w:p>
    <w:p w14:paraId="3A277DBE" w14:textId="7E88E85F" w:rsidR="00645BC9" w:rsidRDefault="00334CA9" w:rsidP="00187766">
      <w:pPr>
        <w:rPr>
          <w:lang w:val="en-US"/>
        </w:rPr>
      </w:pPr>
      <w:r>
        <w:rPr>
          <w:lang w:val="en-US"/>
        </w:rPr>
        <w:lastRenderedPageBreak/>
        <w:t>Hedge funds:</w:t>
      </w:r>
    </w:p>
    <w:p w14:paraId="5371F935" w14:textId="2471CF63" w:rsidR="00334CA9" w:rsidRDefault="008E0244" w:rsidP="00187766">
      <w:pPr>
        <w:rPr>
          <w:lang w:val="en-US"/>
        </w:rPr>
      </w:pPr>
      <w:r>
        <w:rPr>
          <w:noProof/>
          <w:lang w:val="en-US"/>
        </w:rPr>
        <w:drawing>
          <wp:anchor distT="0" distB="0" distL="114300" distR="114300" simplePos="0" relativeHeight="251661312" behindDoc="0" locked="0" layoutInCell="1" allowOverlap="1" wp14:anchorId="2F8F393C" wp14:editId="3D2DBDF1">
            <wp:simplePos x="0" y="0"/>
            <wp:positionH relativeFrom="page">
              <wp:align>right</wp:align>
            </wp:positionH>
            <wp:positionV relativeFrom="paragraph">
              <wp:posOffset>2442181</wp:posOffset>
            </wp:positionV>
            <wp:extent cx="3768725" cy="25107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87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1E8FB28C" wp14:editId="6EBF3103">
            <wp:simplePos x="0" y="0"/>
            <wp:positionH relativeFrom="margin">
              <wp:posOffset>2419578</wp:posOffset>
            </wp:positionH>
            <wp:positionV relativeFrom="paragraph">
              <wp:posOffset>196850</wp:posOffset>
            </wp:positionV>
            <wp:extent cx="4035425" cy="26885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42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6132C247" wp14:editId="40BF9901">
            <wp:simplePos x="0" y="0"/>
            <wp:positionH relativeFrom="page">
              <wp:align>left</wp:align>
            </wp:positionH>
            <wp:positionV relativeFrom="paragraph">
              <wp:posOffset>219852</wp:posOffset>
            </wp:positionV>
            <wp:extent cx="3954145" cy="2633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8374" cy="2636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4F1031F" wp14:editId="1827DB9F">
            <wp:simplePos x="0" y="0"/>
            <wp:positionH relativeFrom="page">
              <wp:align>left</wp:align>
            </wp:positionH>
            <wp:positionV relativeFrom="paragraph">
              <wp:posOffset>2443148</wp:posOffset>
            </wp:positionV>
            <wp:extent cx="3730625" cy="24847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062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A7FE9" w14:textId="715AB022" w:rsidR="00334CA9" w:rsidRDefault="00334CA9" w:rsidP="00187766">
      <w:pPr>
        <w:rPr>
          <w:lang w:val="en-US"/>
        </w:rPr>
      </w:pPr>
    </w:p>
    <w:p w14:paraId="2CA4561C" w14:textId="2BB7D9C6" w:rsidR="00645BC9" w:rsidRDefault="00645BC9" w:rsidP="00187766">
      <w:pPr>
        <w:rPr>
          <w:lang w:val="en-US"/>
        </w:rPr>
      </w:pPr>
    </w:p>
    <w:p w14:paraId="7E0B7A9E" w14:textId="26437EE1" w:rsidR="00645BC9" w:rsidRDefault="00645BC9" w:rsidP="00187766">
      <w:pPr>
        <w:rPr>
          <w:lang w:val="en-US"/>
        </w:rPr>
      </w:pPr>
    </w:p>
    <w:p w14:paraId="5F986459" w14:textId="0B978297" w:rsidR="00645BC9" w:rsidRDefault="00645BC9" w:rsidP="00187766">
      <w:pPr>
        <w:rPr>
          <w:lang w:val="en-US"/>
        </w:rPr>
      </w:pPr>
    </w:p>
    <w:p w14:paraId="6DF83317" w14:textId="5EF60747" w:rsidR="00187766" w:rsidRDefault="00645BC9" w:rsidP="00187766">
      <w:pPr>
        <w:rPr>
          <w:lang w:val="en-US"/>
        </w:rPr>
      </w:pPr>
      <w:r>
        <w:rPr>
          <w:lang w:val="en-US"/>
        </w:rPr>
        <w:t xml:space="preserve"> </w:t>
      </w:r>
    </w:p>
    <w:p w14:paraId="439C07B4" w14:textId="53E058C2" w:rsidR="00D43A31" w:rsidRDefault="00D43A31" w:rsidP="00187766">
      <w:pPr>
        <w:rPr>
          <w:lang w:val="en-US"/>
        </w:rPr>
      </w:pPr>
    </w:p>
    <w:p w14:paraId="60B9F88B" w14:textId="22A843E9" w:rsidR="00D43A31" w:rsidRDefault="00D43A31" w:rsidP="00187766">
      <w:pPr>
        <w:rPr>
          <w:lang w:val="en-US"/>
        </w:rPr>
      </w:pPr>
    </w:p>
    <w:p w14:paraId="410B4BF3" w14:textId="696D8FED" w:rsidR="00D43A31" w:rsidRDefault="00D43A31" w:rsidP="00187766">
      <w:pPr>
        <w:rPr>
          <w:lang w:val="en-US"/>
        </w:rPr>
      </w:pPr>
    </w:p>
    <w:p w14:paraId="2B377175" w14:textId="090860BC" w:rsidR="00D43A31" w:rsidRDefault="00D43A31" w:rsidP="00187766">
      <w:pPr>
        <w:rPr>
          <w:lang w:val="en-US"/>
        </w:rPr>
      </w:pPr>
    </w:p>
    <w:p w14:paraId="2173CDDC" w14:textId="72AD4849" w:rsidR="00D43A31" w:rsidRDefault="00D43A31" w:rsidP="00187766">
      <w:pPr>
        <w:rPr>
          <w:lang w:val="en-US"/>
        </w:rPr>
      </w:pPr>
    </w:p>
    <w:p w14:paraId="7CBB10C7" w14:textId="2F7F90AA" w:rsidR="00D43A31" w:rsidRDefault="00D43A31" w:rsidP="00187766">
      <w:pPr>
        <w:rPr>
          <w:lang w:val="en-US"/>
        </w:rPr>
      </w:pPr>
    </w:p>
    <w:p w14:paraId="4BDD92AA" w14:textId="77777777" w:rsidR="00D43A31" w:rsidRDefault="00D43A31" w:rsidP="00187766">
      <w:pPr>
        <w:rPr>
          <w:lang w:val="en-US"/>
        </w:rPr>
      </w:pPr>
    </w:p>
    <w:p w14:paraId="47165FCD" w14:textId="3C72B77F" w:rsidR="00187766" w:rsidRDefault="00187766" w:rsidP="00187766">
      <w:pPr>
        <w:pStyle w:val="Heading2"/>
        <w:rPr>
          <w:lang w:val="en-US"/>
        </w:rPr>
      </w:pPr>
      <w:r>
        <w:rPr>
          <w:lang w:val="en-US"/>
        </w:rPr>
        <w:lastRenderedPageBreak/>
        <w:t>Conclusion</w:t>
      </w:r>
    </w:p>
    <w:p w14:paraId="17F65676" w14:textId="77777777" w:rsidR="00187766" w:rsidRPr="00187766" w:rsidRDefault="00187766" w:rsidP="00187766">
      <w:pPr>
        <w:rPr>
          <w:lang w:val="en-US"/>
        </w:rPr>
      </w:pPr>
    </w:p>
    <w:p w14:paraId="73D5C71D" w14:textId="15AA940A" w:rsidR="005D05A4" w:rsidRDefault="00E91711" w:rsidP="002F76E0">
      <w:pPr>
        <w:rPr>
          <w:lang w:val="en-US"/>
        </w:rPr>
      </w:pPr>
      <w:r>
        <w:rPr>
          <w:lang w:val="en-US"/>
        </w:rPr>
        <w:t xml:space="preserve">Some insights could be obtained with the analysis of correlations, both on the whole period and on a yearly basis. However, </w:t>
      </w:r>
      <w:proofErr w:type="spellStart"/>
      <w:r>
        <w:rPr>
          <w:lang w:val="en-US"/>
        </w:rPr>
        <w:t>clusterization</w:t>
      </w:r>
      <w:proofErr w:type="spellEnd"/>
      <w:r>
        <w:rPr>
          <w:lang w:val="en-US"/>
        </w:rPr>
        <w:t xml:space="preserve"> did not return results that seem strong enough to be considered as meaningful, given that certain words are present along all observed clusters.</w:t>
      </w:r>
    </w:p>
    <w:p w14:paraId="4BFDF9CE" w14:textId="77777777" w:rsidR="00E91711" w:rsidRDefault="00E91711" w:rsidP="002F76E0">
      <w:pPr>
        <w:rPr>
          <w:lang w:val="en-US"/>
        </w:rPr>
      </w:pPr>
    </w:p>
    <w:p w14:paraId="5BB4764B" w14:textId="446D971B" w:rsidR="0047413C" w:rsidRDefault="00187766" w:rsidP="00187766">
      <w:pPr>
        <w:pStyle w:val="Heading2"/>
        <w:rPr>
          <w:lang w:val="en-US"/>
        </w:rPr>
      </w:pPr>
      <w:r>
        <w:rPr>
          <w:lang w:val="en-US"/>
        </w:rPr>
        <w:t>References</w:t>
      </w:r>
    </w:p>
    <w:p w14:paraId="3B4AD15B" w14:textId="77777777" w:rsidR="00187766" w:rsidRPr="00187766" w:rsidRDefault="00187766" w:rsidP="00187766">
      <w:pPr>
        <w:rPr>
          <w:lang w:val="en-US"/>
        </w:rPr>
      </w:pPr>
    </w:p>
    <w:p w14:paraId="631588F5" w14:textId="76A41D99" w:rsidR="002F76E0" w:rsidRDefault="0047413C">
      <w:pPr>
        <w:rPr>
          <w:lang w:val="en-US"/>
        </w:rPr>
      </w:pPr>
      <w:r>
        <w:rPr>
          <w:lang w:val="en-US"/>
        </w:rPr>
        <w:t xml:space="preserve">[1] - </w:t>
      </w:r>
      <w:hyperlink r:id="rId29"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30" w:anchor="Onde"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31"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32"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33"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34"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t xml:space="preserve">[7] - </w:t>
      </w:r>
      <w:hyperlink r:id="rId35" w:history="1">
        <w:r w:rsidRPr="002A26B9">
          <w:rPr>
            <w:rStyle w:val="Hyperlink"/>
            <w:lang w:val="en-US"/>
          </w:rPr>
          <w:t>http://api.bcb.gov.br/dados/serie/bcdata.sgs.4189/dados?formato=json&amp;dataInicial=01/01/2017&amp;dataFinal=31/12/2020</w:t>
        </w:r>
      </w:hyperlink>
    </w:p>
    <w:p w14:paraId="08D15C79" w14:textId="46F96642" w:rsidR="005F053F" w:rsidRDefault="005F053F" w:rsidP="0047413C">
      <w:pPr>
        <w:rPr>
          <w:rStyle w:val="Hyperlink"/>
          <w:lang w:val="en-US"/>
        </w:rPr>
      </w:pPr>
      <w:r>
        <w:rPr>
          <w:lang w:val="en-US"/>
        </w:rPr>
        <w:t xml:space="preserve">[8] - </w:t>
      </w:r>
      <w:hyperlink r:id="rId36" w:history="1">
        <w:r w:rsidRPr="00152EEF">
          <w:rPr>
            <w:rStyle w:val="Hyperlink"/>
            <w:lang w:val="en-US"/>
          </w:rPr>
          <w:t>http://dados.cvm.gov.br/dataset/fi-doc-cda</w:t>
        </w:r>
      </w:hyperlink>
    </w:p>
    <w:p w14:paraId="68D4D661" w14:textId="71260597" w:rsidR="00580561" w:rsidRDefault="00580561" w:rsidP="0047413C">
      <w:pPr>
        <w:rPr>
          <w:rStyle w:val="Hyperlink"/>
          <w:lang w:val="en-US"/>
        </w:rPr>
      </w:pPr>
      <w:r>
        <w:rPr>
          <w:rStyle w:val="Hyperlink"/>
          <w:lang w:val="en-US"/>
        </w:rPr>
        <w:t xml:space="preserve">[9] - </w:t>
      </w:r>
      <w:hyperlink r:id="rId37" w:history="1">
        <w:r w:rsidRPr="00533E3B">
          <w:rPr>
            <w:rStyle w:val="Hyperlink"/>
            <w:lang w:val="en-US"/>
          </w:rPr>
          <w:t>https://cointimes.com.br/joesley-day-um-dos-dias-mais-loucos-da-historia-da-bovespa/</w:t>
        </w:r>
      </w:hyperlink>
    </w:p>
    <w:p w14:paraId="1C1F3C2D" w14:textId="1E1936F0" w:rsidR="00580561" w:rsidRDefault="00580561" w:rsidP="0047413C">
      <w:pPr>
        <w:rPr>
          <w:rStyle w:val="Hyperlink"/>
          <w:lang w:val="en-US"/>
        </w:rPr>
      </w:pPr>
      <w:r>
        <w:rPr>
          <w:rStyle w:val="Hyperlink"/>
          <w:lang w:val="en-US"/>
        </w:rPr>
        <w:t xml:space="preserve">[10] - </w:t>
      </w:r>
      <w:hyperlink r:id="rId38" w:history="1">
        <w:r w:rsidRPr="00533E3B">
          <w:rPr>
            <w:rStyle w:val="Hyperlink"/>
            <w:lang w:val="en-US"/>
          </w:rPr>
          <w:t>https://g1.globo.com/economia/noticia/bovespa-28-05-2018.ghtml</w:t>
        </w:r>
      </w:hyperlink>
    </w:p>
    <w:p w14:paraId="10A8CC50" w14:textId="71BFB419" w:rsidR="00580561" w:rsidRDefault="00580561" w:rsidP="0047413C">
      <w:pPr>
        <w:rPr>
          <w:lang w:val="en-US"/>
        </w:rPr>
      </w:pPr>
      <w:r>
        <w:rPr>
          <w:rStyle w:val="Hyperlink"/>
          <w:lang w:val="en-US"/>
        </w:rPr>
        <w:t xml:space="preserve">[11] - </w:t>
      </w:r>
      <w:r w:rsidRPr="00580561">
        <w:rPr>
          <w:rStyle w:val="Hyperlink"/>
          <w:lang w:val="en-US"/>
        </w:rPr>
        <w:t>https://www.theguardian.com/business/live/2020/mar/12/stock-markets-tumble-trump-europe-travel-ban-ecb-christine-lagarde-business-live</w:t>
      </w:r>
    </w:p>
    <w:p w14:paraId="2F6D81B3" w14:textId="77777777" w:rsidR="005F053F" w:rsidRPr="002F76E0" w:rsidRDefault="005F053F" w:rsidP="0047413C">
      <w:pPr>
        <w:rPr>
          <w:lang w:val="en-US"/>
        </w:rPr>
      </w:pP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84721"/>
    <w:rsid w:val="000E2718"/>
    <w:rsid w:val="000E3029"/>
    <w:rsid w:val="001417D2"/>
    <w:rsid w:val="00187766"/>
    <w:rsid w:val="001C168C"/>
    <w:rsid w:val="002311AB"/>
    <w:rsid w:val="002726A9"/>
    <w:rsid w:val="002F0A9D"/>
    <w:rsid w:val="002F76E0"/>
    <w:rsid w:val="00334CA9"/>
    <w:rsid w:val="00377EF0"/>
    <w:rsid w:val="0039423F"/>
    <w:rsid w:val="003E4AC7"/>
    <w:rsid w:val="0047413C"/>
    <w:rsid w:val="00496319"/>
    <w:rsid w:val="004C2AC2"/>
    <w:rsid w:val="00580561"/>
    <w:rsid w:val="005B679D"/>
    <w:rsid w:val="005D05A4"/>
    <w:rsid w:val="005D6A7E"/>
    <w:rsid w:val="005F053F"/>
    <w:rsid w:val="005F2E2D"/>
    <w:rsid w:val="00625E29"/>
    <w:rsid w:val="00645BC9"/>
    <w:rsid w:val="00686362"/>
    <w:rsid w:val="008412FC"/>
    <w:rsid w:val="008C5A93"/>
    <w:rsid w:val="008E0244"/>
    <w:rsid w:val="00905869"/>
    <w:rsid w:val="009459C0"/>
    <w:rsid w:val="00A97BF9"/>
    <w:rsid w:val="00B04F5D"/>
    <w:rsid w:val="00B13BFD"/>
    <w:rsid w:val="00B154A7"/>
    <w:rsid w:val="00BD6639"/>
    <w:rsid w:val="00C141DE"/>
    <w:rsid w:val="00CD7155"/>
    <w:rsid w:val="00CE09D6"/>
    <w:rsid w:val="00CF019E"/>
    <w:rsid w:val="00D22646"/>
    <w:rsid w:val="00D43A31"/>
    <w:rsid w:val="00D51E9C"/>
    <w:rsid w:val="00D85CA8"/>
    <w:rsid w:val="00D913F8"/>
    <w:rsid w:val="00DE46C5"/>
    <w:rsid w:val="00DF52C7"/>
    <w:rsid w:val="00E20A69"/>
    <w:rsid w:val="00E61B41"/>
    <w:rsid w:val="00E7763E"/>
    <w:rsid w:val="00E91711"/>
    <w:rsid w:val="00F12555"/>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pypi.org/project/yfinan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anbima.com.br/data/files/04/35/26/3E/E9E057106A070057882BA2A8/IHFA%20-%204T20.xlsx" TargetMode="External"/><Relationship Id="rId38" Type="http://schemas.openxmlformats.org/officeDocument/2006/relationships/hyperlink" Target="https://g1.globo.com/economia/noticia/bovespa-28-05-2018.g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nbima.com.br/pt_br/informar/relatorios/fundos-de-investimento/boletim-de-fundos-de-investimentos/classe-multimercados-registra-recorde-em-entrada-liquida-de-recursos-no-ano.ht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dados.cvm.gov.br/dataset/fi-doc-inf_diario" TargetMode="External"/><Relationship Id="rId37" Type="http://schemas.openxmlformats.org/officeDocument/2006/relationships/hyperlink" Target="https://cointimes.com.br/joesley-day-um-dos-dias-mais-loucos-da-historia-da-bovespa/" TargetMode="External"/><Relationship Id="rId40"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dados.cvm.gov.br/dataset/fi-doc-cd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dados.cvm.gov.br/dataset/fi-cad/resource/1baccbb6-cd82-49f6-b70f-5a7d5ad7d6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anbima.com.br/pt_br/especial/raio-x-do-investidor-2020.htm" TargetMode="External"/><Relationship Id="rId35" Type="http://schemas.openxmlformats.org/officeDocument/2006/relationships/hyperlink" Target="http://api.bcb.gov.br/dados/serie/bcdata.sgs.4189/dados?formato=json&amp;dataInicial=01/01/2017&amp;dataFinal=31/12/20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13</Pages>
  <Words>2644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19</cp:revision>
  <dcterms:created xsi:type="dcterms:W3CDTF">2021-04-27T03:51:00Z</dcterms:created>
  <dcterms:modified xsi:type="dcterms:W3CDTF">2021-04-28T12:42:00Z</dcterms:modified>
</cp:coreProperties>
</file>