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rPr>
          <w:b/>
          <w:bCs/>
        </w:rPr>
        <w:t xml:space="preserve">JUCA CARTUCHOS — TECNOLOGIA E OUTSOURCING DE IMPRESSÃO</w:t>
      </w:r>
    </w:p>
    <w:p>
      <w:pPr>
        <w:pStyle w:val="Heading1"/>
        <w:spacing w:before="480" w:after="240"/>
      </w:pPr>
      <w:r>
        <w:t xml:space="preserve">ESPECIFICAÇÃO TÉCNICA — MÓDULO DE PRECIFICAÇÃO DE LOCAÇÃO DE IMPRESSORAS</w:t>
      </w:r>
    </w:p>
    <w:p>
      <w:pPr>
        <w:spacing w:before="60" w:after="120" w:line="276"/>
      </w:pPr>
      <w:r>
        <w:rPr>
          <w:i/>
          <w:iCs/>
        </w:rPr>
        <w:t xml:space="preserve">Arquitetura de Dados, Regras de Negócio, Formulação Matemática e Requisitos de Interface</w:t>
      </w:r>
      <w:r>
        <w:br/>
      </w:r>
      <w:r>
        <w:rPr>
          <w:b/>
          <w:bCs/>
        </w:rPr>
        <w:t xml:space="preserve">20 de setembro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Objetivo do Módulo</w:t>
      </w:r>
    </w:p>
    <w:p>
      <w:pPr>
        <w:spacing w:before="60" w:after="120" w:line="276"/>
      </w:pPr>
      <w:r>
        <w:t xml:space="preserve">O presente documento estabelece a especificação técnica formal para o desenvolvimento e implementação do módulo de precificação automática de locação de equipamentos da </w:t>
      </w:r>
      <w:r>
        <w:rPr>
          <w:b/>
          <w:bCs/>
        </w:rPr>
        <w:t xml:space="preserve">Juca Cartuchos</w:t>
      </w:r>
      <w:r>
        <w:t xml:space="preserve">. O objetivo central é prover aos operadores do sistema uma ferramenta transacional dinâmica na qual a seleção de uma impressora em componente de seleção contextual (</w:t>
      </w:r>
      <w:r>
        <w:rPr>
          <w:i/>
          <w:iCs/>
        </w:rPr>
        <w:t xml:space="preserve">combo dropdown</w:t>
      </w:r>
      <w:r>
        <w:t xml:space="preserve">) acione o carregamento imediato de sua árvore de manutenção preventiva e suprimentos associados, resultando na precificação automatizada em tempo real.</w:t>
      </w:r>
    </w:p>
    <w:p>
      <w:pPr>
        <w:spacing w:before="60" w:after="120" w:line="276"/>
      </w:pPr>
      <w:r>
        <w:t xml:space="preserve">O módulo unifica o Custo por Página (CPP) dos insumos operacionais, a depreciação fracionada do valor do ativo, a margem de remuneração (</w:t>
      </w:r>
      <w:r>
        <w:rPr>
          <w:i/>
          <w:iCs/>
        </w:rPr>
        <w:t xml:space="preserve">mark-up</w:t>
      </w:r>
      <w:r>
        <w:t xml:space="preserve">) e a análise de ponto de equilíbrio (</w:t>
      </w:r>
      <w:r>
        <w:rPr>
          <w:i/>
          <w:iCs/>
        </w:rPr>
        <w:t xml:space="preserve">break-even</w:t>
      </w:r>
      <w:r>
        <w:t xml:space="preserve">) entre cenários tecnológicos concorrentes, garantindo precisão fiscal, consistência de margem e padronização operacional em todas as propostas comerciais emitidas.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2. Estrutura de Dados e Esquema Relacional</w:t>
      </w:r>
    </w:p>
    <w:p>
      <w:pPr>
        <w:spacing w:before="60" w:after="120" w:line="276"/>
      </w:pPr>
      <w:r>
        <w:t xml:space="preserve">O módulo operacional opera sobre </w:t>
      </w:r>
      <w:r>
        <w:rPr>
          <w:b/>
          <w:bCs/>
        </w:rPr>
        <w:t xml:space="preserve">4 entidades relacionais interconectadas</w:t>
      </w:r>
      <w:r>
        <w:t xml:space="preserve">, concebidas para garantir integridade referencial e flexibilidade cadastral.</w:t>
      </w:r>
    </w:p>
    <w:p>
      <w:r>
        <w:t xml:space="preserve">2.1. Entidade PARAMETROS</w:t>
      </w:r>
    </w:p>
    <w:p>
      <w:pPr>
        <w:spacing w:before="60" w:after="120" w:line="276"/>
      </w:pPr>
      <w:r>
        <w:t xml:space="preserve">Armazena as variáveis globais do motor de cálculo. Registros mantidos em tabela de configuração com suporte à edição em nível de administração.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Padrão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 Técnica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mark_up_revenda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DECIMAL(5,4)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Fator multiplicador de margem aplicado sobre o custo total do fornecedor.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vida_util_padrao_meses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Período de depreciação temporal padrão para amortização do ativo em contratos.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producao_mensal_referencia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mensal de páginas adotado como valor padrão para simulações iniciais.</w:t>
            </w:r>
          </w:p>
        </w:tc>
      </w:tr>
    </w:tbl>
    <w:p>
      <w:r>
        <w:t xml:space="preserve">2.2. Entidade SUPRIMENTOS</w:t>
      </w:r>
    </w:p>
    <w:p>
      <w:pPr>
        <w:spacing w:before="60" w:after="120" w:line="276"/>
      </w:pPr>
      <w:r>
        <w:t xml:space="preserve">Cadastra consumíveis, insumos de reposição, peças de desgaste periódico e provisões de manutenção para cálculo individual de Custo por Página.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 Técnica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id_suprimento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Auto-inc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do insumo.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modelo_suprimento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VARCHAR(60)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comercial/part-number do fabricante (ex.: TN-1035, FA04061).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toner, tinta, cartucho, fotocondutor, unidade_fusora, pelicula, cabecote, bobina, fita, ribbon.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fabricante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VARCHAR(40)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desenvolvedora do insumo (Brother, Epson, Canon, HP, Samsung, etc.).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impressoras_compativeis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Relação descritiva de compatibilidade ou tabela associativa n:m.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valor_compra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de aquisição da unidade (R$) praticado pelo fornecedor.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rendimento_paginas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(Térmicas)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Capacidade nominal de cobertura ou vida útil mecânica em páginas.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cpp_calculado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unitário por página obtido por fórmula matemática.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fonte_preco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Origem do dado comercial (distribuidor, cotação, histórico de NF).</w:t>
            </w:r>
          </w:p>
        </w:tc>
      </w:tr>
    </w:tbl>
    <w:p>
      <w:r>
        <w:t xml:space="preserve">Tabela de Referência Inicial — Amostra de Insumos Estruturados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 Suprimento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Fabricante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Compra (R$)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Rendimento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CPP Calculado (R$)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TN-1035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0.049900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DR-1035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fotocondutor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27,18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0.002718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TN-2370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79,90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0.030731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DR-2400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fotocondutor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0.004158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FUS-LY9388001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unidade_fusora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312,00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0.003120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PEL-L2540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pelicula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67,35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0.001347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TN-3442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70,90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0.008863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TN-3472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70,90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0.005908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TN-3662XLS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116,89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0.004676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TN-B021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0.038077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T544-BK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0.002778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T544-C/M/Y (un.)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12,76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0.001701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FA04061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cabecote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479,00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0.015967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GI-190-BK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62,86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0.010477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GI-190-C/M/Y (un.)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13,49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0.001927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Kit BH-1 + CH-1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cabecote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412,50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0.013750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CE285A (85A)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62,63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0.039144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CF283A (83A)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38,99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0.025993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CB435A (35A)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1.800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0.021056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CF248A (48A)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38,25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0.038250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W1105A (105A)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44,08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0.044080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Q2612A (12A)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0.014250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GT51/GT52 (kit 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0.010000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GT52 M0H50A (Preto)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cabecote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199,94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0.006665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MLT-D111S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0.055000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MLT-D101S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0.042667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MLT-D1042S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275,00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0.183333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MLT-D204L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87,20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0.017440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BOBINA-80MM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bobina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Genérico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0.000000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RIBBON-ZD220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ribbon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Zebra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0.000000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FITA-LX350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0.000000</w:t>
            </w:r>
          </w:p>
        </w:tc>
      </w:tr>
    </w:tbl>
    <w:p>
      <w:r>
        <w:t xml:space="preserve">2.3. Entidade IMPRESSORAS</w:t>
      </w:r>
    </w:p>
    <w:p>
      <w:pPr>
        <w:spacing w:before="60" w:after="120" w:line="276"/>
      </w:pPr>
      <w:r>
        <w:t xml:space="preserve">Armazena as especificações de cada equipamento da frota, com vinculação lógica para até 5 suprimentos estruturados de reposição obrigatória.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 Técnica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id_impressora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Auto-inc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do modelo no parque.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VARCHAR(60)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Nomenclatura comercial do equipamento.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fabricante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VARCHAR(40)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fabricante (Brother, Canon, Epson, HP, Samsung, Elgin, Bematech, Zebra).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laser_mono, laser_colorido, tinta, termica, matricial.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valor_compra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histórico de aquisição ou valor de mercado apurado.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vida_util_meses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48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Horizonte temporal de depreciação contratual do equipamento.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suprimento_1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(SUPRIMENTOS)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Vínculo com consumível primário (ex.: Toner BK / Tinta BK).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suprimento_2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(SUPRIMENTOS)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Vínculo com insumo secundário (ex.: Fotocondutor / Tinta C).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suprimento_3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(SUPRIMENTOS)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Vínculo com insumo terciário (ex.: Unidade Fusora / Tinta M).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suprimento_4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(SUPRIMENTOS)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Vínculo com insumo quaternário (ex.: Película Fusor / Tinta Y).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suprimento_5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(SUPRIMENTOS)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Vínculo com insumo quinário (ex.: Cabeçote de Impressão / Provisão).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cpp_suprimentos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Somatório automático dos CPPs dos suprimentos vinculados.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cpp_equipamento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por página decorrente da depreciação do ativo.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cpp_fornecedor_total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basal total (Suprimentos + Depreciação do Equipamento).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fonte_preco_equipamento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Indicação de procedência (Nova, Usada Revisada, Nota Fiscal).</w:t>
            </w:r>
          </w:p>
        </w:tc>
      </w:tr>
    </w:tbl>
    <w:p>
      <w:r>
        <w:t xml:space="preserve">2.4. Entidade CONTRATOS</w:t>
      </w:r>
    </w:p>
    <w:p>
      <w:pPr>
        <w:spacing w:before="60" w:after="120" w:line="276"/>
      </w:pPr>
      <w:r>
        <w:t xml:space="preserve">Registra a formalização da locação e os parâmetros de consumo acordados com o cliente.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 Técnica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id_contrato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Auto-inc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do contrato.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Razão Social ou Nome Fantasia do locatário.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id_impressora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(IMPRESSORAS)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Equipamento alocado na operação.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producao_mensal_estimada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Franquia mensal contratada em páginas.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locacao_mensal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fixo da parcela locatícia mensal cobrada do cliente.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Fórmulas e Motor de Cálculo</w:t>
      </w:r>
    </w:p>
    <w:p>
      <w:pPr>
        <w:spacing w:before="60" w:after="120" w:line="276"/>
      </w:pPr>
      <w:r>
        <w:t xml:space="preserve">O núcleo de precificação executa uma cadeia sequencial de operações aritméticas de alta precisão.</w:t>
      </w:r>
    </w:p>
    <w:p>
      <w:r>
        <w:t xml:space="preserve">+-----------------------------------------------------------------------------------+
|                            MOTOR DE PRECIFICAÇÃO                                  |
|                                                                                   |
|  [ Insumos: Valor / Vida Útil ] -------&gt; CPP_suprimentos (Soma dos slots 1 a 5)   |
|                               |                                                   |
|  [ Equipamento: Valor / (Meses * Págs) ] -&gt; CPP_equipamento                       |
|                               |                                                   |
|                               v                                                   |
|                                            CPP_fornecedor_total                   |
|                               |                                                   |
|                               v (x Mark-up Revenda)                               |
|                                                 CPP_venda                         |
|                               |                                                   |
|       +-----------------------+-----------------------+                           |
|       |                                               |                           |
|       v                                               v                           |
| Custo Mensal Estimado                               Análise de Break-Even         |
| (Produção Mensal x CPP_venda)            (Delta Locações / Delta CPPs Venda)      |
+-----------------------------------------------------------------------------------+</w:t>
      </w:r>
    </w:p>
    <w:p>
      <w:r>
        <w:t xml:space="preserve">3.1. Custo por Página Individual do Suprimento</w:t>
      </w:r>
    </w:p>
    <w:p>
      <w:pPr>
        <w:spacing w:before="60" w:after="120" w:line="276"/>
      </w:pPr>
      <w:r>
        <w:t xml:space="preserve">$$CPP_{suprimento} = \frac{valor_compra}{rendimento_paginas}$$</w:t>
      </w:r>
    </w:p>
    <w:p>
      <w:r>
        <w:t xml:space="preserve">3.2. Custo Consolidado de Suprimentos da Impressora</w:t>
      </w:r>
    </w:p>
    <w:p>
      <w:pPr>
        <w:spacing w:before="60" w:after="120" w:line="276"/>
      </w:pPr>
      <w:r>
        <w:t xml:space="preserve">$$CPP_{suprimentos} = \sum_{k=1}^{5} CPP(suprimento_k)$$</w:t>
      </w:r>
    </w:p>
    <w:p>
      <w:pPr>
        <w:spacing w:before="60" w:after="120" w:line="276"/>
      </w:pPr>
      <w:r>
        <w:rPr>
          <w:i/>
          <w:iCs/>
        </w:rPr>
        <w:t xml:space="preserve">Regra de processamento:</w:t>
      </w:r>
      <w:r>
        <w:t xml:space="preserve"> Caso o ponteiro de determinado suprimento_k seja nulo ou vazio, seu valor considerado na soma é rigorosamente 0.000000.</w:t>
      </w:r>
    </w:p>
    <w:p>
      <w:r>
        <w:t xml:space="preserve">3.3. Depreciação Diluída do Equipamento</w:t>
      </w:r>
    </w:p>
    <w:p>
      <w:pPr>
        <w:spacing w:before="60" w:after="120" w:line="276"/>
      </w:pPr>
      <w:r>
        <w:t xml:space="preserve">$$CPP_{equipamento} = \frac{valor_impressora}{vida_util_meses \times producao_mensal_estimada}$$</w:t>
      </w:r>
    </w:p>
    <w:p>
      <w:r>
        <w:t xml:space="preserve">3.4. Custo Total de Fornecedor</w:t>
      </w:r>
    </w:p>
    <w:p>
      <w:pPr>
        <w:spacing w:before="60" w:after="120" w:line="276"/>
      </w:pPr>
      <w:r>
        <w:t xml:space="preserve">$$CPP_{fornecedor_total} = CPP_{suprimentos} + CPP_{equipamento}$$</w:t>
      </w:r>
    </w:p>
    <w:p>
      <w:r>
        <w:t xml:space="preserve">3.5. Custo por Página de Venda (Aplicação de Mark-up)</w:t>
      </w:r>
    </w:p>
    <w:p>
      <w:pPr>
        <w:spacing w:before="60" w:after="120" w:line="276"/>
      </w:pPr>
      <w:r>
        <w:t xml:space="preserve">$$CPP_{venda} = CPP_{fornecedor_total} \times mark_up_revenda$$</w:t>
      </w:r>
    </w:p>
    <w:p>
      <w:pPr>
        <w:spacing w:before="60" w:after="120" w:line="276"/>
      </w:pPr>
      <w:r>
        <w:rPr>
          <w:b/>
          <w:bCs/>
        </w:rPr>
        <w:t xml:space="preserve">Atenção:</w:t>
      </w:r>
      <w:r>
        <w:t xml:space="preserve"> O multiplicador de margem mark_up_revenda deve incidir estritamente ao final sobre a soma integral de insumos e equipamento. Jamais aplique o mark-up isoladamente sobre suprimentos desconsiderando o ativo amortizado.</w:t>
      </w:r>
    </w:p>
    <w:p>
      <w:r>
        <w:t xml:space="preserve">3.6. Análise de Ponto de Equilíbrio (Break-Even) entre Cenários</w:t>
      </w:r>
    </w:p>
    <w:p>
      <w:pPr>
        <w:spacing w:before="60" w:after="120" w:line="276"/>
      </w:pPr>
      <w:r>
        <w:t xml:space="preserve">Para determinar o limiar de produção no qual uma tecnologia com maior custo fixo de locação e menor CPP unitário supera uma alternativa de locação reduzida e CPP elevado:</w:t>
      </w:r>
    </w:p>
    <w:p>
      <w:pPr>
        <w:spacing w:before="60" w:after="120" w:line="276"/>
      </w:pPr>
      <w:r>
        <w:t xml:space="preserve">$$paginas_{break_even} = \frac{locacao_mensal_B - locacao_mensal_A}{|CPP_{venda_A} - CPP_{venda_B}|}$$</w:t>
      </w:r>
    </w:p>
    <w:p>
      <w:r>
        <w:t xml:space="preserve">3.7. Custo Mensal de Produção Estimada</w:t>
      </w:r>
    </w:p>
    <w:p>
      <w:pPr>
        <w:spacing w:before="60" w:after="120" w:line="276"/>
      </w:pPr>
      <w:r>
        <w:t xml:space="preserve">$$custo_mensal = producao_mensal \times CPP_{venda}$$</w:t>
      </w:r>
    </w:p>
    <w:p>
      <w:r>
        <w:t xml:space="preserve">3.8. Vetores de Validação Numérica (Massa de Teste Homologada)</w:t>
      </w:r>
    </w:p>
    <w:p>
      <w:pPr>
        <w:spacing w:before="60" w:after="120" w:line="276"/>
      </w:pPr>
      <w:r>
        <w:t xml:space="preserve">O desenvolvedor deve validar os testes unitários do motor contra a base histórica homologada: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Cenário Jato de Tinta Colorida (Base Brother MFC-J):</w:t>
      </w:r>
      <w:r>
        <w:t xml:space="preserve">
LC109BKST (R$ 71,74 / 2.400 págs) = 0.029891666666666664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LC105CST, LC105MST, LC105YST (R$ 37,32 / 1.200 págs cada) = 0.031100000000000000 cada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$$CPP_{cor} = 0.029891666666666664 + (3 \times 0.0311) = \mathbf{0.12319166666666667}$$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Com Mark-up 1.45: $$0.12319166666666667 \times 1.45 = \mathbf{0.17862791666666666}$$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Cenário Laser Monocromático (Base Kyocera TK/MK):</w:t>
      </w:r>
      <w:r>
        <w:t xml:space="preserve">
TK477ST (R$ 215,24 / 15.000 págs) = 0.014349333333333334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MK477ST (R$ 972,73 / 300.000 págs) = 0.0032424333333333335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$$CPP_{mono} = 0.014349333333333334 + 0.0032424333333333335 = \mathbf{0.017591766666666668}$$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Com Mark-up 1.45: $$0.017591766666666668 \times 1.45 = \mathbf{0.02550806166666667}$$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Cálculo de Break-Even Cruzado:</w:t>
      </w:r>
      <w:r>
        <w:t xml:space="preserve">
Diferença de Locação: $$490.1358333333333 - 87.21166666666666 = 402.92416666666664$$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Diferença de CPP Venda: $$0.17862791666666666 - 0.02550806166666667 = 0.15311985500000000$$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Ponto de Equilíbrio: $$\frac{402.92416666666664}{0.15311985500000000} = \mathbf{2631.4299126437045\text{ páginas}}$$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4. Regras de Negócio e Diretrizes de Implementação</w:t>
      </w:r>
    </w:p>
    <w:p>
      <w:pPr>
        <w:spacing w:before="60" w:after="120" w:line="276"/>
      </w:pPr>
      <w:r>
        <w:rPr>
          <w:b/>
          <w:bCs/>
        </w:rPr>
        <w:t xml:space="preserve">4.1. Integralidade dos Custos de Manutenção:</w:t>
      </w:r>
      <w:r>
        <w:t xml:space="preserve"> Nenhum equipamento poderá ser precificado considerando apenas consumíveis de ciclo curto (tinta ou toner). O modelo exige obrigatoriamente a vinculação dos itens estruturais de desgaste: fotocondutor, unidade fusora, película térmica e cabeçotes de impressão.</w:t>
      </w:r>
    </w:p>
    <w:p>
      <w:pPr>
        <w:spacing w:before="60" w:after="120" w:line="276"/>
      </w:pPr>
      <w:r>
        <w:rPr>
          <w:b/>
          <w:bCs/>
        </w:rPr>
        <w:t xml:space="preserve">4.2. Tratamento de Cabeçotes por Fabricante: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Canon e HP:</w:t>
      </w:r>
      <w:r>
        <w:t xml:space="preserve"> Os cabeçotes operam sob arquitetura de cartucho/módulo destacável, classificados como suprimento operacional de rotina. Utilizar amortização direta baseada na vida útil estimada de 30.000 páginas ($$CPP = \frac{valor_compra}{30000}$$).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Epson (Tecnologia Piezoelétrica):</w:t>
      </w:r>
      <w:r>
        <w:t xml:space="preserve"> O cabeçote possui custo representativo face ao ativo integral. Deve ser lançado no cálculo como </w:t>
      </w:r>
      <w:r>
        <w:rPr>
          <w:b/>
          <w:bCs/>
        </w:rPr>
        <w:t xml:space="preserve">PROVISÃO DE REPARO</w:t>
      </w:r>
      <w:r>
        <w:t xml:space="preserve"> ($$CPP = \frac{valor_compra}{30000}$$). A interface administrativa deve exibir sinalizador de risco operacional: baixos volumes de impressão elevam a taxa de sinistro por ressecamento de micropiezos.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Equipamentos Epson Especiais:</w:t>
      </w:r>
      <w:r>
        <w:t xml:space="preserve"> Os modelos Epson L4360, L14150, L6270, L6290, L805 e L5590 utilizam módulos de impressão distintos de linha industrial/fotográfica. O sistema deve bloquear a precificação automática desses modelos enquanto seus respectivos cabeçotes não forem cadastrados individualmente na base.</w:t>
      </w:r>
    </w:p>
    <w:p>
      <w:pPr>
        <w:spacing w:before="60" w:after="120" w:line="276"/>
      </w:pPr>
      <w:r>
        <w:rPr>
          <w:b/>
          <w:bCs/>
        </w:rPr>
        <w:t xml:space="preserve">4.3. Fusão Integrada Brother Compacta:</w:t>
      </w:r>
      <w:r>
        <w:t xml:space="preserve"> As linhas Brother HL-1200, HL-1210W, HL-1212w, DCP-1600, DCP-1610NW e DCP-1617NW utilizam mecânica de fusão soldada/integrada ao chassi, inviabilizando a substituição da película como item de prateleira avulso. Nesses modelos, os slots de fusor/película devem permanecer zerados, sendo sua recomposição transferida para a depreciação do equipamento (valor_compra).</w:t>
      </w:r>
    </w:p>
    <w:p>
      <w:pPr>
        <w:spacing w:before="60" w:after="120" w:line="276"/>
      </w:pPr>
      <w:r>
        <w:rPr>
          <w:b/>
          <w:bCs/>
        </w:rPr>
        <w:t xml:space="preserve">4.4. Exceções Tecnológicas (Térmicas e Matriciais):</w:t>
      </w:r>
      <w:r>
        <w:t xml:space="preserve"> Os equipamentos Bematech MP-4200 TH, Elgin L42, Zebra ZD220 e Epson LX 350 não utilizam a métrica de página A4 padrão. A interface deve desabilitar o motor de CPP tradicional e calcular a proposta pela soma de: </w:t>
      </w:r>
      <w:r>
        <w:rPr>
          <w:i/>
          <w:iCs/>
        </w:rPr>
        <w:t xml:space="preserve">Mensalidade Fixa de Locação + (Quantidade de Bobinas/Fitas/Ribbons Solicitados × Valor Unitário de Revenda)</w:t>
      </w:r>
      <w:r>
        <w:t xml:space="preserve">.</w:t>
      </w:r>
    </w:p>
    <w:p>
      <w:pPr>
        <w:spacing w:before="60" w:after="120" w:line="276"/>
      </w:pPr>
      <w:r>
        <w:rPr>
          <w:b/>
          <w:bCs/>
        </w:rPr>
        <w:t xml:space="preserve">4.5. Precisão de Ponto Flutuante:</w:t>
      </w:r>
      <w:r>
        <w:t xml:space="preserve"> Todos os campos de cálculo intermediários e finais de CPP devem ser persistidos no banco de dados com 6 (seis) casas decimais (DECIMAL(10,6)). Arredondamentos para 2 (duas) casas decimais (R$ 0,00) são restritos exclusivamente à camada de apresentação gráfica (UI) e geração de contratos em PDF.</w:t>
      </w:r>
    </w:p>
    <w:p>
      <w:pPr>
        <w:spacing w:before="60" w:after="120" w:line="276"/>
      </w:pPr>
      <w:r>
        <w:rPr>
          <w:b/>
          <w:bCs/>
        </w:rPr>
        <w:t xml:space="preserve">4.6. Responsabilidade Contratual:</w:t>
      </w:r>
      <w:r>
        <w:t xml:space="preserve"> O sistema deve inserir automaticamente no termo de adesão contratual a cláusula de barreira técnica: avarias prematuras no cabeçote de impressão decorrentes de períodos de inatividade prolongada, utilização de mídias abrasivas ou inserção de tintas não homologadas pela locadora constituem encargo indenizatório do locatário.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5. Comportamento e Fluxo da Interface (UI/UX)</w:t>
      </w:r>
    </w:p>
    <w:p>
      <w:r>
        <w:t xml:space="preserve">[ Usuário seleciona: DCP-L2540DW ]
       │
       ▼
┌─────────────────────────────────────────────────────────────┐
│  PAINEL DE SUPRIMENTOS VINCULADOS (Automático)              │
│  ├─ Slot 1: TN-2370 (Toner)           -&gt; CPP: R$ 0.030731   │
│  ├─ Slot 2: DR-2400 (Fotocondutor)    -&gt; CPP: R$ 0.004158   │
│  ├─ Slot 3: FUS-LY9388001 (Fusor)     -&gt; CPP: R$ 0.003120   │
│  ├─ Slot 4: PEL-L2540 (Película)      -&gt; CPP: R$ 0.001347   │
│  └─ Slot 5: [ Vazio / Não Aplicável ] -&gt; CPP: R$ 0.000000   │
│                                                             │
│  Subtotal Suprimentos (CPP_suprimentos):      R$ 0.039356   │
│  Depreciação Ativo (CPP_equipamento):         R$ 0.043632   │
│  Custo Base Fornecedor (CPP_fornecedor_total): R$ 0.082988  │
│  Margem Comercial (Mark-up 1.45x):            R$ 0.120333   │
└─────────────────────────────────────────────────────────────┘
       │
       ▼ [ Operador insere Produção: 2.500 páginas ]
┌─────────────────────────────────────────────────────────────┐
│  RESULTADO OPERACIONAL CONSOLIDAÇÃO                         │
│  ├─ Custo Mensal Estimado: R$ 300,83                        │
│  ├─ Ponto de Equilíbrio (Break-Even): 2.631 páginas         │
│  └─ Diagnóstico: "Volume abaixo do ponto de equilíbrio.     │
│                   Tecnologia EcoTank é mais econômica."     │
└─────────────────────────────────────────────────────────────┘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Seleção de Equipamento:</w:t>
      </w:r>
      <w:r>
        <w:t xml:space="preserve"> O usuário seleciona o modelo no campo de busca contextual com autocompletar.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Carregamento Assíncrono:</w:t>
      </w:r>
      <w:r>
        <w:t xml:space="preserve"> A interface dispara requisição interna e renderiza instantaneamente o painel de suprimentos vinculados, demonstrando a decomposição de custos de cada um dos insumos.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Entrada de Parâmetros Contratuais:</w:t>
      </w:r>
      <w:r>
        <w:t xml:space="preserve"> O usuário informa a </w:t>
      </w:r>
      <w:r>
        <w:rPr>
          <w:i/>
          <w:iCs/>
        </w:rPr>
        <w:t xml:space="preserve">Produção Mensal Estimada</w:t>
      </w:r>
      <w:r>
        <w:t xml:space="preserve"> e a </w:t>
      </w:r>
      <w:r>
        <w:rPr>
          <w:i/>
          <w:iCs/>
        </w:rPr>
        <w:t xml:space="preserve">Locação Mensal Base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Exibição Consolidada:</w:t>
      </w:r>
      <w:r>
        <w:t xml:space="preserve"> O motor processa os cálculos em tempo real e exibe:
Custo por Página do Fornecedor e Preço de Venda com Mark-up;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Faturamento Mensal Projetado da Locação;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Painel comparativo de Break-Even com indicador visual de viabilidade econômica.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6. Status da Base de Dados e Pendências Cadastrais</w:t>
      </w:r>
    </w:p>
    <w:p>
      <w:pPr>
        <w:spacing w:before="60" w:after="120" w:line="276"/>
      </w:pPr>
      <w:r>
        <w:t xml:space="preserve">O parque conta atualmente com ~75% de cobertura de suprimentos mapeados e precificados. Para entrada em produção sem inconsistências, a equipe técnica deve sanear as seguintes pendências cadastrais na tabela de retaguarda:</w:t>
      </w:r>
    </w:p>
    <w:p>
      <w:pPr>
        <w:spacing w:before="60" w:after="120" w:line="276"/>
      </w:pPr>
      <w:r>
        <w:rPr>
          <w:b/>
          <w:bCs/>
        </w:rPr>
        <w:t xml:space="preserve">Pendências Operacionais Mapeadas: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HP DeskJet 5820:</w:t>
      </w:r>
      <w:r>
        <w:t xml:space="preserve"> Pesquisar e homologar custo/rendimento do cartucho HP 652;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HP LaserJet P2055dn:</w:t>
      </w:r>
      <w:r>
        <w:t xml:space="preserve"> Obter cotação homologada para o toner CE505A (05A);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Cabeçotes Epson Especiais:</w:t>
      </w:r>
      <w:r>
        <w:t xml:space="preserve"> Cadastrar peças para L4360, L14150, L6270, L6290, L805 e L5590;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Ativos Físicos:</w:t>
      </w:r>
      <w:r>
        <w:t xml:space="preserve"> Preencher os valores reais de nota fiscal para 37 modelos do parque cadastrados sem valor_compra;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Linhas Térmicas/Matriciais:</w:t>
      </w:r>
      <w:r>
        <w:t xml:space="preserve"> Parametrizar a cobrança unitária de bobinas e fitas na tabela de contratos.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7. Fonte de Verdade do Sistema</w:t>
      </w:r>
    </w:p>
    <w:p>
      <w:pPr>
        <w:spacing w:before="60" w:after="120" w:line="276"/>
      </w:pPr>
      <w:r>
        <w:t xml:space="preserve">A implementação de software deve tomar como referência canônica e espelho funcional a planilha </w:t>
      </w:r>
      <w:r>
        <w:rPr>
          <w:b/>
          <w:bCs/>
        </w:rPr>
        <w:t xml:space="preserve">Precificacao_Locacao_Impressoras_v7.xlsx</w:t>
      </w:r>
      <w:r>
        <w:t xml:space="preserve">. Todas as regras de negócio, encadeamento de fórmulas, nomenclaturas de tabelas e resultados computacionais implementados no código-fonte devem replicar com exatidão a lógica contida no referido arquivo mestre.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b/>
          <w:bCs/>
        </w:rPr>
        <w:t xml:space="preserve">JUCA CARTUCHOS — GESTÃO OPERACIONAL</w:t>
      </w:r>
      <w:r>
        <w:rPr>
          <w:b/>
          <w:bCs/>
        </w:rPr>
        <w:t xml:space="preserve">ENGENHARIA DE SOFTWARE / DESENVOLVIMENTO</w:t>
      </w:r>
      <w:r>
        <w:br/>
      </w:r>
      <w:r>
        <w:rPr>
          <w:i/>
          <w:iCs/>
        </w:rPr>
        <w:t xml:space="preserve">Local e data: _________________________, 20 de setembro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8. Detalhamento de Implementação das Regras de Negócio e Tratamento de Exceções</w:t>
      </w:r>
    </w:p>
    <w:p>
      <w:pPr>
        <w:spacing w:before="60" w:after="120" w:line="276"/>
      </w:pPr>
      <w:r>
        <w:rPr>
          <w:b/>
          <w:bCs/>
        </w:rPr>
        <w:t xml:space="preserve">8.1. Validação de Integridade na Seleção de Equipamentos:</w:t>
      </w:r>
      <w:r>
        <w:t xml:space="preserve"> Ao acionar o evento de seleção de impressora no componente de interface, o sistema deve verificar a completude dos dados vinculados. Caso o equipamento selecionado apresente slots obrigatórios sem suprimento mapeado ou se o campo valor_compra for nulo, a aplicação deve bloquear a emissão da proposta e disparar um alerta operacional categorizado como bloqueio de integridade cadastral.</w:t>
      </w:r>
    </w:p>
    <w:p>
      <w:pPr>
        <w:spacing w:before="60" w:after="120" w:line="276"/>
      </w:pPr>
      <w:r>
        <w:rPr>
          <w:b/>
          <w:bCs/>
        </w:rPr>
        <w:t xml:space="preserve">8.2. Tratamento de Insumos Compartilhados:</w:t>
      </w:r>
      <w:r>
        <w:t xml:space="preserve"> Suprimentos que atendem a múltiplos equipamentos (como o toner Brother TN-1035 ou os frascos de tinta Epson T544) devem manter registro único na tabela SUPRIMENTOS. Quaisquer reajustes de preço de aquisição aplicados a esse registro devem propagar imediatamente para o recálculo do CPP_suprimentos de todos os modelos associados, garantindo a atualização dinâmica das propostas em aberto.</w:t>
      </w:r>
    </w:p>
    <w:p>
      <w:pPr>
        <w:spacing w:before="60" w:after="120" w:line="276"/>
      </w:pPr>
      <w:r>
        <w:rPr>
          <w:b/>
          <w:bCs/>
        </w:rPr>
        <w:t xml:space="preserve">8.3. Política de Amortização para Equipamentos Usados:</w:t>
      </w:r>
      <w:r>
        <w:t xml:space="preserve"> Quando o campo fonte_preco_equipamento registrar itens adquiridos como usados ou recondicionados, o sistema deve permitir a sobreposição do parâmetro vida_util_meses, reduzindo o período de 48 meses para 24 meses. Essa adequação assegura que o risco de obsolescência e a maior frequência de manutenção preventiva sejam devidamente compensados no valor do CPP_equipamento.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9. Relação Completa de Compatibilidade do Parque de Impressoras</w:t>
      </w:r>
    </w:p>
    <w:p>
      <w:pPr>
        <w:spacing w:before="60" w:after="120" w:line="276"/>
      </w:pPr>
      <w:r>
        <w:t xml:space="preserve">A tabela a seguir consolida o mapeamento técnico entre os modelos do parque da </w:t>
      </w:r>
      <w:r>
        <w:rPr>
          <w:b/>
          <w:bCs/>
        </w:rPr>
        <w:t xml:space="preserve">Juca Cartuchos</w:t>
      </w:r>
      <w:r>
        <w:t xml:space="preserve"> e seus respectivos insumos prioritários cadastrados: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Fabricante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 do Equipamento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1 (Toner/Tinta)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2 (Drum/Cor)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3 (Fusor/Cor)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4 (Película/Cor)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5 (Cabeçote/Peça)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HL-1210W / HL-1212w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TN-1035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DR-1035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DCP-1617NW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TN-1035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DR-1035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DCP-L2540DW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TN-2370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DR-2400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FUS-LY9388001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PEL-L2540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DCP-L5652DN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TN-3442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DR-3472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FUS-D00V9X001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PEL-L5652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DCP-L5662DN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TN-3472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DR-3472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FUS-D00V9X001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PEL-L5652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HL-L6412DW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TN-3662XLS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DR-3472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FUS-D00V9X001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PEL-L5652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HL-B2080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TN-B021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DR-B021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FUS-LY9388001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PEL-L2540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L3250 / L3150 / L1250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T544-BK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T544-C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T544-M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T544-Y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FA04061 (Provisão)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L365 / L375 / L395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T664-BK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T664-C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T664-M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T664-Y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FA04061 (Provisão)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G4110 / G4111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GI-190-BK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GI-190-C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GI-190-M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GI-190-Y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Kit BH-1 + CH-1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LaserJet P1102w / M1132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CE285A (85A)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FUS-RM1-7733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PEL-RG9-1493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LaserJet MFP M127fn / fw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CF283A (83A)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FUS-RC29205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PEL-RG9-1493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107w / 135a / 135w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W1105A (105A)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FUS-107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PEL-RG9-1493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LaserJet 1020 / 3055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Q2612A (12A)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FUS-RM1-7733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PEL-RG9-1493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Ink Tank Wireless 410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GT51-BK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GT52-C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GT52-M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GT52-Y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GT52 M0H50A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M2070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MLT-D111S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FUS-JC91-01076A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PEL-RG9-1493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ML-2160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MLT-D101S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FUS-JC91-01076A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PEL-RG9-1493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SL-M3375FD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laser_mono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MLT-D204L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FUS-JC91-01076A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PEL-RG9-1493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10. Requisitos Não Funcionais e Auditoria</w:t>
      </w:r>
    </w:p>
    <w:p>
      <w:pPr>
        <w:spacing w:before="60" w:after="120" w:line="276"/>
      </w:pPr>
      <w:r>
        <w:rPr>
          <w:b/>
          <w:bCs/>
        </w:rPr>
        <w:t xml:space="preserve">10.1. Desempenho e Latência de Cálculo:</w:t>
      </w:r>
      <w:r>
        <w:t xml:space="preserve"> O motor de precificação deve executar as rotinas aritméticas de cálculo de CPP, mark-up e break-even em tempo inferior a 100 milissegundos após o acionamento dos gatilhos de interface, assegurando fluidez à operação de atendimento comercial.</w:t>
      </w:r>
    </w:p>
    <w:p>
      <w:pPr>
        <w:spacing w:before="60" w:after="120" w:line="276"/>
      </w:pPr>
      <w:r>
        <w:rPr>
          <w:b/>
          <w:bCs/>
        </w:rPr>
        <w:t xml:space="preserve">10.2. Log e Rastreabilidade de Alterações:</w:t>
      </w:r>
      <w:r>
        <w:t xml:space="preserve"> Modificações aplicadas aos registros da tabela PARAMETROS ou aos custos de aquisição na tabela SUPRIMENTOS devem gerar trilha de auditoria contendo identificador do usuário, data/hora da transação, valor anterior e novo valor homologado.</w:t>
      </w:r>
    </w:p>
    <w:p>
      <w:pPr>
        <w:spacing w:before="60" w:after="120" w:line="276"/>
      </w:pPr>
      <w:r>
        <w:rPr>
          <w:b/>
          <w:bCs/>
        </w:rPr>
        <w:t xml:space="preserve">10.3. Exportação e Integração:</w:t>
      </w:r>
      <w:r>
        <w:t xml:space="preserve"> O módulo deve disponibilizar endpoints internos para exportação estruturada das propostas geradas nos formatos JSON e PDF, contendo a discriminação completa dos suprimentos vinculados, os memoriais de cálculo de CPP e as condições comerciais validadas.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11. Especificação Detalhada das Interfaces de Programação (Endpoints da API)</w:t>
      </w:r>
    </w:p>
    <w:p>
      <w:pPr>
        <w:spacing w:before="60" w:after="120" w:line="276"/>
      </w:pPr>
      <w:r>
        <w:t xml:space="preserve">O módulo de precificação deve expor serviços RESTful padronizados em conformidade com as diretrizes de integração de microsserviços. As rotas internas devem operar sob o protocolo HTTPS, utilizando cabeçalhos de autenticação via token Bearer (JWT) para assegurar o controle de acesso baseado em funções (RBAC).</w:t>
      </w:r>
    </w:p>
    <w:p>
      <w:r>
        <w:t xml:space="preserve">11.1. Rota de Simulação de Custo e Precificação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Método HTTP:</w:t>
      </w:r>
      <w:r>
        <w:t xml:space="preserve"> POST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URI:</w:t>
      </w:r>
      <w:r>
        <w:t xml:space="preserve"> /api/v1/precificacao/calcular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Descrição:</w:t>
      </w:r>
      <w:r>
        <w:t xml:space="preserve"> Recebe os identificadores do equipamento, a franquia de páginas projetada e o valor da locação base, retornando o detalhamento completo dos custos unitários, aplicação de margem e análise de ponto de equilíbrio.</w:t>
      </w:r>
    </w:p>
    <w:p>
      <w:r>
        <w:t xml:space="preserve">Formato do Payload de Requisição (Request Body):</w:t>
      </w:r>
    </w:p>
    <w:p>
      <w:r>
        <w:t xml:space="preserve">{
  "id_impressora": 14,
  "producao_mensal_estimada": 2500,
  "locacao_mensal_proposta": 180.00,
  "mark_up_customizado": null,
  "vida_util_meses_customizada": null
}</w:t>
      </w:r>
    </w:p>
    <w:p>
      <w:r>
        <w:t xml:space="preserve">Formato do Payload de Resposta (Response Body - Sucesso 200 OK):</w:t>
      </w:r>
    </w:p>
    <w:p>
      <w:r>
        <w:t xml:space="preserve">{
  "status": "success",
  "data": {
    "impressora": {
      "id_impressora": 14,
      "modelo": "DCP-L2540DW",
      "fabricante": "Brother",
      "tecnologia": "laser_mono",
      "valor_compra": 2094.33
    },
    "suprimentos_vinculados": [
      {
        "slot": 1,
        "modelo_suprimento": "TN-2370",
        "tipo": "toner",
        "valor_compra": 79.90,
        "rendimento_paginas": 2600,
        "cpp_calculado": 0.030731
      },
      {
        "slot": 2,
        "modelo_suprimento": "DR-2400",
        "tipo": "fotocondutor",
        "valor_compra": 49.90,
        "rendimento_paginas": 12000,
        "cpp_calculado": 0.004158
      },
      {
        "slot": 3,
        "modelo_suprimento": "FUS-LY9388001",
        "tipo": "unidade_fusora",
        "valor_compra": 312.00,
        "rendimento_paginas": 100000,
        "cpp_calculado": 0.003120
      },
      {
        "slot": 4,
        "modelo_suprimento": "PEL-L2540",
        "tipo": "pelicula",
        "valor_compra": 67.35,
        "rendimento_paginas": 50000,
        "cpp_calculado": 0.001347
      }
    ],
    "memoria_calculo": {
      "cpp_suprimentos": 0.039356,
      "cpp_equipamento": 0.017453,
      "cpp_fornecedor_total": 0.056809,
      "mark_up_aplicado": 1.4500,
      "cpp_venda": 0.082373,
      "custo_mensal_producao": 205.93,
      "faturamento_total_mensal": 385.93
    },
    "alertas_operacionais": []
  }
}</w:t>
      </w:r>
    </w:p>
    <w:p>
      <w:r>
        <w:t xml:space="preserve">11.2. Rota de Comparação de Cenários (Análise de Break-Even)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Método HTTP:</w:t>
      </w:r>
      <w:r>
        <w:t xml:space="preserve"> POST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URI:</w:t>
      </w:r>
      <w:r>
        <w:t xml:space="preserve"> /api/v1/precificacao/break-even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Descrição:</w:t>
      </w:r>
      <w:r>
        <w:t xml:space="preserve"> Executa a comparação direta entre duas propostas técnicas estruturadas, indicando o ponto de inflexão de volume no qual uma tecnologia de maior custo fixo supera a opção de baixo investimento inicial.</w:t>
      </w:r>
    </w:p>
    <w:p>
      <w:r>
        <w:t xml:space="preserve">Formato do Payload de Requisição:</w:t>
      </w:r>
    </w:p>
    <w:p>
      <w:r>
        <w:t xml:space="preserve">{
  "cenario_a": {
    "id_impressora": 8,
    "modelo": "L3250",
    "locacao_mensal": 87.21,
    "producao_mensal": 2631
  },
  "cenario_b": {
    "id_impressora": 45,
    "modelo": "TK477ST-KYOCERA",
    "locacao_mensal": 490.14,
    "producao_mensal": 2631
  }
}</w:t>
      </w:r>
    </w:p>
    <w:p>
      <w:r>
        <w:t xml:space="preserve">Formato do Payload de Resposta (Response Body - Sucesso 200 OK):</w:t>
      </w:r>
    </w:p>
    <w:p>
      <w:r>
        <w:t xml:space="preserve">{
  "status": "success",
  "data": {
    "cenario_a": {
      "modelo": "L3250",
      "cpp_venda": 0.178628,
      "custo_total_mensal": 557.18
    },
    "cenario_b": {
      "modelo": "TK477ST-KYOCERA",
      "cpp_venda": 0.025508,
      "custo_total_mensal": 557.25
    },
    "diferenca_locacao": 402.93,
    "diferenca_cpp": 0.153120,
    "paginas_break_even": 2631.43,
    "recomendacao": "Para volumes superiores a 2.631 páginas/mês, o Cenário B apresenta menor custo total de propriedade (TCO)."
  }
}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12. Dicionário de Dados Completo e Esquema Físico SQL</w:t>
      </w:r>
    </w:p>
    <w:p>
      <w:pPr>
        <w:spacing w:before="60" w:after="120" w:line="276"/>
      </w:pPr>
      <w:r>
        <w:t xml:space="preserve">A seguir apresenta-se a estrutura em linguagem DDL (</w:t>
      </w:r>
      <w:r>
        <w:rPr>
          <w:i/>
          <w:iCs/>
        </w:rPr>
        <w:t xml:space="preserve">Data Definition Language</w:t>
      </w:r>
      <w:r>
        <w:t xml:space="preserve">) para criação das tabelas no banco de dados relacional (compatível com PostgreSQL 14+ e MySQL 8.0+):</w:t>
      </w:r>
    </w:p>
    <w:p>
      <w:r>
        <w:t xml:space="preserve">-- Criação da Tabela de Parâmetros Globais
CREATE TABLE parametros (
    id_parametro INT AUTO_INCREMENT PRIMARY KEY,
    mark_up_revenda DECIMAL(5, 4) NOT NULL DEFAULT 1.4500,
    vida_util_padrao_meses INT NOT NULL DEFAULT 48,
    producao_mensal_referencia INT NOT NULL DEFAULT 1000,
    data_atualizacao TIMESTAMP DEFAULT CURRENT_TIMESTAMP ON UPDATE CURRENT_TIMESTAMP
);
-- Criação da Tabela de Suprimentos
CREATE TABLE suprimentos (
    id_suprimento INT AUTO_INCREMENT PRIMARY KEY,
    modelo_suprimento VARCHAR(60) NOT NULL UNIQUE,
    tipo ENUM(
        'toner',
        'tinta',
        'cartucho',
        'fotocondutor',
        'unidade_fusora',
        'pelicula',
        'cabecote',
        'bobina',
        'fita',
        'ribbon'
    ) NOT NULL,
    fabricante VARCHAR(40) NOT NULL,
    impressoras_compativeis TEXT NOT NULL,
    valor_compra DECIMAL(10, 4) NOT NULL,
    rendimento_paginas INT NULL,
    cpp_calculado DECIMAL(10, 6) GENERATED ALWAYS AS (
        CASE 
            WHEN rendimento_paginas IS NOT NULL AND rendimento_paginas &gt; 0 
            THEN valor_compra / rendimento_paginas 
            ELSE 0.000000 
        END
    ) STORED,
    fonte_preco VARCHAR(100) NULL,
    ativo BOOLEAN DEFAULT TRUE,
    criado_em TIMESTAMP DEFAULT CURRENT_TIMESTAMP
);
-- Criação da Tabela de Impressoras
CREATE TABLE impressoras (
    id_impressora INT AUTO_INCREMENT PRIMARY KEY,
    modelo VARCHAR(60) NOT NULL UNIQUE,
    fabricante VARCHAR(40) NOT NULL,
    tecnologia ENUM(
        'laser_mono',
        'laser_colorido',
        'tinta',
        'termica',
        'matricial'
    ) NOT NULL,
    valor_compra DECIMAL(10, 2) NOT NULL DEFAULT 0.00,
    vida_util_meses INT NOT NULL DEFAULT 48,
    suprimento_1 INT NULL,
    suprimento_2 INT NULL,
    suprimento_3 INT NULL,
    suprimento_4 INT NULL,
    suprimento_5 INT NULL,
    fonte_preco_equipamento VARCHAR(100) NULL,
    ativo BOOLEAN DEFAULT TRUE,
    criado_em TIMESTAMP DEFAULT CURRENT_TIMESTAMP,
    CONSTRAINT fk_sup_1 FOREIGN KEY (suprimento_1) REFERENCES suprimentos(id_suprimento),
    CONSTRAINT fk_sup_2 FOREIGN KEY (suprimento_2) REFERENCES suprimentos(id_suprimento),
    CONSTRAINT fk_sup_3 FOREIGN KEY (suprimento_3) REFERENCES suprimentos(id_suprimento),
    CONSTRAINT fk_sup_4 FOREIGN KEY (suprimento_4) REFERENCES suprimentos(id_suprimento),
    CONSTRAINT fk_sup_5 FOREIGN KEY (suprimento_5) REFERENCES suprimentos(id_suprimento)
);
-- Criação da Tabela de Contratos
CREATE TABLE contratos (
    id_contrato INT AUTO_INCREMENT PRIMARY KEY,
    cliente VARCHAR(120) NOT NULL,
    id_impressora INT NOT NULL,
    producao_mensal_estimada INT NOT NULL,
    locacao_mensal DECIMAL(10, 2) NOT NULL,
    mark_up_aplicado DECIMAL(5, 4) NOT NULL,
    cpp_venda_fechado DECIMAL(10, 6) NOT NULL,
    data_inicio DATE NOT NULL,
    duracao_meses INT NOT NULL DEFAULT 12,
    status ENUM('ativo', 'encerrado', 'cancelado') DEFAULT 'ativo',
    criado_em TIMESTAMP DEFAULT CURRENT_TIMESTAMP,
    CONSTRAINT fk_contrato_imp FOREIGN KEY (id_impressora) REFERENCES impressoras(id_impressora)
);
-- Criação da Tabela de Auditoria de Parâmetros e Preços
CREATE TABLE auditoria_precos (
    id_auditoria INT AUTO_INCREMENT PRIMARY KEY,
    tabela_afetada VARCHAR(30) NOT NULL,
    id_registro INT NOT NULL,
    campo_alterado VARCHAR(50) NOT NULL,
    valor_antigo VARCHAR(100) NULL,
    valor_novo VARCHAR(100) NOT NULL,
    usuario_responsavel VARCHAR(50) NOT NULL,
    data_modificacao TIMESTAMP DEFAULT CURRENT_TIMESTAMP
);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13. Matriz Completa de Procedimentos Operacionais de Manutenção por Família de Equipamentos</w:t>
      </w:r>
    </w:p>
    <w:p>
      <w:pPr>
        <w:spacing w:before="60" w:after="120" w:line="276"/>
      </w:pPr>
      <w:r>
        <w:t xml:space="preserve">A precificação precisa refletir as rotinas físicas de manutenção executadas pela equipe de campo da Juca Cartuchos. A matriz a seguir detalha o ciclo de vida operacional e os gatilhos de troca de peças por família tecnológica: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Família Tecnológica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 Crítico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Intervalo Médio de Troca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Procedimento Operacional Padronizado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 do Sistema na Falha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 Mono Entrada (HL-1210W / DCP-1617NW)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Cilindro Fotocondutor (DR-1035)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10.000 páginas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Troca da unidade de imagem avulsa mantendo a carcaça de fixação original.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 de reposição enviado ao gestor de estoque.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 Mono Entrada (HL-1210W / DCP-1617NW)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Conjunto Fusor Integrado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50.000 páginas (estimada)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Recolhimento da impressora para oficina; substituição integral do chassi.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Amortizado via depreciação do ativo (sem slot de suprimento).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 Mono Corporativa (DCP-L5652DN / HL-L6412DW)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Fusora (FUS-D00V9X001)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 páginas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Substituição modular rápida no ambiente do cliente (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on-site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Slot 3 acionado no motor de precificação.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Brother Mono Corporativa (DCP-L5652DN / HL-L6412DW)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Película Fusora (PEL-L5652)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50.000 páginas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Recondicionamento intermediário da unidade fusora em bancada.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Slot 4 acionado no motor de precificação.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Epson EcoTank (L3150 / L3250 / L395)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Cabeçote MicroPiezo (FA04061)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30.000 páginas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Desobstrução ultrassônica preliminar; se irrecuperável, troca do módulo.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Provisionado como risco operacional no Slot 5.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Canon MegaTank (G4110 / G4111)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Kit de Cabeças (BH-1 + CH-1)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30.000 páginas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Troca direta pelo usuário ou técnico de campo (módulo de engate rápido).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Classificado como consumível operacional padrão.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HP LaserJet Clássica (P1102w / M1132 / 1020)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Película de Fixação Metálica (PEL-RG9-1493)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50.000 páginas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Desmontagem da tampa superior e troca da luva térmica com graxa de alta condutividade.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Slot 4 provisionado com custo de reposição unitário.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Samsung Xpress (M2070 / ML-2160)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Fusora Térmica (FUS-JC91-01076A)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 páginas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Troca integral do bloco de aquecimento halogenado.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Slot 3 provisionado no motor de cálculo.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14. Plano de Validação, Testes Automatizados e Critérios de Aceite</w:t>
      </w:r>
    </w:p>
    <w:p>
      <w:pPr>
        <w:spacing w:before="60" w:after="120" w:line="276"/>
      </w:pPr>
      <w:r>
        <w:t xml:space="preserve">Para garantir que o motor de precificação atenda rigorosamente às exigências operacionais da Juca Cartuchos, o time de desenvolvimento deve implementar uma bateria de testes automatizados abrangendo casos de borda e validações aritméticas antes da homologação final.</w:t>
      </w:r>
    </w:p>
    <w:p>
      <w:r>
        <w:t xml:space="preserve">14.1. Suíte de Testes Unitários Obrigatórios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Teste de Slot Vazio (Zero Padding):</w:t>
      </w:r>
      <w:r>
        <w:rPr>
          <w:i/>
          <w:iCs/>
        </w:rPr>
        <w:t xml:space="preserve">Entrada:</w:t>
      </w:r>
      <w:r>
        <w:t xml:space="preserve"> Equipamento configurado com apenas 2 suprimentos vinculados (Slots 3, 4 e 5 nulos).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i/>
          <w:iCs/>
        </w:rPr>
        <w:t xml:space="preserve">Resultado Esperado:</w:t>
      </w:r>
      <w:r>
        <w:t xml:space="preserve"> O cálculo de cpp_suprimentos deve somar apenas os slots ativos sem gerar exceção de ponteiro nulo (</w:t>
      </w:r>
      <w:r>
        <w:rPr>
          <w:i/>
          <w:iCs/>
        </w:rPr>
        <w:t xml:space="preserve">NullPointerException</w:t>
      </w:r>
      <w:r>
        <w:t xml:space="preserve">), atribuindo 0.000000 aos slots ausentes.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Teste de Consistência Decimal (Precisão de 6 Casas):</w:t>
      </w:r>
      <w:r>
        <w:rPr>
          <w:i/>
          <w:iCs/>
        </w:rPr>
        <w:t xml:space="preserve">Entrada:</w:t>
      </w:r>
      <w:r>
        <w:t xml:space="preserve"> Divisão de valores com dízima periódica (ex.: R$ 71,74 / 2.400 = 0,0298916666...).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i/>
          <w:iCs/>
        </w:rPr>
        <w:t xml:space="preserve">Resultado Esperado:</w:t>
      </w:r>
      <w:r>
        <w:t xml:space="preserve"> Manutenção de exatamente 6 casas decimais truncadas/arredondadas conforme padrão financeiro IEEE 754, sem perdas acumuladas em somatórios compostos.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Teste de Proteção contra Divisão por Zero:</w:t>
      </w:r>
      <w:r>
        <w:rPr>
          <w:i/>
          <w:iCs/>
        </w:rPr>
        <w:t xml:space="preserve">Entrada:</w:t>
      </w:r>
      <w:r>
        <w:t xml:space="preserve"> Simulação enviada com producao_mensal_estimada = 0 ou suprimento cadastrado com rendimento_paginas = 0.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i/>
          <w:iCs/>
        </w:rPr>
        <w:t xml:space="preserve">Resultado Esperado:</w:t>
      </w:r>
      <w:r>
        <w:t xml:space="preserve"> Interceptação graciosa pelo middleware de validação, retornando código HTTP 422 (</w:t>
      </w:r>
      <w:r>
        <w:rPr>
          <w:i/>
          <w:iCs/>
        </w:rPr>
        <w:t xml:space="preserve">Unprocessable Entity</w:t>
      </w:r>
      <w:r>
        <w:t xml:space="preserve">) com mensagem instrutiva em vez de falha crítica de execução.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Teste de Inflexão de Break-Even Positivo/Negativo:</w:t>
      </w:r>
      <w:r>
        <w:rPr>
          <w:i/>
          <w:iCs/>
        </w:rPr>
        <w:t xml:space="preserve">Entrada:</w:t>
      </w:r>
      <w:r>
        <w:t xml:space="preserve"> Comparação entre dois cenários em que o cenário de maior valor de locação também possui o maior CPP unitário.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i/>
          <w:iCs/>
        </w:rPr>
        <w:t xml:space="preserve">Resultado Esperado:</w:t>
      </w:r>
      <w:r>
        <w:t xml:space="preserve"> O sistema deve sinalizar a inexistência de ponto de equilíbrio viável ("Cenário economicamente inviável em qualquer volume"), bloqueando a emissão de break-even incoerente.</w:t>
      </w:r>
    </w:p>
    <w:p>
      <w:r>
        <w:t xml:space="preserve">14.2. Critérios de Aceite para Liberação em Produção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Todas as 4 abas do arquivo de referência Precificacao_Locacao_Impressoras_v7.xlsx replicadas em banco de dados e APIs;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Tempo de resposta de simulação inferior a 100ms para 99% das requisições (p99);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Dropdown de seleção carregando dinamicamente os 5 slots com atualização reativa de tela;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Interface administrativa com bloqueio de edição para usuários sem privilégio de gerência;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Logs de auditoria ativos e registrando todas as alterações em preços de suprimentos e parâmetros de mark-up.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15. Arquitetura do Frontend e Especificação de Componentes Reativos</w:t>
      </w:r>
    </w:p>
    <w:p>
      <w:pPr>
        <w:spacing w:before="60" w:after="120" w:line="276"/>
      </w:pPr>
      <w:r>
        <w:t xml:space="preserve">O frontend da aplicação deve ser estruturado em arquitetura baseada em componentes reativos (</w:t>
      </w:r>
      <w:r>
        <w:rPr>
          <w:i/>
          <w:iCs/>
        </w:rPr>
        <w:t xml:space="preserve">Single Page Application</w:t>
      </w:r>
      <w:r>
        <w:t xml:space="preserve"> — SPA) utilizando frameworks modernos como React, Vue.js ou Angular. A interface do módulo de precificação deve garantir sincronização bidirecional instantânea entre os inputs operacionais e os painéis consolidados de custo, eliminando recarregamentos de página (</w:t>
      </w:r>
      <w:r>
        <w:rPr>
          <w:i/>
          <w:iCs/>
        </w:rPr>
        <w:t xml:space="preserve">zero page reload</w:t>
      </w:r>
      <w:r>
        <w:t xml:space="preserve">) durante a navegação entre modelos.</w:t>
      </w:r>
    </w:p>
    <w:p>
      <w:r>
        <w:t xml:space="preserve">15.1. Hierarquia de Componentes</w:t>
      </w:r>
    </w:p>
    <w:p>
      <w:r>
        <w:t xml:space="preserve">&lt;PricingModuleContainer&gt;
  ├── &lt;ConfigurationHeaderBar /&gt;
  ├── &lt;PrinterSelectionControl /&gt;
  │     ├── &lt;DropdownAutocomplete /&gt;
  │     └── &lt;EquipmentBadgeInfo /&gt;
  ├── &lt;LinkedSuppliesGrid&gt;
  │     ├── &lt;SupplySlotCard index="1" /&gt;
  │     ├── &lt;SupplySlotCard index="2" /&gt;
  │     ├── &lt;SupplySlotCard index="3" /&gt;
  │     ├── &lt;SupplySlotCard index="4" /&gt;
  │     └── &lt;SupplySlotCard index="5" /&gt;
  ├── &lt;ContractParametersForm&gt;
  │     ├── &lt;InputMonthlyVolume /&gt;
  │     ├── &lt;InputBaseRentalPrice /&gt;
  │     └── &lt;InputCustomMarkup /&gt;
  ├── &lt;CostBreakdownSummaryPanel /&gt;
  └── &lt;BreakEvenComparisonModal /&gt;
&lt;/PricingModuleContainer&gt;</w:t>
      </w:r>
    </w:p>
    <w:p>
      <w:r>
        <w:t xml:space="preserve">15.2. Estados da Aplicação (State Management)</w:t>
      </w:r>
    </w:p>
    <w:p>
      <w:pPr>
        <w:spacing w:before="60" w:after="120" w:line="276"/>
      </w:pPr>
      <w:r>
        <w:t xml:space="preserve">O gerenciamento de estado local do componente principal deve manter a seguinte tipagem de dados (TypeScript) para garantir previsibilidade e integridade em tempo de execução:</w:t>
      </w:r>
    </w:p>
    <w:p>
      <w:r>
        <w:t xml:space="preserve">interface SupplySlot {
  slotNumber: 1 | 2 | 3 | 4 | 5;
  supplyId: number | null;
  model: string;
  type: 'toner' | 'tinta' | 'cartucho' | 'fotocondutor' | 'unidade_fusora' | 'pelicula' | 'cabecote' | 'bobina' | 'fita' | 'ribbon';
  costPrice: number;
  yieldPages: number;
  calculatedCpp: number;
  isProvision: boolean;
  riskWarning?: string;
}
interface EquipmentSelectionState {
  printerId: number;
  model: string;
  brand: string;
  technology: 'laser_mono' | 'laser_colorido' | 'tinta' | 'termica' | 'matricial';
  purchasePrice: number;
  lifespanMonths: number;
  supplies: SupplySlot[];
  isLockedDueToMissingData: boolean;
  lockReason?: string;
}
interface CalculationParametersState {
  markupFactor: number;
  monthlyProductionVolume: number;
  monthlyRentalPrice: number;
}
interface CalculationResultState {
  suppliesCppSubtotal: number;
  equipmentDepreciationCpp: number;
  totalSupplierCpp: number;
  saleCppWithMarkup: number;
  estimatedMonthlyProductionCost: number;
  totalMonthlyContractValue: number;
  breakEvenPages?: number;
}</w:t>
      </w:r>
    </w:p>
    <w:p>
      <w:r>
        <w:t xml:space="preserve">15.3. Regras de Comportamento Visual dos Slots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Condição do Slot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Representação Visual (UI)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 Interativa Permitida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Ativo com Dados Completos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verde claro com código do insumo, valor, rendimento nominal e CPP calculado.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Clique abre modal com histórico de cotações e fornecedores do suprimento.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de Provisão de Risco (Cabeçote Epson)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amarelo de alerta com ícone de atenção e texto "Provisão de Reparo / Risco de Inatividade".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tooltip explicativo sobre ressecamento por baixo volume de uso.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Integrado ao Chassi (Fusor Brother 1210/1617)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cinza desabilitado com a indicação textual "Fusor Integrado (Amortização no Ativo)".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Desabilitado para edição de suprimento individual.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Vazio / Não Vinculado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tracejado cinza com etiqueta "Não Aplicável / Vazio (CPP = R$ 0,000000)".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Permite ao administrador vincular insumo suplementar manualmente.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com Insumo sem Preço Homologado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vermelho de bloqueio com botão "Cadastrar Preço de Aquisição".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o cálculo global até a resolução da pendência de cadastro.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16. Módulo de Gestão de Estoque e Ponto de Reposição Automático</w:t>
      </w:r>
    </w:p>
    <w:p>
      <w:pPr>
        <w:spacing w:before="60" w:after="120" w:line="276"/>
      </w:pPr>
      <w:r>
        <w:t xml:space="preserve">A precificação precisa estar associada ao controle físico dos itens cadastrados. O módulo de locação deve alimentar a inteligência de suprimentos do sistema da Juca Cartuchos, prevendo o esgotamento de cartuchos, toners e componentes de desgaste com base na produção mensal contratada.</w:t>
      </w:r>
    </w:p>
    <w:p>
      <w:r>
        <w:t xml:space="preserve">16.1. Fórmulas de Consumo e Projeção de Reposição</w:t>
      </w:r>
    </w:p>
    <w:p>
      <w:pPr>
        <w:spacing w:before="60" w:after="120" w:line="276"/>
      </w:pPr>
      <w:r>
        <w:t xml:space="preserve">A periodicidade estimada em meses para o envio de novo consumível ou execução de manutenção preventiva é definida pela relação entre o rendimento do insumo e o volume médio mensal do cliente:</w:t>
      </w:r>
    </w:p>
    <w:p>
      <w:pPr>
        <w:spacing w:before="60" w:after="120" w:line="276"/>
      </w:pPr>
      <w:r>
        <w:t xml:space="preserve">$$Ciclo_{troca_meses} = \frac{rendimento_paginas}{producao_mensal_estimada}$$</w:t>
      </w:r>
    </w:p>
    <w:p>
      <w:pPr>
        <w:spacing w:before="60" w:after="120" w:line="276"/>
      </w:pPr>
      <w:r>
        <w:t xml:space="preserve">Para determinar a demanda agregada mensal do estoque central da Juca Cartuchos em função do parque total locado:</w:t>
      </w:r>
    </w:p>
    <w:p>
      <w:pPr>
        <w:spacing w:before="60" w:after="120" w:line="276"/>
      </w:pPr>
      <w:r>
        <w:t xml:space="preserve">$$Demanda_{mensal_item} = \sum_{c=1}^{N_{contratos}} \left( \frac{producao_mensal_contrato_c}{rendimento_paginas_item} \right)$$</w:t>
      </w:r>
    </w:p>
    <w:p>
      <w:r>
        <w:t xml:space="preserve">16.2. Estoque Mínimo e Ponto de Pedido (Lead Time de Aquisição)</w:t>
      </w:r>
    </w:p>
    <w:p>
      <w:pPr>
        <w:spacing w:before="60" w:after="120" w:line="276"/>
      </w:pPr>
      <w:r>
        <w:t xml:space="preserve">$$Ponto_de_Pedido = (Demanda_{mensal_item} \times Lead_Time_{meses}) + Estoque_de_Seguranca$$</w:t>
      </w:r>
    </w:p>
    <w:p>
      <w:pPr>
        <w:spacing w:before="60" w:after="120" w:line="276"/>
      </w:pPr>
      <w:r>
        <w:t xml:space="preserve">Onde o $$Estoque_de_Seguranca$$ é dimensionado com base na variabilidade histórica do consumo mensal e na criticidade do componente (toners de alta rotatividade exigem margem de segurança de 20%, enquanto fusores corporativos exigem cobertura mínima para 1 troca imediata por grupo de 10 impressoras locadas).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17. Cláusulas Padronizadas para Geração Automática de Contratos de Locação</w:t>
      </w:r>
    </w:p>
    <w:p>
      <w:pPr>
        <w:spacing w:before="60" w:after="120" w:line="276"/>
      </w:pPr>
      <w:r>
        <w:t xml:space="preserve">O sistema deve conter um gerador automatizado de termos contratuais em conformidade com o Código Civil Brasileiro (Lei nº 10.406/2002). Ao finalizar a simulação e aprovar a proposta, o motor deve preencher dinamicamente as cláusulas operacionais específicas para o modelo locado.</w:t>
      </w:r>
    </w:p>
    <w:p>
      <w:r>
        <w:t xml:space="preserve">17.1. Cláusula de Abrangência e Fornecimento de Suprimentos</w:t>
      </w:r>
    </w:p>
    <w:p>
      <w:pPr>
        <w:spacing w:before="60" w:after="120" w:line="276"/>
      </w:pPr>
      <w:r>
        <w:rPr>
          <w:b/>
          <w:bCs/>
        </w:rPr>
        <w:t xml:space="preserve">CLÁUSULA PRIMEIRA — DO OBJETO E MANUTENÇÃO:</w:t>
      </w:r>
      <w:r>
        <w:t xml:space="preserve"> O presente instrumento tem por objeto a locação do equipamento especificado no preâmbulo, incluindo o fornecimento integral de suprimentos de impressão, cartuchos de toner, tintas originais/homologadas, módulos de cilindro fotocondutor, unidades fusoras e películas térmicas necessários à operacionalização contínua da franquia de páginas acordada. Fica expressamente vedada à </w:t>
      </w:r>
      <w:r>
        <w:rPr>
          <w:b/>
          <w:bCs/>
        </w:rPr>
        <w:t xml:space="preserve">LOCATÁRIA</w:t>
      </w:r>
      <w:r>
        <w:t xml:space="preserve"> a introdução de insumos não autorizados pela </w:t>
      </w:r>
      <w:r>
        <w:rPr>
          <w:b/>
          <w:bCs/>
        </w:rPr>
        <w:t xml:space="preserve">LOCADORA</w:t>
      </w:r>
      <w:r>
        <w:t xml:space="preserve">, sob pena de rescisão contratual motivada e aplicação de penalidades cabíveis.</w:t>
      </w:r>
    </w:p>
    <w:p>
      <w:r>
        <w:t xml:space="preserve">17.2. Cláusula de Operação Adequada e Cabeçotes Piezoelétricos</w:t>
      </w:r>
    </w:p>
    <w:p>
      <w:pPr>
        <w:spacing w:before="60" w:after="120" w:line="276"/>
      </w:pPr>
      <w:r>
        <w:rPr>
          <w:b/>
          <w:bCs/>
        </w:rPr>
        <w:t xml:space="preserve">CLÁUSULA SEGUNDA — DA OPERAÇÃO DE EQUIPAMENTOS DE JATO DE TINTA:</w:t>
      </w:r>
      <w:r>
        <w:t xml:space="preserve"> Nos contratos envolvendo equipamentos de tecnologia tanque de tinta (EcoTank/MegaTank), a </w:t>
      </w:r>
      <w:r>
        <w:rPr>
          <w:b/>
          <w:bCs/>
        </w:rPr>
        <w:t xml:space="preserve">LOCATÁRIA</w:t>
      </w:r>
      <w:r>
        <w:t xml:space="preserve"> declara-se ciente de que a manutenção da fluidez do cabeçote de impressão demanda utilização periódica. Na hipótese de ociosidade contínua do equipamento superior a 15 (quinze) dias corridos, resultando em dessecação de micropiezos ou entupimento irreversível de bicos ejetores, os custos de substituição do cabeçote de impressão correrão integralmente por conta da </w:t>
      </w:r>
      <w:r>
        <w:rPr>
          <w:b/>
          <w:bCs/>
        </w:rPr>
        <w:t xml:space="preserve">LOCATÁRIA</w:t>
      </w:r>
      <w:r>
        <w:t xml:space="preserve">, eximindo a </w:t>
      </w:r>
      <w:r>
        <w:rPr>
          <w:b/>
          <w:bCs/>
        </w:rPr>
        <w:t xml:space="preserve">LOCADORA</w:t>
      </w:r>
      <w:r>
        <w:t xml:space="preserve"> de cobertura sem ônus.</w:t>
      </w:r>
    </w:p>
    <w:p>
      <w:r>
        <w:t xml:space="preserve">17.3. Cláusula de Franquia, Excedente e Leitura de Medidores</w:t>
      </w:r>
    </w:p>
    <w:p>
      <w:pPr>
        <w:spacing w:before="60" w:after="120" w:line="276"/>
      </w:pPr>
      <w:r>
        <w:rPr>
          <w:b/>
          <w:bCs/>
        </w:rPr>
        <w:t xml:space="preserve">CLÁUSULA TERCEIRA — DA FRANQUIA E PÁGINAS EXCEDENTES:</w:t>
      </w:r>
      <w:r>
        <w:t xml:space="preserve"> O valor mensal ajustado confere à </w:t>
      </w:r>
      <w:r>
        <w:rPr>
          <w:b/>
          <w:bCs/>
        </w:rPr>
        <w:t xml:space="preserve">LOCATÁRIA</w:t>
      </w:r>
      <w:r>
        <w:t xml:space="preserve"> o direito de produzir a quantidade de páginas contratada como franquia. A apuração do volume efetivamente produzido dar-se-á mensalmente por meio de leitura remota via software SNMP ou auditoria física do contador lógico do equipamento. As impressões que ultrapassarem a franquia mensal serão faturadas na fatura subsequente, aplicando-se sobre cada página excedente o valor de $$CPP_{venda}$$ homologado na celebração deste contrato.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18. Matriz de Rastreamento de Erros, Validações e Códigos de Exceção HTTP</w:t>
      </w:r>
    </w:p>
    <w:p>
      <w:pPr>
        <w:spacing w:before="60" w:after="120" w:line="276"/>
      </w:pPr>
      <w:r>
        <w:t xml:space="preserve">O backend deve implementar um middleware padronizado para tratamento e enriquecimento de erros, garantindo respostas estruturadas para a camada de frontend: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 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Identificador de Erro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Cenário Disparador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Mensagem Amigável Retornada (UI)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422 Unprocessable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ERR_EQUIPMENT_MISSING_PRICE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Impressora selecionada possui valor_compra = 0.00 ou nulo.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"O equipamento selecionado requer preenchimento do valor de aquisição na base patrimonial."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422 Unprocessable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ERR_SUPPLY_UNREGISTERED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Tentativa de precificar modelo com cabeçote ou toner pendente de homologação.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"Insumo essencial não homologado para este modelo. Cadastre o suprimento para prosseguir."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400 Bad Request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ERR_ZERO_PRODUCTION_VOLUME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Franquia mensal de páginas informada como zero ou valor negativo.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"Informe um volume mensal de páginas válido (mínimo: 1 página/mês)."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400 Bad Request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ERR_INVALID_MARKUP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Fator de mark-up informado inferior a 1.0000 (venda com prejuízo operacional).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"O fator de mark-up comercial não pode ser inferior a 1,00 (margem nula ou negativa)."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409 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ERR_BREAKEVEN_PARALLEL_LINES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Comparação de dois cenários com CPPs idênticos e locações idênticas (divisão por zero).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"Os cenários informados são equivalentes; não há ponto de equilíbrio aplicável."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500 Internal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ERR_CALCULATION_ENGINE_FAULT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 de precisão matemática ou estouro de pilha no cálculo aritmético.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"Erro interno no processamento do motor de cálculo. Contate o suporte técnico."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19. Procedimentos de Manutenção Preventiva e Calibração Periódica de Preços</w:t>
      </w:r>
    </w:p>
    <w:p>
      <w:pPr>
        <w:spacing w:before="60" w:after="120" w:line="276"/>
      </w:pPr>
      <w:r>
        <w:t xml:space="preserve">Considerando a dinâmica de volatilidade cambial e reajustes periódicos promovidos pelos distribuidores de componentes e suprimentos compatíveis, o sistema deve dispor de rotinas administrativas para manutenção da base tarifária.</w:t>
      </w:r>
    </w:p>
    <w:p>
      <w:r>
        <w:t xml:space="preserve">19.1. Rotina de Reajuste em Lote (Batch Price Update)</w:t>
      </w:r>
    </w:p>
    <w:p>
      <w:pPr>
        <w:spacing w:before="60" w:after="120" w:line="276"/>
      </w:pPr>
      <w:r>
        <w:t xml:space="preserve">A interface administrativa deve permitir a aplicação de percentuais de correção monetária sobre grupos específicos de insumos (ex.: reajustar todos os toners Brother em +8,5% devido à atualização de tabela de importação).</w:t>
      </w:r>
    </w:p>
    <w:p>
      <w:pPr>
        <w:spacing w:before="60" w:after="120" w:line="276"/>
      </w:pPr>
      <w:r>
        <w:t xml:space="preserve">A rotina de atualização deve executar a seguinte instrução atômica:</w:t>
      </w:r>
    </w:p>
    <w:p>
      <w:r>
        <w:t xml:space="preserve">UPDATE suprimentos 
SET valor_compra = ROUND(valor_compra * (1 + :percentual_reajuste / 100), 4)
WHERE fabricante = :fabricante_alvo 
  AND tipo = :tipo_suprimento_alvo;</w:t>
      </w:r>
    </w:p>
    <w:p>
      <w:pPr>
        <w:spacing w:before="60" w:after="120" w:line="276"/>
      </w:pPr>
      <w:r>
        <w:t xml:space="preserve">Após a execução da atualização em lote, o sistema deve gerar automaticamente um log de auditoria registrando o impacto médio no CPP de todos os equipamentos afetados e sinalizar quais contratos ativos possuem margens operacionais reduzidas para análise de repactuação comercial.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20. Edição Manual de Preços, Rendimentos e Valores de Equipamento</w:t>
      </w:r>
    </w:p>
    <w:p>
      <w:pPr>
        <w:spacing w:before="60" w:after="120" w:line="276"/>
      </w:pPr>
      <w:r>
        <w:rPr>
          <w:b/>
          <w:bCs/>
        </w:rPr>
        <w:t xml:space="preserve">20.1. Princípio da Editabilidade Total:</w:t>
      </w:r>
      <w:r>
        <w:t xml:space="preserve"> Todos os campos de valor_compra e rendimento_paginas da tabela SUPRIMENTOS, bem como os campos valor_compra e vida_util_meses da tabela IMPRESSORAS, devem ser editáveis manualmente pela interface administrativa, sem necessidade de acesso direto ao banco de dados. O campo cpp_calculado permanece estritamente calculado (nunca digitado) e recalcula automaticamente a cada edição realizada.</w:t>
      </w:r>
    </w:p>
    <w:p>
      <w:pPr>
        <w:spacing w:before="60" w:after="120" w:line="276"/>
      </w:pPr>
      <w:r>
        <w:rPr>
          <w:b/>
          <w:bCs/>
        </w:rPr>
        <w:t xml:space="preserve">20.2. Campos em Aberto (Preenchimento Posterior):</w:t>
      </w:r>
      <w:r>
        <w:t xml:space="preserve"> Itens cadastrados sem valor_compra ou rendimento_paginas devem permanecer em aberto (NULL), com o indicador visual </w:t>
      </w:r>
      <w:r>
        <w:rPr>
          <w:i/>
          <w:iCs/>
        </w:rPr>
        <w:t xml:space="preserve">"Preencher manualmente"</w:t>
      </w:r>
      <w:r>
        <w:t xml:space="preserve"> na interface. O sistema deve permitir precificação parcial, exibindo alerta de incompletude, mas bloqueando a emissão de proposta definitiva enquanto dados essenciais estiverem nulos (em observância à regra 8.1).</w:t>
      </w:r>
    </w:p>
    <w:p>
      <w:pPr>
        <w:spacing w:before="60" w:after="120" w:line="276"/>
      </w:pPr>
      <w:r>
        <w:rPr>
          <w:b/>
          <w:bCs/>
        </w:rPr>
        <w:t xml:space="preserve">20.3. Recálculo em Cascata:</w:t>
      </w:r>
      <w:r>
        <w:t xml:space="preserve"> Qualquer edição manual de preço ou rendimento deve propagar imediatamente para o CPP do suprimento, o CPP_suprimentos de todas as impressoras vinculadas, o CPP_fornecedor_total e o CPP_venda das simulações em aberto. Propostas já formalmente emitidas e contratos assinados não são afetados por essa atualização (preço congelado no campo cpp_venda_fechado).</w:t>
      </w:r>
    </w:p>
    <w:p>
      <w:pPr>
        <w:spacing w:before="60" w:after="120" w:line="276"/>
      </w:pPr>
      <w:r>
        <w:rPr>
          <w:b/>
          <w:bCs/>
        </w:rPr>
        <w:t xml:space="preserve">20.4. Persistência e Auditoria:</w:t>
      </w:r>
      <w:r>
        <w:t xml:space="preserve"> Toda edição manual deve gerar obrigatoriamente registro na tabela auditoria_precos, contendo o identificador do usuário, data/hora da alteração, valor anterior e novo valor homologado. A interface administrativa deve oferecer funcionalidade de exportação do estado atual dos dados em formato JSON para fins de backup e integração com sistemas legados.</w:t>
      </w:r>
    </w:p>
    <w:p>
      <w:pPr>
        <w:spacing w:before="60" w:after="120" w:line="276"/>
      </w:pPr>
      <w:r>
        <w:rPr>
          <w:b/>
          <w:bCs/>
        </w:rPr>
        <w:t xml:space="preserve">20.5. Cadastro de Novos Itens:</w:t>
      </w:r>
      <w:r>
        <w:t xml:space="preserve"> A interface deve permitir incluir novos suprimentos e novas impressoras, além de possibilitar a exclusão de itens obsoletos, a qual deve ocorrer exclusivamente por exclusão lógica via campo ativo = false (nunca por deleção física), de modo a preservar integralmente o histórico de contratos vigentes e encerrados.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 — BASE COMPLETA DE SUPRIMENTOS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Fabricante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Compra (R$)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Rendimento (págs)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CPP Calculado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TN-1035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0.049900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DR-1035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Fotocondutor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27,18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0.002718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TN-2370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79,90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0.030731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DR-2400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Fotocondutor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0.004158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TN-3442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70,90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0.008863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TN-3472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70,90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0.005908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TN-3662XLS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116,89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0.004676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TN-B021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0.038077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T544-BK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0.002778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T544-C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12,76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0.001701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T544-M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12,76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0.001701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T544-Y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12,76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0.001701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T504-BK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0.002778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T504-C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12,76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0.001701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T504-M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12,76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0.001701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T504-Y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12,76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0.001701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T664-BK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18,74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0.004685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T664-C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18,74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0.002883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T664-M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18,74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0.002883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T664-Y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18,74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0.002883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GI-190-BK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62,86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0.010477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GI-190-C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13,49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0.001927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GI-190-M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13,49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0.001927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GI-190-Y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13,49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0.001927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CE285A (85A)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62,63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0.039144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CF283A (83A)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38,99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0.025993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CB435A (35A)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1.800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0.021056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CF248A (48A)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38,25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0.038250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W1105A (105A)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44,08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0.044080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Q2612A (12A)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0.014250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GT51-BK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0.002500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GT52-C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0.002500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GT52-M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0.002500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GT52-Y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0.002500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MLT-D111S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0.055000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MLT-D101S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0.042667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MLT-D1042S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275,00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0.183333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MLT-D204L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87,20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0.017440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CAB-BH1-CH1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Cabeçote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412,50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0.013750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CAB-GT52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Cabeçote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199,94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0.006665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CAB-FA04061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Cabeçote (provisão de reparo)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479,00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0.015967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FUS-LY9388001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Fusora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312,00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0.003120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PEL-L2540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Película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67,35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0.001347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PEL-L5652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Película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57,57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0.001151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FUS-D00V9X001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Fusora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828,60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0.008286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PEL-8152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Película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56,12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0.001122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FUS-LJB693001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Fusora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962,67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0.009627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FUS-RM1-7733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Fusora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210,00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0.002100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PEL-RG9-1493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Película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9,89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0.000198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FUS-RC29205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Fusora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132,91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0.001329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FUS-107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Fusora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359,00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0.003590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FUS-JC91-01076A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Fusora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321,94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0.003219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FUS-JC91-00991A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Fusora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199,80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0.001998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TK477ST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Kyocera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215,24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0.014349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MK477ST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Kit Manutenção (Fotocondutor)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Kyocera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972,73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0.003242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LC109BKST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Cartucho Preto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71,74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0.029892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LC105CST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Cartucho Ciano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37,32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0.031100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LC105MST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Cartucho Magenta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37,32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0.031100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LC105YST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Cartucho Amarelo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37,32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0.031100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BOBINA-80MM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Bobina Térmica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Bematech/Elgin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FITA-LX350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Fita Matricial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RIBBON-ZD220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Ribbon Etiquetas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Zebra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HP-652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Cartucho de Tinta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120" w:line="276"/>
      </w:pPr>
      <w:r>
        <w:rPr>
          <w:i/>
          <w:iCs/>
        </w:rPr>
        <w:t xml:space="preserve">Nota: Itens com '—' estão sem preço/rendimento homologados — preencher manualmente (regra 20.2). Vida útil estimada: fusores 100.000 págs, películas 50.000 págs, cabeçotes 30.000 págs.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B — BASE COMPLETA DE IMPRESSORAS DO PARQUE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Fabricante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Compra (R$)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Suprimentos Vinculados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HL-1210W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890,00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TN-1035, DR-1035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HL-1212w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1.449,90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TN-1035, DR-1035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HL-1200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TN-1035, DR-1035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DCP-1600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TN-1035, DR-1035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DCP-1610NW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TN-1035, DR-1035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DCP-1617NW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TN-1035, DR-1035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DCP-L2540DN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TN-2370, DR-2400, FUS-LY9388001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DCP-L2540DW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2.094,33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TN-2370, DR-2400, FUS-LY9388001, PEL-L2540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DCP-L5652DN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1.699,00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TN-3442, FUS-D00V9X001, PEL-L5652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DCP-L5662DN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TN-3472, FUS-D00V9X001, PEL-L5652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HL-L6412DW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TN-3662XLS, FUS-D00V9X001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DCP-8110DN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FUS-LJB693001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DCP-8152DN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FUS-LJB693001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HL-5450DN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FUS-LJB693001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HL-B2080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TN-B021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MFC-J1010DW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LC109BKST, LC105CST, LC105MST, LC105YST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MFC-J1170DW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LC109BKST, LC105CST, LC105MST, LC105YST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G4110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949,00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GI-190-BK, GI-190-C, GI-190-M, GI-190-Y, CAB-BH1-CH1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G4111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GI-190-BK, GI-190-C, GI-190-M, GI-190-Y, CAB-BH1-CH1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L1250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999,00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T544-BK, T544-C, T544-M, T544-Y, CAB-FA04061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L3150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T544-BK, T544-C, T544-M, T544-Y, CAB-FA04061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L3250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1.019,91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T544-BK, T544-C, T544-M, T544-Y, CAB-FA04061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L365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T664-BK, T664-C, T664-M, T664-Y, CAB-FA04061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L375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T664-BK, T664-C, T664-M, T664-Y, CAB-FA04061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L395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T664-BK, T664-C, T664-M, T664-Y, CAB-FA04061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L4360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Cabeçote específico a cadastrar (bloqueado)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L14150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T504-BK, T504-C, T504-M, T504-Y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L6270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T504-BK, T504-C, T504-M, T504-Y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L6290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T504-BK, T504-C, T504-M, T504-Y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L805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Cabeçote específico a cadastrar (bloqueado)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L5590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Cabeçote específico a cadastrar (bloqueado)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LX 350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FITA-LX350 (custo por fita)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LaserJet MFP M127fw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CF283A (83A), FUS-RC29205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LaserJet Pro MFP M127fn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535,90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CF283A (83A), FUS-RC29205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Laser 107w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W1105A (105A), FUS-107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Laser 135a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W1105A (105A), FUS-107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Laser 135w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W1105A (105A), FUS-107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LaserJet 1020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Q2612A (12A), PEL-RG9-1493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LaserJet 3055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Q2612A (12A)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M1120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Q2612A (12A)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M1132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CE285A (85A), FUS-RM1-7733, PEL-RG9-1493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M1212nf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CE285A (85A), FUS-RM1-7733, PEL-RG9-1493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M130fw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CF248A (48A)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M130nw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CF248A (48A)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P1102w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CE285A (85A), FUS-RM1-7733, PEL-RG9-1493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P1005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CB435A (35A)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P1102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CE285A (85A), FUS-RM1-7733, PEL-RG9-1493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P2055dn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Toner CE505A a pesquisar (bloqueado)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Color LaserJet M177fw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Kit 130A (CF350A BK/C/M/Y) a cadastrar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 1025nw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Kit 126A (CE310A BK/C/M/Y) a cadastrar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DeskJet 5820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CAB-GT52 + cartucho HP 652 a pesquisar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Ink Tank Wireless 410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Tinta Colorido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498,75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GT51-BK, GT52-C, GT52-M, GT52-Y, CAB-GT52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M2070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590,00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MLT-D111S, FUS-JC91-01076A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ML-1860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MLT-D1042S, FUS-JC91-00991A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ML-2160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MLT-D101S, FUS-JC91-01076A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ML-2160 Series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MLT-D101S, FUS-JC91-01076A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SL-M3375FD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Laser Mono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MLT-D204L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MP-4200 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Bematech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Térmica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BOBINA-80MM (custo por bobina)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L42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Elgin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Térmica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BOBINA-80MM (custo por bobina)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ZD220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Zebra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Térmica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RIBBON-ZD220 (custo por ribbon)</w:t>
            </w:r>
          </w:p>
        </w:tc>
      </w:tr>
    </w:tbl>
    <w:p>
      <w:pPr>
        <w:spacing w:before="60" w:after="120" w:line="276"/>
      </w:pPr>
      <w:r>
        <w:rPr>
          <w:i/>
          <w:iCs/>
        </w:rPr>
        <w:t xml:space="preserve">Nota: Itens com '—' em Valor Compra devem ser preenchidos manualmente com o valor de nota fiscal (regra 20.2). Modelos marcados como 'bloqueado' não podem ser precificados até o cadastro do suprimento pendente.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2026-09-21T03:42:49.468Z</dcterms:created>
  <dcterms:modified xsi:type="dcterms:W3CDTF">2026-09-21T03:42:49.468Z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