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Beyond the Footprint: sufficiency, coordination and the limits of hotspot strategies in city climate governance</w:t>
      </w:r>
    </w:p>
    <w:bookmarkStart w:id="20" w:name="abstract"/>
    <w:p>
      <w:pPr>
        <w:pStyle w:val="Heading1"/>
      </w:pPr>
      <w:r>
        <w:t xml:space="preserve">Abstract</w:t>
      </w:r>
    </w:p>
    <w:p>
      <w:pPr>
        <w:pStyle w:val="FirstParagraph"/>
      </w:pPr>
      <w:r>
        <w:t xml:space="preserve">Cities increasingly adopt consumption-based climate targets, recognising that household consumption drives emissions across global supply chains far beyond city boundaries. Yet consumption-based accounting makes these emissions visible without telling cities whether their planned actions are sufficient to meet the targets. This article introduces the urban consumption gap as an operational concept and a sufficiency test for city climate governance. The urban consumption gap is the residual distance between a city’s consumption-based emissions and the level required to align with climate targets, after accounting for the scale, timing and adoption limits of feasible transition strategies. We apply the framework to Malmö, Sweden, using a deterministic, category-level scenario model that combines a 5.7 t CO2e per capita baseline with behavioural and technological reduction potentials and logistic adoption dynamics. Four scenarios are compared: limited change, hotspot-focused action, lifestyle-centred transition and coordinated transition across lifestyle, infrastructure and technology. Hotspot-focused action closes only about one third of the required 2050 reduction. Ambitious lifestyle change leaves residual emissions roughly three times the 1.0 t CO2e per capita target. Only a coordinated transition approaches target consistency, and only under demanding assumptions about coverage, adoption ceilings, technological improvement and supply-chain decarbonisation. Sensitivity analysis shows that adoption ceilings and technology assumptions are more decisive than adoption timing. These findings reframe consumption-based urban climate governance from emissions visibility to pathway sufficiency, and reposition cities from accountants and behaviour-change communicators to transition coordinators that align infrastructure, services, procurement and multi-level policy interfaces. The framework is transferable: other cities can apply it to test whether their portfolios are broad, deep, fast and fair enough to close their own consumption gap.</w:t>
      </w:r>
    </w:p>
    <w:p>
      <w:pPr>
        <w:pStyle w:val="BodyText"/>
      </w:pPr>
      <w:r>
        <w:rPr>
          <w:bCs/>
          <w:b/>
        </w:rPr>
        <w:t xml:space="preserve">Keywords:</w:t>
      </w:r>
      <w:r>
        <w:t xml:space="preserve"> </w:t>
      </w:r>
      <w:r>
        <w:t xml:space="preserve">urban consumption gap; consumption-based emissions; sufficiency; demand-side mitigation; sociotechnical transitions; city climate governance</w:t>
      </w:r>
    </w:p>
    <w:bookmarkEnd w:id="20"/>
    <w:bookmarkStart w:id="21" w:name="introduction"/>
    <w:p>
      <w:pPr>
        <w:pStyle w:val="Heading1"/>
      </w:pPr>
      <w:r>
        <w:t xml:space="preserve">1. Introduction</w:t>
      </w:r>
    </w:p>
    <w:p>
      <w:pPr>
        <w:pStyle w:val="FirstParagraph"/>
      </w:pPr>
      <w:r>
        <w:t xml:space="preserve">Cities are increasingly expected to govern climate impacts that extend beyond their administrative boundaries. Territorial greenhouse gas inventories remain essential for tracking emissions from energy use, buildings, transport and other activities within city borders. Yet they capture only part of the climate pressure associated with urban life. Food, housing, mobility, clothing, electronics, leisure and other forms of household consumption depend on supply chains that extend across regions and countries. For many cities, especially in high-income contexts, a substantial share of the emissions enabled by urban consumption occurs elsewhere. This creates a governance problem: the emissions that cities can most easily count are not always the emissions they help drive.</w:t>
      </w:r>
    </w:p>
    <w:p>
      <w:pPr>
        <w:pStyle w:val="BodyText"/>
      </w:pPr>
      <w:r>
        <w:t xml:space="preserve">The international urban climate governance agenda has begun to reflect this shift. C40 Cities, the WWF One Planet City Challenge and the Science Based Targets initiative for cities have all moved toward frameworks that recognise consumption-based and supply-chain emissions as part of urban climate responsibility (C40 Cities, 2019; Pichler et al., 2017). A growing number of European cities, including Helsinki, Oslo, Copenhagen and several Swedish municipalities, have adopted consumption-based ambitions alongside territorial targets. This trend turns a previously academic accounting choice into a live governance commitment. The question is no longer whether consumption-based emissions belong on the urban climate agenda, but how cities translate consumption-based commitments into target-consistent action.</w:t>
      </w:r>
    </w:p>
    <w:p>
      <w:pPr>
        <w:pStyle w:val="BodyText"/>
      </w:pPr>
      <w:r>
        <w:t xml:space="preserve">Consumption-based accounting has made this responsibility visible. By attributing emissions to final demand rather than only to the place of production, consumption-based inventories reveal the supply-chain footprint of urban lifestyles and show why local climate responsibility cannot be reduced to territorial emissions alone (Harris et al., 2020; Sudmant et al., 2018). They also connect urban climate governance to demand-side mitigation research, which shows that changes in consumption practices, service provision, infrastructure and technology can make large contributions to climate mitigation while often supporting wider well-being goals (Creutzig et al., 2022; Ivanova et al., 2020). For cities that have adopted Paris-aligned targets, this shift expands the object of governance from municipal operations and local energy systems to the wider consumption systems through which residents meet everyday needs.</w:t>
      </w:r>
    </w:p>
    <w:p>
      <w:pPr>
        <w:pStyle w:val="BodyText"/>
      </w:pPr>
      <w:r>
        <w:t xml:space="preserve">Yet visibility alone does not produce strategy. A city may know that its consumption-based footprint is nine or ten tonnes CO2e per capita and that food, transport and housing dominate. The inventory cannot say how much reduction is needed by when, whether selected measures will collectively achieve that reduction, or whether plausible adoption rates are fast enough. Many local climate strategies still begin from a territorial logic: electrifying municipal fleets, decarbonising local heating, improving cycling infrastructure. These actions are necessary, but they do not automatically address emissions embodied in imported food, goods, aviation, digital services or leisure consumption. Conversely, consumption-based inventories often identify high-emission categories but leave open the question of what cities can realistically do about them. They make emissions visible without showing how a transition pathway should be designed.</w:t>
      </w:r>
    </w:p>
    <w:p>
      <w:pPr>
        <w:pStyle w:val="BodyText"/>
      </w:pPr>
      <w:r>
        <w:t xml:space="preserve">A second weakness is that current urban climate planning relies heavily on hotspot prioritisation. Hotspot analysis ranks emissions sources, identifies the largest contributors and concentrates action there. This is a sensible starting point when resources are scarce. But prioritisation is not the same as sufficiency. A portfolio of measures can be well-prioritised, focused on the largest sources and politically actionable, while still being insufficient to meet the target because residual emissions remain across the wider consumption landscape. The distinction between</w:t>
      </w:r>
      <w:r>
        <w:t xml:space="preserve"> </w:t>
      </w:r>
      <w:r>
        <w:rPr>
          <w:iCs/>
          <w:i/>
        </w:rPr>
        <w:t xml:space="preserve">where to start</w:t>
      </w:r>
      <w:r>
        <w:t xml:space="preserve"> </w:t>
      </w:r>
      <w:r>
        <w:t xml:space="preserve">and</w:t>
      </w:r>
      <w:r>
        <w:t xml:space="preserve"> </w:t>
      </w:r>
      <w:r>
        <w:rPr>
          <w:iCs/>
          <w:i/>
        </w:rPr>
        <w:t xml:space="preserve">whether you will finish</w:t>
      </w:r>
      <w:r>
        <w:t xml:space="preserve"> </w:t>
      </w:r>
      <w:r>
        <w:t xml:space="preserve">is rarely made explicit in urban climate plans. This article foregrounds it.</w:t>
      </w:r>
    </w:p>
    <w:p>
      <w:pPr>
        <w:pStyle w:val="BodyText"/>
      </w:pPr>
      <w:r>
        <w:t xml:space="preserve">The challenge is especially acute for cities that set consumption-based targets. A target expressed in tonnes of CO2e per capita requires knowing the present footprint, the rate of reduction needed, the domains where reductions must occur, the types of interventions that can deliver them, and the social and technological conditions under which those interventions diffuse. Without this translation step, cities risk treating consumption-based accounting as an expanded reporting exercise rather than as a basis for target-consistent transition planning.</w:t>
      </w:r>
    </w:p>
    <w:p>
      <w:pPr>
        <w:pStyle w:val="BodyText"/>
      </w:pPr>
      <w:r>
        <w:t xml:space="preserve">The central problem addressed in this article is therefore the missing step between accounting and pathways. Hotspot analysis can show where emissions are concentrated. But it does not answer whether acting on those hotspots is enough to meet a climate target, whether a portfolio of measures is broad enough, or whether behavioural and technological assumptions are robust enough to close the gap within the required timeframe. Existing city-level consumption-based studies typically stop at hotspot identification, while integrated assessment models (IAMs) operate at national or supra-national scales and rarely resolve city-scale governance portfolios. This creates a methodological gap between urban footprint visibility and target-consistent planning. To make this gap explicit, we introduce the concept of the</w:t>
      </w:r>
      <w:r>
        <w:t xml:space="preserve"> </w:t>
      </w:r>
      <w:r>
        <w:rPr>
          <w:bCs/>
          <w:b/>
        </w:rPr>
        <w:t xml:space="preserve">urban consumption gap</w:t>
      </w:r>
      <w:r>
        <w:t xml:space="preserve">, defined and developed in Section 2.</w:t>
      </w:r>
    </w:p>
    <w:p>
      <w:pPr>
        <w:pStyle w:val="BodyText"/>
      </w:pPr>
      <w:r>
        <w:t xml:space="preserve">We examine this problem through the case of Malmö, Sweden. Malmö is a useful empirical case for two reasons. First, the city has adopted consumption-based climate ambitions and has access to detailed category-level data on household consumption emissions through the Consumption Compass (Dawkins et al., 2024). Second, Malmö is a high-income European city embedded in a comparatively favourable national energy mix, with developed cycling and public transport infrastructure, decarbonised district heating and active municipal climate planning. If a city of Malmö’s capacity cannot close the consumption gap through ambitious local action alone, this carries a strong signal for other high-income European cities and a still stronger one for cities with less favourable starting conditions.</w:t>
      </w:r>
    </w:p>
    <w:p>
      <w:pPr>
        <w:pStyle w:val="BodyText"/>
      </w:pPr>
      <w:r>
        <w:t xml:space="preserve">The article uses a deterministic scenario model built from category-level consumption emissions, behavioural and technological reduction potentials, and adoption dynamics over time. Four scenarios are compared: limited change; targeted action on major emission categories; broad lifestyle-centred change; and coordinated transition across lifestyle, infrastructure and technology. The scenarios are not forecasts. They are structured tests of sufficiency, designed to examine how different assumptions about intervention coverage, adoption speed and reduction potential affect the city’s ability to approach its consumption-based targets. The framework is intended as a transparent stress-testing tool, not a probabilistic forecast or an optimisation model. This positioning is important. The contribution is not a prediction of Malmö’s future, but a method for testing whether any city’s proposed transition portfolio is commensurate with its own consumption-based target.</w:t>
      </w:r>
    </w:p>
    <w:p>
      <w:pPr>
        <w:pStyle w:val="BodyText"/>
      </w:pPr>
      <w:r>
        <w:t xml:space="preserve">The article addresses four research questions:</w:t>
      </w:r>
    </w:p>
    <w:p>
      <w:pPr>
        <w:pStyle w:val="BodyText"/>
      </w:pPr>
      <w:r>
        <w:rPr>
          <w:bCs/>
          <w:b/>
        </w:rPr>
        <w:t xml:space="preserve">RQ1.</w:t>
      </w:r>
      <w:r>
        <w:t xml:space="preserve"> </w:t>
      </w:r>
      <w:r>
        <w:t xml:space="preserve">What is the scale and structure of Malmö’s urban consumption gap relative to its 2030 and 2050 targets?</w:t>
      </w:r>
    </w:p>
    <w:p>
      <w:pPr>
        <w:pStyle w:val="BodyText"/>
      </w:pPr>
      <w:r>
        <w:rPr>
          <w:bCs/>
          <w:b/>
        </w:rPr>
        <w:t xml:space="preserve">RQ2.</w:t>
      </w:r>
      <w:r>
        <w:t xml:space="preserve"> </w:t>
      </w:r>
      <w:r>
        <w:t xml:space="preserve">Can action focused on high-emission consumption categories close the gap?</w:t>
      </w:r>
    </w:p>
    <w:p>
      <w:pPr>
        <w:pStyle w:val="BodyText"/>
      </w:pPr>
      <w:r>
        <w:rPr>
          <w:bCs/>
          <w:b/>
        </w:rPr>
        <w:t xml:space="preserve">RQ3.</w:t>
      </w:r>
      <w:r>
        <w:t xml:space="preserve"> </w:t>
      </w:r>
      <w:r>
        <w:t xml:space="preserve">How far can a lifestyle-centred transition reduce the gap?</w:t>
      </w:r>
    </w:p>
    <w:p>
      <w:pPr>
        <w:pStyle w:val="BodyText"/>
      </w:pPr>
      <w:r>
        <w:rPr>
          <w:bCs/>
          <w:b/>
        </w:rPr>
        <w:t xml:space="preserve">RQ4.</w:t>
      </w:r>
      <w:r>
        <w:t xml:space="preserve"> </w:t>
      </w:r>
      <w:r>
        <w:t xml:space="preserve">Under what conditions does a coordinated transition across lifestyle, infrastructure and technology approach target consistency?</w:t>
      </w:r>
    </w:p>
    <w:p>
      <w:pPr>
        <w:pStyle w:val="BodyText"/>
      </w:pPr>
      <w:r>
        <w:t xml:space="preserve">The headline finding can be stated upfront. Even ambitious hotspot strategies leave Malmö with a 2050 gap of about 3.1 t CO2e per capita, three times the target. Ambitious lifestyle-centred change reduces this to about 2.0 t per capita, still twice the target. Only a coordinated transition across lifestyle, infrastructure and technology approaches target consistency, and only under demanding assumptions about adoption ceilings, technological improvement and external decarbonisation. The methodological contribution lies less in any single equation than in the integration of target pathway, adoption-constrained scenario logic, full-footprint coverage and a residual gap metric at city scale.</w:t>
      </w:r>
    </w:p>
    <w:p>
      <w:pPr>
        <w:pStyle w:val="BodyText"/>
      </w:pPr>
      <w:r>
        <w:t xml:space="preserve">The contribution is therefore threefold. First, the article develops the urban consumption gap as a reusable conceptual and methodological lens for city-level climate governance, linking consumption-based accounting, climate targets and transition feasibility in a single analytical frame. Second, it provides a transferable sufficiency-testing framework for moving from footprint visibility to target-consistent pathway assessment, combining category-level emissions with behavioural and technological reduction potentials and adoption dynamics while avoiding simple additive double counting. Third, the article offers an applied governance interpretation: cities with consumption-based targets should act as transition coordinators, aligning lifestyle change, infrastructure provision, social conditions, technological shifts and wider supply-side decarbonisation. Together these contributions move consumption-based urban climate governance from emissions visibility to pathway sufficiency assessment.</w:t>
      </w:r>
    </w:p>
    <w:p>
      <w:pPr>
        <w:pStyle w:val="BodyText"/>
      </w:pPr>
      <w:r>
        <w:t xml:space="preserve">The remainder of the article is organised as follows. Section 2 reviews relevant literature and develops the conceptual framing of the urban consumption gap, sufficiency and coordinated transitions. Section 3 describes the methods. Section 4 presents the results across the four scenarios and the sensitivity analysis. Section 5 discusses the findings and their implications for urban climate governance. Section 6 concludes.</w:t>
      </w:r>
    </w:p>
    <w:bookmarkEnd w:id="21"/>
    <w:bookmarkStart w:id="28" w:name="literature-review-and-conceptual-framing"/>
    <w:p>
      <w:pPr>
        <w:pStyle w:val="Heading1"/>
      </w:pPr>
      <w:r>
        <w:t xml:space="preserve">2. Literature review and conceptual framing</w:t>
      </w:r>
    </w:p>
    <w:bookmarkStart w:id="22" w:name="X11e67b62f8f9d7f00c7b8336cee1c9e10a14291"/>
    <w:p>
      <w:pPr>
        <w:pStyle w:val="Heading2"/>
      </w:pPr>
      <w:r>
        <w:t xml:space="preserve">2.1 From footprint visibility to target-consistent pathways</w:t>
      </w:r>
    </w:p>
    <w:p>
      <w:pPr>
        <w:pStyle w:val="FirstParagraph"/>
      </w:pPr>
      <w:r>
        <w:t xml:space="preserve">Consumption-based inventories have established that cities’ supply-chain emissions can substantially exceed their territorial footprints, particularly in high-income urban contexts (Harris et al., 2020; Sudmant et al., 2018; Wiedmann et al., 2021). The remaining challenge is no longer only to make these emissions visible, but to translate them into target-consistent transition pathways. This requires linking inventories to climate targets, feasible intervention portfolios and adoption dynamics. The following review focuses on evidence relevant to that translation: the relative roles of behaviour, infrastructure and technology; the limits of individual lifestyle change; and the governance conditions under which demand-side mitigation can scale.</w:t>
      </w:r>
    </w:p>
    <w:p>
      <w:pPr>
        <w:pStyle w:val="BodyText"/>
      </w:pPr>
      <w:r>
        <w:t xml:space="preserve">This article addresses a specific research gap. Consumption-based accounting for cities is now common (Harris et al., 2020; Sudmant et al., 2018; Wiedmann et al., 2021). National demand-side pathways exist (Costa et al., 2021; van den Berg et al., 2024). Demand-side mitigation potential has been synthesised at the global and sectoral level (Creutzig et al., 2022; Ivanova et al., 2020). What is missing is a city-level framework that stress-tests whether a city’s proposed transition portfolio is sufficient to meet its own consumption-based targets under realistic adoption dynamics. National IAMs operate at supra-municipal scales and rarely resolve city-scale governance portfolios. Backcasting studies for cities (e.g. Höjer et al., 2011) typically identify desired end-states but do not always specify adoption-constrained transition portfolios. Science Based Targets for Cities and the C40 methodology emphasise target setting more than the testing of intervention adequacy. The urban consumption gap framework occupies the space between footprint accounting and IAM-style scenario modelling, with explicit municipal governance addressees and explicit treatment of adoption dynamics and full-footprint coverage.</w:t>
      </w:r>
    </w:p>
    <w:p>
      <w:pPr>
        <w:pStyle w:val="BodyText"/>
      </w:pPr>
      <w:r>
        <w:t xml:space="preserve">Demand-side mitigation research shows that the required change is large and cannot be delivered through a single approach. Costa et al. (2021) simulated behaviour-only, technology-only and combined scenarios for the EU, UK and Switzerland. In agriculture, behaviour delivered 53% additional GHG reductions beyond the reference baseline; technology delivered only 6%. In buildings, the pattern reversed: technology achieved 66% reductions, behaviour 12%. In transport, both approaches were comparable in scale but worked through different mechanisms: behaviour reduced demand and shifted modes, while technology drove electrification. No sector was adequately addressed by either approach alone. The combined scenario reached net zero by approximately 2040; technology alone delayed this to around 2050. Without behavioural change, Europe would require an estimated 6.3 Gt of carbon removal between 2020 and 2050. That burden is technically contested and politically precarious.</w:t>
      </w:r>
    </w:p>
    <w:p>
      <w:pPr>
        <w:pStyle w:val="BodyText"/>
      </w:pPr>
      <w:r>
        <w:t xml:space="preserve">Demand-side options can reduce emissions by 40 to 70% by 2050 across end-use sectors (Creutzig et al., 2022, synthesising 22 systematic reviews). Reductions come with largely beneficial effects on well-being. Realising this potential requires simultaneous change across socio-behavioural, infrastructural and technological domains. In transport, the strongest mitigation potential lies not in individual motivation but in infrastructure. Creutzig et al. (2024) found that individual and social factors explain limited shifts in mode choice, while infrastructure explains the large differences between contexts. Structural provision, not persuasion, is the primary lever in transport decarbonisation.</w:t>
      </w:r>
    </w:p>
    <w:p>
      <w:pPr>
        <w:pStyle w:val="BodyText"/>
      </w:pPr>
      <w:r>
        <w:t xml:space="preserve">The depth of reductions also depends on structural support. Van den Berg et al. (2024) modelled two contrasting lifestyle scenarios using the IMAGE integrated assessment model. Under Designed World, governments and cities provide infrastructure-enabled support for sustainable choices, reducing transport emissions by 51% in the Global North by 2050. Under Pocket Lifestyles, change depends on individual initiative without structural support, achieving only 12% reductions. The fourfold difference was driven by electric vehicle adoption, which depends on charging infrastructure that only the structural support scenario provides. Pocket Lifestyles reduced emissions faster initially but slowed as diffusion limits were reached. Designed World started slower but achieved greater long-run reductions. For cities with 2030 and 2050 milestones, this timing asymmetry is directly relevant. Voluntary lifestyle change without infrastructure investment may generate early movement while leaving an irreducible medium-term gap.</w:t>
      </w:r>
    </w:p>
    <w:p>
      <w:pPr>
        <w:pStyle w:val="BodyText"/>
      </w:pPr>
      <w:r>
        <w:t xml:space="preserve">City climate plans reveal a systemic gap between ambition and implementation. Vanhuyse et al. (2023) reviewed nine Swedish cities with climate neutrality commitments. They found strong political will but major shortfalls in plans and instruments. None addressed imports of goods in detail. Air travel was rarely covered. Reduction assumptions were seldom explicit. Municipalities relied mainly on soft instruments. Some economic instruments contradicted stated goals: public transport ticket prices rose by at least 50% over the preceding decade, while parking prices remained broadly stable. Both trends worked against the modal shift the plans nominally targeted. Sethi et al. (2020, as reviewed in Creutzig et al., 2024) found that 80% of urban climate solutions are technologically driven. Combining technological and social interventions is needed to scale mitigation in urban systems.</w:t>
      </w:r>
    </w:p>
    <w:p>
      <w:pPr>
        <w:pStyle w:val="BodyText"/>
      </w:pPr>
      <w:r>
        <w:t xml:space="preserve">Malmö reflects this pattern. The city operates within one of Sweden’s more developed environmental governance frameworks and has adopted consumption-based climate targets. Yet before this study, no quantitative pathway specified how targeted measures would close the distance to the 2030 and 2050 targets. The issue extends beyond Malmö. Harris et al. (2020) projected that consumption-based emissions across ten European cities would rise by 33 to 35% even under post-carbon scenarios, as plans focused on territorial supply-side decarbonisation while leaving rising household consumption largely unaddressed.</w:t>
      </w:r>
    </w:p>
    <w:p>
      <w:pPr>
        <w:pStyle w:val="BodyText"/>
      </w:pPr>
      <w:r>
        <w:t xml:space="preserve">Translating a consumption-based inventory into a target-consistent pathway requires three elements that hotspot analyses do not provide. The first is a target pathway: an annual per-capita emissions trajectory aligned with a carbon budget, specifying the rate of reduction required. The second is a feasible scenario space: structured combinations of behavioural change, infrastructure provision and technological improvement, with adoption dynamics reflecting realistic diffusion. Van den Berg et al. (2024) demonstrate this by specifying adopter sequences, saturation rates and how contextual factors shape uptake. The third is a gap metric: the residual distance between scenario emissions and the target pathway after adopted measures are applied. Without this metric, a city cannot determine whether its plans are adequate.</w:t>
      </w:r>
    </w:p>
    <w:bookmarkEnd w:id="22"/>
    <w:bookmarkStart w:id="23" w:name="defining-the-urban-consumption-gap"/>
    <w:p>
      <w:pPr>
        <w:pStyle w:val="Heading2"/>
      </w:pPr>
      <w:r>
        <w:t xml:space="preserve">2.2 Defining the urban consumption gap</w:t>
      </w:r>
    </w:p>
    <w:p>
      <w:pPr>
        <w:pStyle w:val="FirstParagraph"/>
      </w:pPr>
      <w:r>
        <w:t xml:space="preserve">The</w:t>
      </w:r>
      <w:r>
        <w:t xml:space="preserve"> </w:t>
      </w:r>
      <w:r>
        <w:rPr>
          <w:bCs/>
          <w:b/>
        </w:rPr>
        <w:t xml:space="preserve">urban consumption gap</w:t>
      </w:r>
      <w:r>
        <w:t xml:space="preserve"> </w:t>
      </w:r>
      <w:r>
        <w:t xml:space="preserve">is the distance between a city’s current or projected consumption-based emissions and the level required to align with climate targets, after accounting for the scale, timing and adoption limits of feasible transition strategies. The concept has three components. The first is a baseline consumption-based inventory: per-capita greenhouse gas emissions across all consumption domains, including upstream supply-chain emissions. The second is a target pathway: a carbon budget translated into annual per-capita targets for intermediate and end years. The third is a feasible scenario space: plausible combinations of behavioural change, infrastructure provision and technological improvement, with adoption dynamics reflecting realistic uptake. The gap is the residual between the lowest-emission feasible scenario and the target pathway. Unlike a hotspot analysis, the gap metric is normative. It asks not what a city’s footprint is, but whether what the city plans to do is sufficient.</w:t>
      </w:r>
    </w:p>
    <w:p>
      <w:pPr>
        <w:pStyle w:val="BodyText"/>
      </w:pPr>
      <w:r>
        <w:t xml:space="preserve">Each component builds on existing evidence. Around two-thirds of global greenhouse gas emissions are linked to household consumption (Ivanova et al., 2020). The global average is approximately 6 tonnes CO2e per capita. European household footprints average approximately 7.5 tonnes CO2e; North American footprints average 13.4 tonnes CO2e. Limiting warming to 1.5°C requires per-capita consumption-based emissions of approximately 2.8 tonnes CO2e by 2030 (IPCC, 2018; Ivanova et al., 2020). Sector allowances consistent with 1.5°C by 2050 total approximately 2.1 tonnes CO2e per capita (Girod et al., 2014, as cited in Ivanova et al., 2020). For high-income European cities, this implies a reduction from roughly 7 to roughly 2 tonnes CO2e per capita within three decades. That cannot be achieved incrementally within existing systems.</w:t>
      </w:r>
    </w:p>
    <w:p>
      <w:pPr>
        <w:pStyle w:val="BodyText"/>
      </w:pPr>
      <w:r>
        <w:t xml:space="preserve">The feasible scenario space is the least developed component in existing work and is where the urban consumption gap concept most directly extends prior literature. Ivanova et al. (2020) identified 61 consumption options with positive mitigation potential. The ten highest-potential options together yield an average annual mitigation potential of 9.2 tonnes CO2e per capita. Sufficient theoretical potential therefore exists within known consumption changes to reach 1.5°C-consistent levels. These potentials are not additive planning targets, however. Geography, methodology and energy mix explain 75% of within-option variance in housing mitigation potential and 48% in transport. Each high-potential option faces distinct forms of lock-in: infrastructural, institutional and behavioural. Technical potential is an upper bound, not a planning target. A city needs a model of realistic uptake under local conditions.</w:t>
      </w:r>
    </w:p>
    <w:p>
      <w:pPr>
        <w:pStyle w:val="BodyText"/>
      </w:pPr>
      <w:r>
        <w:t xml:space="preserve">This distinction between technical potential and achievable reduction is the conceptual core of the urban consumption gap. The gap is not fixed by the inventory. It depends on which measures are adopted, how quickly they diffuse and whether enabling conditions are in place. Creutzig et al. (2022) estimate that demand-side options can reduce sectoral emissions by 40 to 70% by 2050, but this potential depends on redesigning service-provision systems, not on individual motivation alone. The urban consumption gap operationalises this argument as a measurable city-level quantity, linking a specific city’s baseline to a specific target through locally applicable measures and realistic adoption rates. The gap is dynamic: it narrows as measures are adopted and diffuse, and widens if baseline trends outpace adoption.</w:t>
      </w:r>
    </w:p>
    <w:p>
      <w:pPr>
        <w:pStyle w:val="BodyText"/>
      </w:pPr>
      <w:r>
        <w:rPr>
          <w:bCs/>
          <w:b/>
        </w:rPr>
        <w:t xml:space="preserve">Figure 1.</w:t>
      </w:r>
      <w:r>
        <w:t xml:space="preserve"> </w:t>
      </w:r>
      <w:r>
        <w:t xml:space="preserve">Conceptual definition of the urban consumption gap. The figure shows the baseline consumption-based footprint, the target pathway derived from a per-capita carbon budget, and the feasible scenario space defined by combinations of behavioural, infrastructural and technological change. The residual area between the lowest-emission feasible pathway and the target pathway is the urban consumption gap.</w:t>
      </w:r>
    </w:p>
    <w:bookmarkEnd w:id="23"/>
    <w:bookmarkStart w:id="24" w:name="sufficiency-as-a-governance-criterion"/>
    <w:p>
      <w:pPr>
        <w:pStyle w:val="Heading2"/>
      </w:pPr>
      <w:r>
        <w:t xml:space="preserve">2.3 Sufficiency as a governance criterion</w:t>
      </w:r>
    </w:p>
    <w:p>
      <w:pPr>
        <w:pStyle w:val="FirstParagraph"/>
      </w:pPr>
      <w:r>
        <w:t xml:space="preserve">A central conceptual move in this article is from prioritisation to sufficiency. Prioritisation asks where action should begin. Sufficiency asks whether the combined portfolio can reach the target. The two questions are related but distinct, and they have different implications for governance.</w:t>
      </w:r>
    </w:p>
    <w:p>
      <w:pPr>
        <w:pStyle w:val="BodyText"/>
      </w:pPr>
      <w:r>
        <w:t xml:space="preserve">The sufficiency concept has gained explicit standing in the IPCC Sixth Assessment Report (AR6), which introduced a dedicated chapter on demand, services and social aspects of mitigation (Creutzig et al., 2022; IPCC, 2022). AR6 defines sufficiency as a set of measures and daily practices that avoid demand for energy, materials, land, water and other natural resources while delivering well-being for all within planetary boundaries. Sufficiency is positioned alongside efficiency and renewable energy as the third pillar of mitigation. For cities, this framing matters because consumption-based emissions cannot be reduced by efficiency and substitution alone when consumption volumes remain unchanged. Sufficiency-oriented measures (lower aviation demand, smaller dwellings, plant-rich diets, longer product lifetimes, reduced car ownership) operate on volume and choice architecture, not only on emission intensity per unit.</w:t>
      </w:r>
    </w:p>
    <w:p>
      <w:pPr>
        <w:pStyle w:val="BodyText"/>
      </w:pPr>
      <w:r>
        <w:t xml:space="preserve">A sufficiency test for urban climate strategies takes a stronger stance than a prioritisation analysis. It requires a stated target, an explicit time horizon, a defined intervention portfolio and a calculation of whether the portfolio is sufficient to meet the target under realistic adoption dynamics. The urban consumption gap operationalises that test at city scale. Hotspot analysis tells a city where to start; a sufficiency test tells the city whether it will finish.</w:t>
      </w:r>
    </w:p>
    <w:bookmarkEnd w:id="24"/>
    <w:bookmarkStart w:id="25" w:name="X8192016dfb50b6bb1086ef8c0db6f5c537a35e6"/>
    <w:p>
      <w:pPr>
        <w:pStyle w:val="Heading2"/>
      </w:pPr>
      <w:r>
        <w:t xml:space="preserve">2.4 Coordinated transitions: why lifestyle, infrastructure and technology must combine</w:t>
      </w:r>
    </w:p>
    <w:p>
      <w:pPr>
        <w:pStyle w:val="FirstParagraph"/>
      </w:pPr>
      <w:r>
        <w:t xml:space="preserve">Consumption emissions are not produced by individual choices alone. They emerge from sociotechnical systems: interlocked assemblages of technologies, infrastructures, markets, regulations, user practices and cultural conventions (Geels et al., 2017). These assemblages deliver everyday functions such as mobility, housing warmth, food provisioning and communication. They are stabilised by long-term investment, physical lock-in and institutional alignment. No single lever can overcome this stability. For cities with consumption-based targets, the implication is direct: behaviour change and technological improvement, deployed separately, cannot deliver the required scale of reduction. Closing the urban consumption gap requires coordinated transitions, in which lifestyle change, infrastructure provision and technological decarbonisation reinforce one another.</w:t>
      </w:r>
    </w:p>
    <w:p>
      <w:pPr>
        <w:pStyle w:val="BodyText"/>
      </w:pPr>
      <w:r>
        <w:t xml:space="preserve">The sociotechnical framing shows why coordination is analytically necessary, not merely administratively convenient. In car-dependent mobility, fossil-heated housing and meat-centred food systems, individual practices reflect what existing infrastructures make available, affordable and normal. Behaviour-change interventions within unchanged systems face structural headwinds. Even motivated individuals encounter constrained choice sets, and rebound effects can erode nominal gains (Geels et al., 2017; Newell et al., 2021). Technological improvements face the opposite risk: deployed into unchanged consumption patterns, efficiency gains can be absorbed by volume growth. Geels et al. (2017) argue that accelerated transitions require three reinforcing processes: building niche momentum, weakening high-carbon regimes and strengthening contextual pressures. These must align simultaneously, not sequentially. The multi-level perspective and transition management scholarship more broadly (Loorbach et al., 2017) emphasise that municipalities are well placed to operate as transition arenas because they govern several of these levels at once: spatial planning, service provision, procurement, public engagement and the politics of everyday infrastructure.</w:t>
      </w:r>
    </w:p>
    <w:p>
      <w:pPr>
        <w:pStyle w:val="BodyText"/>
      </w:pPr>
      <w:r>
        <w:t xml:space="preserve">The diffusion of new low-carbon practices and technologies through populations is a further reason that coordination cannot be left to voluntary individual action. The literature on diffusion of innovations (Rogers, 2003) and on technology adoption more generally (Grübler, 2012; Wilson et al., 2012) shows that adoption typically follows an S-curve shape, with a slow start, an acceleration phase and a saturation plateau. The rate of diffusion depends on the relative advantage of the new option, its compatibility with existing practices, its complexity, and trialability and observability conditions. For consumption shifts, these properties are shaped by infrastructures, prices, regulations and social norms. Logistic adoption dynamics are therefore a natural representation of how change unfolds, and they make the role of enabling conditions analytically visible. Infrastructure does not deliver emissions reductions directly; it changes the ceiling, the speed and the timing of adoption for behavioural and technological options.</w:t>
      </w:r>
    </w:p>
    <w:p>
      <w:pPr>
        <w:pStyle w:val="BodyText"/>
      </w:pPr>
      <w:r>
        <w:t xml:space="preserve">Coordination must also span the breadth of the consumption landscape. Sociotechnical lock-ins differ by domain. Car dependence is sustained by road infrastructure, spatial planning and social norms. High-meat diets are maintained by production systems, retail chains and cultural conventions. Housing energy use is shaped by building stock, tenure conditions and district energy systems. Each domain therefore requires a distinct combination of lifestyle change, enabling infrastructure and technological improvement. No single intervention type is sufficient across the full footprint.</w:t>
      </w:r>
    </w:p>
    <w:p>
      <w:pPr>
        <w:pStyle w:val="BodyText"/>
      </w:pPr>
      <w:r>
        <w:t xml:space="preserve">Scaling the behavioural component adds a further constraint. Newell et al. (2021) distinguish shallow scaling, which diffuses pro-environmental practices within existing structures, from deep scaling, which transforms those structures. Reductions compatible with 1.5°C require deep scaling: changing not only individual habits but also the institutional, infrastructural and political conditions that shape what is feasible and socially sanctioned. A strategy based on communicating lifestyle benefits or encouraging voluntary adoption remains shallow scaling and cannot close a gap of the magnitude that ambitious consumption-based targets imply.</w:t>
      </w:r>
    </w:p>
    <w:p>
      <w:pPr>
        <w:pStyle w:val="BodyText"/>
      </w:pPr>
      <w:r>
        <w:t xml:space="preserve">Coordination also has an inescapable justice dimension. The capacity to adopt lower-carbon practices is unevenly distributed across income, tenure, infrastructure access and social position (Newell et al., 2021; Patterson et al., 2018). A coordinated strategy that ignores this risks concentrating transition costs on lower-income households, which are often least able to switch to electric vehicles, renovate homes or access plant-rich diets without price support. Transition benefits flow more easily to households with greater economic and spatial flexibility. Coordination must therefore encompass technical complementarity and the deliberate alignment of transition opportunities with local social conditions.</w:t>
      </w:r>
    </w:p>
    <w:p>
      <w:pPr>
        <w:pStyle w:val="BodyText"/>
      </w:pPr>
      <w:r>
        <w:t xml:space="preserve">The operational scenario model used in this article aggregates emissions and reduction potentials to the city per-capita level. Distributional dynamics are central to the substantive politics of the gap, but the aggregate gap is a necessary starting point for distributional analysis rather than a substitute for it. Section 5.6 returns to this limit and outlines how the framework can be extended once distributional consumption data are available at sub-municipal scale.</w:t>
      </w:r>
    </w:p>
    <w:bookmarkEnd w:id="25"/>
    <w:bookmarkStart w:id="26" w:name="propositions"/>
    <w:p>
      <w:pPr>
        <w:pStyle w:val="Heading2"/>
      </w:pPr>
      <w:r>
        <w:t xml:space="preserve">2.5 Propositions</w:t>
      </w:r>
    </w:p>
    <w:p>
      <w:pPr>
        <w:pStyle w:val="FirstParagraph"/>
      </w:pPr>
      <w:r>
        <w:t xml:space="preserve">From the foregoing review, this article advances five propositions that the empirical analysis is designed to test or illustrate:</w:t>
      </w:r>
    </w:p>
    <w:p>
      <w:pPr>
        <w:pStyle w:val="BodyText"/>
      </w:pPr>
      <w:r>
        <w:rPr>
          <w:bCs/>
          <w:b/>
        </w:rPr>
        <w:t xml:space="preserve">P1.</w:t>
      </w:r>
      <w:r>
        <w:t xml:space="preserve"> </w:t>
      </w:r>
      <w:r>
        <w:t xml:space="preserve">Hotspot prioritisation is structurally insufficient for closing deep consumption-based gaps, because residual emissions outside the largest categories cumulate to substantial shares of the footprint.</w:t>
      </w:r>
    </w:p>
    <w:p>
      <w:pPr>
        <w:pStyle w:val="BodyText"/>
      </w:pPr>
      <w:r>
        <w:rPr>
          <w:bCs/>
          <w:b/>
        </w:rPr>
        <w:t xml:space="preserve">P2.</w:t>
      </w:r>
      <w:r>
        <w:t xml:space="preserve"> </w:t>
      </w:r>
      <w:r>
        <w:t xml:space="preserve">Lifestyle change alone, even at ambitious levels of demand reduction, cannot close a high-income city’s consumption-based gap to 1.5°C-aligned per-capita targets without simultaneous supply-side decarbonisation.</w:t>
      </w:r>
    </w:p>
    <w:p>
      <w:pPr>
        <w:pStyle w:val="BodyText"/>
      </w:pPr>
      <w:r>
        <w:rPr>
          <w:bCs/>
          <w:b/>
        </w:rPr>
        <w:t xml:space="preserve">P3.</w:t>
      </w:r>
      <w:r>
        <w:t xml:space="preserve"> </w:t>
      </w:r>
      <w:r>
        <w:t xml:space="preserve">Maximum adoption ceilings are more decisive than adoption timing for the long-term gap, because untreated residuals scale with the share of population, stock or practices that never adopt the low-carbon option.</w:t>
      </w:r>
    </w:p>
    <w:p>
      <w:pPr>
        <w:pStyle w:val="BodyText"/>
      </w:pPr>
      <w:r>
        <w:rPr>
          <w:bCs/>
          <w:b/>
        </w:rPr>
        <w:t xml:space="preserve">P4.</w:t>
      </w:r>
      <w:r>
        <w:t xml:space="preserve"> </w:t>
      </w:r>
      <w:r>
        <w:t xml:space="preserve">Deep urban decarbonisation through consumption requires intervention across near the entire consumption landscape, not only the high-emission categories. The closer the target gets to one tonne per capita, the more medium-sized categories become collectively decisive.</w:t>
      </w:r>
    </w:p>
    <w:p>
      <w:pPr>
        <w:pStyle w:val="BodyText"/>
      </w:pPr>
      <w:r>
        <w:rPr>
          <w:bCs/>
          <w:b/>
        </w:rPr>
        <w:t xml:space="preserve">P5.</w:t>
      </w:r>
      <w:r>
        <w:t xml:space="preserve"> </w:t>
      </w:r>
      <w:r>
        <w:t xml:space="preserve">City consumption-based targets imply a coordinator role for the municipality that extends beyond traditional territorial responsibilities, because adoption ceilings, infrastructure conditions and supply-chain emission factors must be aligned across multiple actors and levels of governance.</w:t>
      </w:r>
    </w:p>
    <w:bookmarkEnd w:id="26"/>
    <w:bookmarkStart w:id="27" w:name="Xeabaf49004d5c21f685568a2966d28fda54cdee"/>
    <w:p>
      <w:pPr>
        <w:pStyle w:val="Heading2"/>
      </w:pPr>
      <w:r>
        <w:t xml:space="preserve">2.6 From conceptual framework to empirical test</w:t>
      </w:r>
    </w:p>
    <w:p>
      <w:pPr>
        <w:pStyle w:val="FirstParagraph"/>
      </w:pPr>
      <w:r>
        <w:t xml:space="preserve">The Malmö case operationalises the urban consumption gap by combining a category-level consumption-based inventory, explicit target pathways and four scenario logics. The operationalisation tests the propositions above: the scale and distributional structure of the gap; the limits of hotspot-focused action; the limits of lifestyle-centred transition; whether coordinated action approaches target consistency; and the relative weight of adoption ceilings, adoption timing and technological assumptions. These are not only Malmö-specific questions. Any city with a consumption-based climate ambition must eventually answer them. The following section describes the methods used.</w:t>
      </w:r>
    </w:p>
    <w:bookmarkEnd w:id="27"/>
    <w:bookmarkEnd w:id="28"/>
    <w:bookmarkStart w:id="39" w:name="methods"/>
    <w:p>
      <w:pPr>
        <w:pStyle w:val="Heading1"/>
      </w:pPr>
      <w:r>
        <w:t xml:space="preserve">3. Methods</w:t>
      </w:r>
    </w:p>
    <w:p>
      <w:pPr>
        <w:pStyle w:val="FirstParagraph"/>
      </w:pPr>
      <w:r>
        <w:t xml:space="preserve">This study combines a co-produced urban case study with deterministic scenario modelling to examine whether city-level consumption-based climate targets can be translated into target-consistent transition pathways. The method has four main components: a category-level baseline footprint for household consumption in Malmö; a target pathway for 2030 and 2050; four scenarios representing different transition logics; and a year-by-year model that combines adoption dynamics with behavioural and technological reduction potentials. Section 3.10 explains why a deterministic stress-test design, rather than a probabilistic forecast, fits the analytical purpose of the framework.</w:t>
      </w:r>
    </w:p>
    <w:bookmarkStart w:id="29" w:name="case-study-and-co-production-process"/>
    <w:p>
      <w:pPr>
        <w:pStyle w:val="Heading2"/>
      </w:pPr>
      <w:r>
        <w:t xml:space="preserve">3.1 Case study and co-production process</w:t>
      </w:r>
    </w:p>
    <w:p>
      <w:pPr>
        <w:pStyle w:val="FirstParagraph"/>
      </w:pPr>
      <w:r>
        <w:t xml:space="preserve">Malmö, Sweden, serves as the empirical case. The city has adopted consumption-based climate ambitions and has access to category-level household consumption emissions data. The empirical material was developed through a collaboration between RISE Research Institutes of Sweden and Malmö Stad, conducted between August and December 2025. The work was organised around three phases: defining the baseline, developing and analysing scenarios, and identifying the gap between current emissions, reduction potentials and climate targets. Preliminary results, assumptions and interpretations were discussed in recurring meetings and workshops with municipal representatives working on climate-smart consumption, circular economy, mobility, energy, food and citizen engagement. The process also included discussions with the Stockholm Environment Institute to clarify the use and limitations of the Consumption Compass data source. For this article, the project material was re-analysed as a conceptual-methodological case. Malmö’s numerical results are treated as case-specific; the modelling framework is intended to be transferable.</w:t>
      </w:r>
    </w:p>
    <w:bookmarkEnd w:id="29"/>
    <w:bookmarkStart w:id="30" w:name="system-boundary-and-baseline-footprint"/>
    <w:p>
      <w:pPr>
        <w:pStyle w:val="Heading2"/>
      </w:pPr>
      <w:r>
        <w:t xml:space="preserve">3.2 System boundary and baseline footprint</w:t>
      </w:r>
    </w:p>
    <w:p>
      <w:pPr>
        <w:pStyle w:val="FirstParagraph"/>
      </w:pPr>
      <w:r>
        <w:t xml:space="preserve">The baseline represents annual household consumption-based greenhouse gas emissions for Malmö residents, expressed as kg CO2e per capita per year. The system boundary follows a consumption-based accounting logic: emissions are attributed to final household consumption regardless of where production occurs. The analysis includes private household consumption. Public-sector consumption and business expenditure are outside the model boundary, except insofar as they are embodied in goods and services purchased by households.</w:t>
      </w:r>
    </w:p>
    <w:p>
      <w:pPr>
        <w:pStyle w:val="BodyText"/>
      </w:pPr>
      <w:r>
        <w:t xml:space="preserve">The baseline was derived from category-level data exported from the Consumption Compass version 2.0 (Dawkins et al., 2024) and adapted to Malmö’s analytical categories. The Consumption Compass uses the Classification of Individual Consumption by Purpose (COICOP) as a basis for organising household consumption categories. The analytical dataset contains 111 category rows, of which 110 have positive baseline emissions. The positive-emission categories sum to 5,735 kg CO2e per capita per year (5.735 t CO2e). For interpretation and visualisation, the detailed categories were aggregated into seven consumption domains: food and drink; housing; local transport; flights; other consumption; leisure, sport and culture; and clothing and shoes. Category-level calculations were retained throughout the scenario model, while domain-level aggregation was used to communicate the structure of the baseline and the contribution of different domains to scenario reductions.</w:t>
      </w:r>
    </w:p>
    <w:bookmarkEnd w:id="30"/>
    <w:bookmarkStart w:id="31" w:name="Xbd5f79cc5b4b4f1fdf9f1e234c495a432cd0079"/>
    <w:p>
      <w:pPr>
        <w:pStyle w:val="Heading2"/>
      </w:pPr>
      <w:r>
        <w:t xml:space="preserve">3.3 Analytical dataset and computational workflow</w:t>
      </w:r>
    </w:p>
    <w:p>
      <w:pPr>
        <w:pStyle w:val="FirstParagraph"/>
      </w:pPr>
      <w:r>
        <w:t xml:space="preserve">The original Scenario Analyzer workbook was used as the source dataset for baseline emissions, category mappings and scenario assumptions. For the article, the required data were extracted into a cleaned analytical dataset and all calculations were implemented in Python. This workflow was chosen to make the analysis transparent, reproducible and easier to review than a spreadsheet-based implementation.</w:t>
      </w:r>
    </w:p>
    <w:p>
      <w:pPr>
        <w:pStyle w:val="BodyText"/>
      </w:pPr>
      <w:r>
        <w:t xml:space="preserve">The cleaned dataset includes category-level baseline emissions, scenario parameters by category, adoption parameters, behavioural and technological reduction potentials, combined reduction potentials, scenario results by year, category-level annual results, domain-level reduction contributions, sensitivity results and a Swedish-to-English translation dictionary. The Python implementation loads the cleaned input tables, applies the equations described below, validates key outputs against the source workbook, generates the manuscript figures and exports results for supplementary material. The notebook and cleaned data are intended to be provided in a public repository together with the original workbook.</w:t>
      </w:r>
    </w:p>
    <w:bookmarkEnd w:id="31"/>
    <w:bookmarkStart w:id="32" w:name="target-pathway-and-gap-metric"/>
    <w:p>
      <w:pPr>
        <w:pStyle w:val="Heading2"/>
      </w:pPr>
      <w:r>
        <w:t xml:space="preserve">3.4 Target pathway and gap metric</w:t>
      </w:r>
    </w:p>
    <w:p>
      <w:pPr>
        <w:pStyle w:val="FirstParagraph"/>
      </w:pPr>
      <w:r>
        <w:t xml:space="preserve">The target pathway was defined using Malmö’s consumption-based climate ambition: 3.1 t CO2e per capita per year in 2030 and 1.0 t CO2e per capita per year in 2050. For annual model comparison, target values between 2030 and 2050 were linearly interpolated. The 2030 target is treated as a milestone. Because the source material also refers to a 3.0 t CO2e per capita 2030 target, this alternative was included in the sensitivity analysis.</w:t>
      </w:r>
    </w:p>
    <w:p>
      <w:pPr>
        <w:pStyle w:val="BodyText"/>
      </w:pPr>
      <w:r>
        <w:t xml:space="preserve">For each scenario</w:t>
      </w:r>
      <w:r>
        <w:t xml:space="preserve"> </w:t>
      </w:r>
      <w:r>
        <w:rPr>
          <w:iCs/>
          <w:i/>
        </w:rPr>
        <w:t xml:space="preserve">s</w:t>
      </w:r>
      <w:r>
        <w:t xml:space="preserve"> </w:t>
      </w:r>
      <w:r>
        <w:t xml:space="preserve">and year</w:t>
      </w:r>
      <w:r>
        <w:t xml:space="preserve"> </w:t>
      </w:r>
      <w:r>
        <w:rPr>
          <w:iCs/>
          <w:i/>
        </w:rPr>
        <w:t xml:space="preserve">y</w:t>
      </w:r>
      <w:r>
        <w:t xml:space="preserve">, the urban consumption gap was calculated as:</w:t>
      </w:r>
    </w:p>
    <w:p>
      <w:pPr>
        <w:pStyle w:val="BodyText"/>
      </w:pPr>
      <w:r>
        <w:rPr>
          <w:iCs/>
          <w:i/>
        </w:rPr>
        <w:t xml:space="preserve">G</w:t>
      </w:r>
      <w:r>
        <w:rPr>
          <w:vertAlign w:val="subscript"/>
          <w:iCs/>
          <w:i/>
        </w:rPr>
        <w:t xml:space="preserve">s</w:t>
      </w:r>
      <w:r>
        <w:t xml:space="preserve">(</w:t>
      </w:r>
      <w:r>
        <w:rPr>
          <w:iCs/>
          <w:i/>
        </w:rPr>
        <w:t xml:space="preserve">y</w:t>
      </w:r>
      <w:r>
        <w:t xml:space="preserve">) =</w:t>
      </w:r>
      <w:r>
        <w:t xml:space="preserve"> </w:t>
      </w:r>
      <w:r>
        <w:rPr>
          <w:iCs/>
          <w:i/>
        </w:rPr>
        <w:t xml:space="preserve">E</w:t>
      </w:r>
      <w:r>
        <w:rPr>
          <w:vertAlign w:val="subscript"/>
          <w:iCs/>
          <w:i/>
        </w:rPr>
        <w:t xml:space="preserve">s</w:t>
      </w:r>
      <w:r>
        <w:t xml:space="preserve">(</w:t>
      </w:r>
      <w:r>
        <w:rPr>
          <w:iCs/>
          <w:i/>
        </w:rPr>
        <w:t xml:space="preserve">y</w:t>
      </w:r>
      <w:r>
        <w:t xml:space="preserve">) -</w:t>
      </w:r>
      <w:r>
        <w:t xml:space="preserve"> </w:t>
      </w:r>
      <w:r>
        <w:rPr>
          <w:iCs/>
          <w:i/>
        </w:rPr>
        <w:t xml:space="preserve">T</w:t>
      </w:r>
      <w:r>
        <w:t xml:space="preserve">(</w:t>
      </w:r>
      <w:r>
        <w:rPr>
          <w:iCs/>
          <w:i/>
        </w:rPr>
        <w:t xml:space="preserve">y</w:t>
      </w:r>
      <w:r>
        <w:t xml:space="preserve">) (1)</w:t>
      </w:r>
    </w:p>
    <w:p>
      <w:pPr>
        <w:pStyle w:val="BodyText"/>
      </w:pPr>
      <w:r>
        <w:t xml:space="preserve">where</w:t>
      </w:r>
      <w:r>
        <w:t xml:space="preserve"> </w:t>
      </w:r>
      <w:r>
        <w:rPr>
          <w:iCs/>
          <w:i/>
        </w:rPr>
        <w:t xml:space="preserve">G</w:t>
      </w:r>
      <w:r>
        <w:rPr>
          <w:vertAlign w:val="subscript"/>
          <w:iCs/>
          <w:i/>
        </w:rPr>
        <w:t xml:space="preserve">s</w:t>
      </w:r>
      <w:r>
        <w:t xml:space="preserve">(</w:t>
      </w:r>
      <w:r>
        <w:rPr>
          <w:iCs/>
          <w:i/>
        </w:rPr>
        <w:t xml:space="preserve">y</w:t>
      </w:r>
      <w:r>
        <w:t xml:space="preserve">) is the gap between modelled emissions and the target pathway,</w:t>
      </w:r>
      <w:r>
        <w:t xml:space="preserve"> </w:t>
      </w:r>
      <w:r>
        <w:rPr>
          <w:iCs/>
          <w:i/>
        </w:rPr>
        <w:t xml:space="preserve">E</w:t>
      </w:r>
      <w:r>
        <w:rPr>
          <w:vertAlign w:val="subscript"/>
          <w:iCs/>
          <w:i/>
        </w:rPr>
        <w:t xml:space="preserve">s</w:t>
      </w:r>
      <w:r>
        <w:t xml:space="preserve">(</w:t>
      </w:r>
      <w:r>
        <w:rPr>
          <w:iCs/>
          <w:i/>
        </w:rPr>
        <w:t xml:space="preserve">y</w:t>
      </w:r>
      <w:r>
        <w:t xml:space="preserve">) is scenario emissions in t CO2e per capita per year, and</w:t>
      </w:r>
      <w:r>
        <w:t xml:space="preserve"> </w:t>
      </w:r>
      <w:r>
        <w:rPr>
          <w:iCs/>
          <w:i/>
        </w:rPr>
        <w:t xml:space="preserve">T</w:t>
      </w:r>
      <w:r>
        <w:t xml:space="preserve">(</w:t>
      </w:r>
      <w:r>
        <w:rPr>
          <w:iCs/>
          <w:i/>
        </w:rPr>
        <w:t xml:space="preserve">y</w:t>
      </w:r>
      <w:r>
        <w:t xml:space="preserve">) is the target-compatible emissions level. A positive value indicates residual emissions above the target pathway.</w:t>
      </w:r>
    </w:p>
    <w:bookmarkEnd w:id="32"/>
    <w:bookmarkStart w:id="33" w:name="scenario-design"/>
    <w:p>
      <w:pPr>
        <w:pStyle w:val="Heading2"/>
      </w:pPr>
      <w:r>
        <w:t xml:space="preserve">3.5 Scenario design</w:t>
      </w:r>
    </w:p>
    <w:p>
      <w:pPr>
        <w:pStyle w:val="FirstParagraph"/>
      </w:pPr>
      <w:r>
        <w:t xml:space="preserve">Four scenarios were modelled to test different transition logics. The scenarios are structured comparisons of how different assumptions about category coverage, lifestyle change, infrastructure-enabled adoption and technological improvement affect the city’s ability to approach its target pathway. The scenarios should not be read as forecasts. They are stress tests of distinct strategic logics that a city might pursue.</w:t>
      </w:r>
    </w:p>
    <w:p>
      <w:pPr>
        <w:pStyle w:val="BodyText"/>
      </w:pPr>
      <w:r>
        <w:t xml:space="preserve">Scenario 1 represents limited change and functions as a static reference case. Scenario 2 tests a hotspot-focused strategy in which interventions are concentrated on a small number of major emission categories, mainly food, heating, local transport and flights. Scenario 3 tests a lifestyle-centred transition in which ambitious behavioural changes are applied across a broader set of consumption categories. Scenario 4 represents a coordinated, target-seeking transition pathway that combines broad category coverage, lifestyle change, enabling infrastructure, technological improvement, industrial decarbonisation and carbon capture and storage assumptions. The four scenarios therefore differ along three dimensions: which categories are addressed (coverage), how strongly behavioural and technological reductions are applied within each category (depth), and how widely and quickly each measure diffuses (adoption ceilings and speed).</w:t>
      </w:r>
    </w:p>
    <w:p>
      <w:pPr>
        <w:pStyle w:val="BodyText"/>
      </w:pPr>
      <w:r>
        <w:rPr>
          <w:bCs/>
          <w:b/>
        </w:rPr>
        <w:t xml:space="preserve">Table 1.</w:t>
      </w:r>
      <w:r>
        <w:t xml:space="preserve"> </w:t>
      </w:r>
      <w:r>
        <w:t xml:space="preserve">Scenario coverage of the consumption-based baseline. Baseline coverage is the share of total baseline emissions (5,735 kg CO2e per capita) accounted for by categories with active reduction measures in the scenario.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Transition logic</w:t>
            </w:r>
          </w:p>
        </w:tc>
        <w:tc>
          <w:tcPr/>
          <w:p>
            <w:pPr>
              <w:pStyle w:val="Compact"/>
              <w:jc w:val="left"/>
            </w:pPr>
            <w:r>
              <w:t xml:space="preserve">Active categories</w:t>
            </w:r>
          </w:p>
        </w:tc>
        <w:tc>
          <w:tcPr/>
          <w:p>
            <w:pPr>
              <w:pStyle w:val="Compact"/>
              <w:jc w:val="left"/>
            </w:pPr>
            <w:r>
              <w:t xml:space="preserve">Baseline coverage</w:t>
            </w:r>
          </w:p>
        </w:tc>
        <w:tc>
          <w:tcPr/>
          <w:p>
            <w:pPr>
              <w:pStyle w:val="Compact"/>
              <w:jc w:val="left"/>
            </w:pPr>
            <w:r>
              <w:t xml:space="preserve">Analytical purpose</w:t>
            </w:r>
          </w:p>
        </w:tc>
      </w:tr>
      <w:tr>
        <w:tc>
          <w:tcPr/>
          <w:p>
            <w:pPr>
              <w:pStyle w:val="Compact"/>
              <w:jc w:val="left"/>
            </w:pPr>
            <w:r>
              <w:t xml:space="preserve">Scenario 1</w:t>
            </w:r>
          </w:p>
        </w:tc>
        <w:tc>
          <w:tcPr/>
          <w:p>
            <w:pPr>
              <w:pStyle w:val="Compact"/>
              <w:jc w:val="left"/>
            </w:pPr>
            <w:r>
              <w:t xml:space="preserve">Limited change / static reference</w:t>
            </w:r>
          </w:p>
        </w:tc>
        <w:tc>
          <w:tcPr/>
          <w:p>
            <w:pPr>
              <w:pStyle w:val="Compact"/>
              <w:jc w:val="left"/>
            </w:pPr>
            <w:r>
              <w:t xml:space="preserve">25 parameterised; reductions set to zero</w:t>
            </w:r>
          </w:p>
        </w:tc>
        <w:tc>
          <w:tcPr/>
          <w:p>
            <w:pPr>
              <w:pStyle w:val="Compact"/>
              <w:jc w:val="left"/>
            </w:pPr>
            <w:r>
              <w:t xml:space="preserve">34.0% listed; 0% reduced</w:t>
            </w:r>
          </w:p>
        </w:tc>
        <w:tc>
          <w:tcPr/>
          <w:p>
            <w:pPr>
              <w:pStyle w:val="Compact"/>
              <w:jc w:val="left"/>
            </w:pPr>
            <w:r>
              <w:t xml:space="preserve">Effect of no meaningful transition</w:t>
            </w:r>
          </w:p>
        </w:tc>
      </w:tr>
      <w:tr>
        <w:tc>
          <w:tcPr/>
          <w:p>
            <w:pPr>
              <w:pStyle w:val="Compact"/>
              <w:jc w:val="left"/>
            </w:pPr>
            <w:r>
              <w:t xml:space="preserve">Scenario 2</w:t>
            </w:r>
          </w:p>
        </w:tc>
        <w:tc>
          <w:tcPr/>
          <w:p>
            <w:pPr>
              <w:pStyle w:val="Compact"/>
              <w:jc w:val="left"/>
            </w:pPr>
            <w:r>
              <w:t xml:space="preserve">Major-emission-category focus</w:t>
            </w:r>
          </w:p>
        </w:tc>
        <w:tc>
          <w:tcPr/>
          <w:p>
            <w:pPr>
              <w:pStyle w:val="Compact"/>
              <w:jc w:val="left"/>
            </w:pPr>
            <w:r>
              <w:t xml:space="preserve">9 active categories</w:t>
            </w:r>
          </w:p>
        </w:tc>
        <w:tc>
          <w:tcPr/>
          <w:p>
            <w:pPr>
              <w:pStyle w:val="Compact"/>
              <w:jc w:val="left"/>
            </w:pPr>
            <w:r>
              <w:t xml:space="preserve">45.0%</w:t>
            </w:r>
          </w:p>
        </w:tc>
        <w:tc>
          <w:tcPr/>
          <w:p>
            <w:pPr>
              <w:pStyle w:val="Compact"/>
              <w:jc w:val="left"/>
            </w:pPr>
            <w:r>
              <w:t xml:space="preserve">Whether hotspot-focused action is sufficient</w:t>
            </w:r>
          </w:p>
        </w:tc>
      </w:tr>
      <w:tr>
        <w:tc>
          <w:tcPr/>
          <w:p>
            <w:pPr>
              <w:pStyle w:val="Compact"/>
              <w:jc w:val="left"/>
            </w:pPr>
            <w:r>
              <w:t xml:space="preserve">Scenario 3</w:t>
            </w:r>
          </w:p>
        </w:tc>
        <w:tc>
          <w:tcPr/>
          <w:p>
            <w:pPr>
              <w:pStyle w:val="Compact"/>
              <w:jc w:val="left"/>
            </w:pPr>
            <w:r>
              <w:t xml:space="preserve">Lifestyle-centred transition</w:t>
            </w:r>
          </w:p>
        </w:tc>
        <w:tc>
          <w:tcPr/>
          <w:p>
            <w:pPr>
              <w:pStyle w:val="Compact"/>
              <w:jc w:val="left"/>
            </w:pPr>
            <w:r>
              <w:t xml:space="preserve">31 active categories</w:t>
            </w:r>
          </w:p>
        </w:tc>
        <w:tc>
          <w:tcPr/>
          <w:p>
            <w:pPr>
              <w:pStyle w:val="Compact"/>
              <w:jc w:val="left"/>
            </w:pPr>
            <w:r>
              <w:t xml:space="preserve">71.4%</w:t>
            </w:r>
          </w:p>
        </w:tc>
        <w:tc>
          <w:tcPr/>
          <w:p>
            <w:pPr>
              <w:pStyle w:val="Compact"/>
              <w:jc w:val="left"/>
            </w:pPr>
            <w:r>
              <w:t xml:space="preserve">How far lifestyle change can reduce the gap</w:t>
            </w:r>
          </w:p>
        </w:tc>
      </w:tr>
      <w:tr>
        <w:tc>
          <w:tcPr/>
          <w:p>
            <w:pPr>
              <w:pStyle w:val="Compact"/>
              <w:jc w:val="left"/>
            </w:pPr>
            <w:r>
              <w:t xml:space="preserve">Scenario 4</w:t>
            </w:r>
          </w:p>
        </w:tc>
        <w:tc>
          <w:tcPr/>
          <w:p>
            <w:pPr>
              <w:pStyle w:val="Compact"/>
              <w:jc w:val="left"/>
            </w:pPr>
            <w:r>
              <w:t xml:space="preserve">Coordinated transition</w:t>
            </w:r>
          </w:p>
        </w:tc>
        <w:tc>
          <w:tcPr/>
          <w:p>
            <w:pPr>
              <w:pStyle w:val="Compact"/>
              <w:jc w:val="left"/>
            </w:pPr>
            <w:r>
              <w:t xml:space="preserve">109 active categories</w:t>
            </w:r>
          </w:p>
        </w:tc>
        <w:tc>
          <w:tcPr/>
          <w:p>
            <w:pPr>
              <w:pStyle w:val="Compact"/>
              <w:jc w:val="left"/>
            </w:pPr>
            <w:r>
              <w:t xml:space="preserve">99.8%</w:t>
            </w:r>
          </w:p>
        </w:tc>
        <w:tc>
          <w:tcPr/>
          <w:p>
            <w:pPr>
              <w:pStyle w:val="Compact"/>
              <w:jc w:val="left"/>
            </w:pPr>
            <w:r>
              <w:t xml:space="preserve">Whether coordinated action approaches target consistency</w:t>
            </w:r>
          </w:p>
        </w:tc>
      </w:tr>
    </w:tbl>
    <w:bookmarkEnd w:id="33"/>
    <w:bookmarkStart w:id="34" w:name="adoption-dynamics"/>
    <w:p>
      <w:pPr>
        <w:pStyle w:val="Heading2"/>
      </w:pPr>
      <w:r>
        <w:t xml:space="preserve">3.6 Adoption dynamics</w:t>
      </w:r>
    </w:p>
    <w:p>
      <w:pPr>
        <w:pStyle w:val="FirstParagraph"/>
      </w:pPr>
      <w:r>
        <w:t xml:space="preserve">The model assumes that changes in household practices, infrastructure-enabled behaviours and technology diffuse gradually between 2026 and 2050. The logistic specification used here reflects the empirical regularity, documented across diffusion of innovations and technology adoption literature, that uptake of new options typically follows an S-shaped trajectory: a slow start, an acceleration phase and a saturation plateau (Grübler, 2012; Rogers, 2003; Wilson et al., 2012). For each consumption category</w:t>
      </w:r>
      <w:r>
        <w:t xml:space="preserve"> </w:t>
      </w:r>
      <w:r>
        <w:rPr>
          <w:iCs/>
          <w:i/>
        </w:rPr>
        <w:t xml:space="preserve">c</w:t>
      </w:r>
      <w:r>
        <w:t xml:space="preserve">, adoption in year</w:t>
      </w:r>
      <w:r>
        <w:t xml:space="preserve"> </w:t>
      </w:r>
      <w:r>
        <w:rPr>
          <w:iCs/>
          <w:i/>
        </w:rPr>
        <w:t xml:space="preserve">y</w:t>
      </w:r>
      <w:r>
        <w:t xml:space="preserve"> </w:t>
      </w:r>
      <w:r>
        <w:t xml:space="preserve">was modelled as:</w:t>
      </w:r>
    </w:p>
    <w:p>
      <w:pPr>
        <w:pStyle w:val="BodyText"/>
      </w:pPr>
      <w:r>
        <w:rPr>
          <w:iCs/>
          <w:i/>
        </w:rPr>
        <w:t xml:space="preserve">A</w:t>
      </w:r>
      <w:r>
        <w:rPr>
          <w:vertAlign w:val="subscript"/>
          <w:iCs/>
          <w:i/>
        </w:rPr>
        <w:t xml:space="preserve">c</w:t>
      </w:r>
      <w:r>
        <w:t xml:space="preserve">(</w:t>
      </w:r>
      <w:r>
        <w:rPr>
          <w:iCs/>
          <w:i/>
        </w:rPr>
        <w:t xml:space="preserve">y</w:t>
      </w:r>
      <w:r>
        <w:t xml:space="preserve">) =</w:t>
      </w:r>
      <w:r>
        <w:t xml:space="preserve"> </w:t>
      </w:r>
      <w:r>
        <w:rPr>
          <w:iCs/>
          <w:i/>
        </w:rPr>
        <w:t xml:space="preserve">L</w:t>
      </w:r>
      <w:r>
        <w:rPr>
          <w:vertAlign w:val="subscript"/>
          <w:iCs/>
          <w:i/>
        </w:rPr>
        <w:t xml:space="preserve">c</w:t>
      </w:r>
      <w:r>
        <w:t xml:space="preserve"> </w:t>
      </w:r>
      <w:r>
        <w:t xml:space="preserve">/ {1 + exp[-</w:t>
      </w:r>
      <w:r>
        <w:rPr>
          <w:iCs/>
          <w:i/>
        </w:rPr>
        <w:t xml:space="preserve">k</w:t>
      </w:r>
      <w:r>
        <w:rPr>
          <w:vertAlign w:val="subscript"/>
          <w:iCs/>
          <w:i/>
        </w:rPr>
        <w:t xml:space="preserve">c</w:t>
      </w:r>
      <w:r>
        <w:t xml:space="preserve">(</w:t>
      </w:r>
      <w:r>
        <w:rPr>
          <w:iCs/>
          <w:i/>
        </w:rPr>
        <w:t xml:space="preserve">y</w:t>
      </w:r>
      <w:r>
        <w:t xml:space="preserve"> </w:t>
      </w:r>
      <w:r>
        <w:t xml:space="preserve">-</w:t>
      </w:r>
      <w:r>
        <w:t xml:space="preserve"> </w:t>
      </w:r>
      <w:r>
        <w:rPr>
          <w:iCs/>
          <w:i/>
        </w:rPr>
        <w:t xml:space="preserve">t</w:t>
      </w:r>
      <w:r>
        <w:rPr>
          <w:vertAlign w:val="subscript"/>
          <w:iCs/>
          <w:i/>
        </w:rPr>
        <w:t xml:space="preserve">0,c</w:t>
      </w:r>
      <w:r>
        <w:t xml:space="preserve">)]} (2)</w:t>
      </w:r>
    </w:p>
    <w:p>
      <w:pPr>
        <w:pStyle w:val="BodyText"/>
      </w:pPr>
      <w:r>
        <w:t xml:space="preserve">where</w:t>
      </w:r>
      <w:r>
        <w:t xml:space="preserve"> </w:t>
      </w:r>
      <w:r>
        <w:rPr>
          <w:iCs/>
          <w:i/>
        </w:rPr>
        <w:t xml:space="preserve">A</w:t>
      </w:r>
      <w:r>
        <w:rPr>
          <w:vertAlign w:val="subscript"/>
          <w:iCs/>
          <w:i/>
        </w:rPr>
        <w:t xml:space="preserve">c</w:t>
      </w:r>
      <w:r>
        <w:t xml:space="preserve">(</w:t>
      </w:r>
      <w:r>
        <w:rPr>
          <w:iCs/>
          <w:i/>
        </w:rPr>
        <w:t xml:space="preserve">y</w:t>
      </w:r>
      <w:r>
        <w:t xml:space="preserve">) is the adoption fraction in category</w:t>
      </w:r>
      <w:r>
        <w:t xml:space="preserve"> </w:t>
      </w:r>
      <w:r>
        <w:rPr>
          <w:iCs/>
          <w:i/>
        </w:rPr>
        <w:t xml:space="preserve">c</w:t>
      </w:r>
      <w:r>
        <w:t xml:space="preserve"> </w:t>
      </w:r>
      <w:r>
        <w:t xml:space="preserve">and year</w:t>
      </w:r>
      <w:r>
        <w:t xml:space="preserve"> </w:t>
      </w:r>
      <w:r>
        <w:rPr>
          <w:iCs/>
          <w:i/>
        </w:rPr>
        <w:t xml:space="preserve">y</w:t>
      </w:r>
      <w:r>
        <w:t xml:space="preserve">,</w:t>
      </w:r>
      <w:r>
        <w:t xml:space="preserve"> </w:t>
      </w:r>
      <w:r>
        <w:rPr>
          <w:iCs/>
          <w:i/>
        </w:rPr>
        <w:t xml:space="preserve">L</w:t>
      </w:r>
      <w:r>
        <w:rPr>
          <w:vertAlign w:val="subscript"/>
          <w:iCs/>
          <w:i/>
        </w:rPr>
        <w:t xml:space="preserve">c</w:t>
      </w:r>
      <w:r>
        <w:t xml:space="preserve"> </w:t>
      </w:r>
      <w:r>
        <w:t xml:space="preserve">is the maximum adoption level,</w:t>
      </w:r>
      <w:r>
        <w:t xml:space="preserve"> </w:t>
      </w:r>
      <w:r>
        <w:rPr>
          <w:iCs/>
          <w:i/>
        </w:rPr>
        <w:t xml:space="preserve">k</w:t>
      </w:r>
      <w:r>
        <w:rPr>
          <w:vertAlign w:val="subscript"/>
          <w:iCs/>
          <w:i/>
        </w:rPr>
        <w:t xml:space="preserve">c</w:t>
      </w:r>
      <w:r>
        <w:t xml:space="preserve"> </w:t>
      </w:r>
      <w:r>
        <w:t xml:space="preserve">is the adoption speed and</w:t>
      </w:r>
      <w:r>
        <w:t xml:space="preserve"> </w:t>
      </w:r>
      <w:r>
        <w:rPr>
          <w:iCs/>
          <w:i/>
        </w:rPr>
        <w:t xml:space="preserve">t</w:t>
      </w:r>
      <w:r>
        <w:rPr>
          <w:vertAlign w:val="subscript"/>
          <w:iCs/>
          <w:i/>
        </w:rPr>
        <w:t xml:space="preserve">0,c</w:t>
      </w:r>
      <w:r>
        <w:t xml:space="preserve"> </w:t>
      </w:r>
      <w:r>
        <w:t xml:space="preserve">is the inflection year. The parameter</w:t>
      </w:r>
      <w:r>
        <w:t xml:space="preserve"> </w:t>
      </w:r>
      <w:r>
        <w:rPr>
          <w:iCs/>
          <w:i/>
        </w:rPr>
        <w:t xml:space="preserve">L</w:t>
      </w:r>
      <w:r>
        <w:rPr>
          <w:vertAlign w:val="subscript"/>
          <w:iCs/>
          <w:i/>
        </w:rPr>
        <w:t xml:space="preserve">c</w:t>
      </w:r>
      <w:r>
        <w:t xml:space="preserve"> </w:t>
      </w:r>
      <w:r>
        <w:t xml:space="preserve">represents the highest share of the relevant population, stock or consumption practice assumed to adopt the change. The parameter</w:t>
      </w:r>
      <w:r>
        <w:t xml:space="preserve"> </w:t>
      </w:r>
      <w:r>
        <w:rPr>
          <w:iCs/>
          <w:i/>
        </w:rPr>
        <w:t xml:space="preserve">k</w:t>
      </w:r>
      <w:r>
        <w:rPr>
          <w:vertAlign w:val="subscript"/>
          <w:iCs/>
          <w:i/>
        </w:rPr>
        <w:t xml:space="preserve">c</w:t>
      </w:r>
      <w:r>
        <w:t xml:space="preserve"> </w:t>
      </w:r>
      <w:r>
        <w:t xml:space="preserve">determines how quickly adoption increases once diffusion accelerates. The parameter</w:t>
      </w:r>
      <w:r>
        <w:t xml:space="preserve"> </w:t>
      </w:r>
      <w:r>
        <w:rPr>
          <w:iCs/>
          <w:i/>
        </w:rPr>
        <w:t xml:space="preserve">t</w:t>
      </w:r>
      <w:r>
        <w:rPr>
          <w:vertAlign w:val="subscript"/>
          <w:iCs/>
          <w:i/>
        </w:rPr>
        <w:t xml:space="preserve">0,c</w:t>
      </w:r>
      <w:r>
        <w:t xml:space="preserve"> </w:t>
      </w:r>
      <w:r>
        <w:t xml:space="preserve">represents the year of most rapid adoption growth.</w:t>
      </w:r>
    </w:p>
    <w:p>
      <w:pPr>
        <w:pStyle w:val="BodyText"/>
      </w:pPr>
      <w:r>
        <w:t xml:space="preserve">Infrastructure and structural enabling conditions were not modelled as a separate emissions-reduction factor. Instead, they were represented through the adoption parameters. In this interpretation, infrastructure affects whether and how quickly behavioural or technological reductions can be realised. For example, improved public transport, cycling infrastructure, shared mobility services, repair systems or food environments can increase the practical reach, speed or timing of lower-carbon practices. This modelling choice avoids adding infrastructure as an independent reduction lever while recognising its central role in enabling demand-side change. The conceptual significance is that infrastructure governance translates into adoption-curve parameters: spatial planning, public transport investment and procurement primarily raise</w:t>
      </w:r>
      <w:r>
        <w:t xml:space="preserve"> </w:t>
      </w:r>
      <w:r>
        <w:rPr>
          <w:iCs/>
          <w:i/>
        </w:rPr>
        <w:t xml:space="preserve">L</w:t>
      </w:r>
      <w:r>
        <w:rPr>
          <w:vertAlign w:val="subscript"/>
          <w:iCs/>
          <w:i/>
        </w:rPr>
        <w:t xml:space="preserve">c</w:t>
      </w:r>
      <w:r>
        <w:t xml:space="preserve">, while pricing signals, regulation and information primarily affect</w:t>
      </w:r>
      <w:r>
        <w:t xml:space="preserve"> </w:t>
      </w:r>
      <w:r>
        <w:rPr>
          <w:iCs/>
          <w:i/>
        </w:rPr>
        <w:t xml:space="preserve">k</w:t>
      </w:r>
      <w:r>
        <w:rPr>
          <w:vertAlign w:val="subscript"/>
          <w:iCs/>
          <w:i/>
        </w:rPr>
        <w:t xml:space="preserve">c</w:t>
      </w:r>
      <w:r>
        <w:t xml:space="preserve"> </w:t>
      </w:r>
      <w:r>
        <w:t xml:space="preserve">and</w:t>
      </w:r>
      <w:r>
        <w:t xml:space="preserve"> </w:t>
      </w:r>
      <w:r>
        <w:rPr>
          <w:iCs/>
          <w:i/>
        </w:rPr>
        <w:t xml:space="preserve">t</w:t>
      </w:r>
      <w:r>
        <w:rPr>
          <w:vertAlign w:val="subscript"/>
          <w:iCs/>
          <w:i/>
        </w:rPr>
        <w:t xml:space="preserve">0,c</w:t>
      </w:r>
      <w:r>
        <w:t xml:space="preserve">. Section 5.4 returns to this translation.</w:t>
      </w:r>
    </w:p>
    <w:bookmarkEnd w:id="34"/>
    <w:bookmarkStart w:id="35" w:name="Xe42098d49b70043cacf479548a6edc5f9eec1a4"/>
    <w:p>
      <w:pPr>
        <w:pStyle w:val="Heading2"/>
      </w:pPr>
      <w:r>
        <w:t xml:space="preserve">3.7 Behavioural and technological reduction potentials</w:t>
      </w:r>
    </w:p>
    <w:p>
      <w:pPr>
        <w:pStyle w:val="FirstParagraph"/>
      </w:pPr>
      <w:r>
        <w:t xml:space="preserve">Each active category in each scenario was assigned a behavioural reduction potential and a technological reduction potential. Behavioural reductions represent changes in demand, practices or consumption choices, such as reduced flying, lower meat consumption, reduced car ownership, increased repair and reuse, or lower purchase volumes. Technological reductions represent changes in production systems, energy systems, vehicle technologies, heating systems, efficiency improvements or other supply-side changes that reduce the emissions intensity of goods and services.</w:t>
      </w:r>
    </w:p>
    <w:p>
      <w:pPr>
        <w:pStyle w:val="BodyText"/>
      </w:pPr>
      <w:r>
        <w:t xml:space="preserve">To avoid double counting, behavioural and technological reduction potentials were combined multiplicatively rather than additively:</w:t>
      </w:r>
    </w:p>
    <w:p>
      <w:pPr>
        <w:pStyle w:val="BodyText"/>
      </w:pPr>
      <w:r>
        <w:rPr>
          <w:iCs/>
          <w:i/>
        </w:rPr>
        <w:t xml:space="preserve">R</w:t>
      </w:r>
      <w:r>
        <w:rPr>
          <w:vertAlign w:val="subscript"/>
          <w:iCs/>
          <w:i/>
        </w:rPr>
        <w:t xml:space="preserve">c</w:t>
      </w:r>
      <w:r>
        <w:t xml:space="preserve"> </w:t>
      </w:r>
      <w:r>
        <w:t xml:space="preserve">= 1 - (1 -</w:t>
      </w:r>
      <w:r>
        <w:t xml:space="preserve"> </w:t>
      </w:r>
      <w:r>
        <w:rPr>
          <w:iCs/>
          <w:i/>
        </w:rPr>
        <w:t xml:space="preserve">R</w:t>
      </w:r>
      <w:r>
        <w:rPr>
          <w:vertAlign w:val="subscript"/>
          <w:iCs/>
          <w:i/>
        </w:rPr>
        <w:t xml:space="preserve">c,tech</w:t>
      </w:r>
      <w:r>
        <w:t xml:space="preserve">)(1 -</w:t>
      </w:r>
      <w:r>
        <w:t xml:space="preserve"> </w:t>
      </w:r>
      <w:r>
        <w:rPr>
          <w:iCs/>
          <w:i/>
        </w:rPr>
        <w:t xml:space="preserve">R</w:t>
      </w:r>
      <w:r>
        <w:rPr>
          <w:vertAlign w:val="subscript"/>
          <w:iCs/>
          <w:i/>
        </w:rPr>
        <w:t xml:space="preserve">c,beh</w:t>
      </w:r>
      <w:r>
        <w:t xml:space="preserve">) (3)</w:t>
      </w:r>
    </w:p>
    <w:p>
      <w:pPr>
        <w:pStyle w:val="BodyText"/>
      </w:pPr>
      <w:r>
        <w:t xml:space="preserve">where</w:t>
      </w:r>
      <w:r>
        <w:t xml:space="preserve"> </w:t>
      </w:r>
      <w:r>
        <w:rPr>
          <w:iCs/>
          <w:i/>
        </w:rPr>
        <w:t xml:space="preserve">R</w:t>
      </w:r>
      <w:r>
        <w:rPr>
          <w:vertAlign w:val="subscript"/>
          <w:iCs/>
          <w:i/>
        </w:rPr>
        <w:t xml:space="preserve">c</w:t>
      </w:r>
      <w:r>
        <w:t xml:space="preserve"> </w:t>
      </w:r>
      <w:r>
        <w:t xml:space="preserve">is the combined maximum reduction potential for category</w:t>
      </w:r>
      <w:r>
        <w:t xml:space="preserve"> </w:t>
      </w:r>
      <w:r>
        <w:rPr>
          <w:iCs/>
          <w:i/>
        </w:rPr>
        <w:t xml:space="preserve">c</w:t>
      </w:r>
      <w:r>
        <w:t xml:space="preserve">,</w:t>
      </w:r>
      <w:r>
        <w:t xml:space="preserve"> </w:t>
      </w:r>
      <w:r>
        <w:rPr>
          <w:iCs/>
          <w:i/>
        </w:rPr>
        <w:t xml:space="preserve">R</w:t>
      </w:r>
      <w:r>
        <w:rPr>
          <w:vertAlign w:val="subscript"/>
          <w:iCs/>
          <w:i/>
        </w:rPr>
        <w:t xml:space="preserve">c,tech</w:t>
      </w:r>
      <w:r>
        <w:t xml:space="preserve"> </w:t>
      </w:r>
      <w:r>
        <w:t xml:space="preserve">is the technological potential and</w:t>
      </w:r>
      <w:r>
        <w:t xml:space="preserve"> </w:t>
      </w:r>
      <w:r>
        <w:rPr>
          <w:iCs/>
          <w:i/>
        </w:rPr>
        <w:t xml:space="preserve">R</w:t>
      </w:r>
      <w:r>
        <w:rPr>
          <w:vertAlign w:val="subscript"/>
          <w:iCs/>
          <w:i/>
        </w:rPr>
        <w:t xml:space="preserve">c,beh</w:t>
      </w:r>
      <w:r>
        <w:t xml:space="preserve"> </w:t>
      </w:r>
      <w:r>
        <w:t xml:space="preserve">is the behavioural potential. The multiplicative form is chosen not for mathematical convenience but because it reflects the sociotechnical reality that behavioural and technological changes act on the same baseline emissions pool. Adding the two potentials would imply that, for example, a 70% technological reduction and a 70% behavioural reduction yield a 140% reduction, which is logically impossible. Under the multiplicative form, the second reduction is applied to what remains after the first, so two 70% reductions combine to 91%, not 140%.</w:t>
      </w:r>
    </w:p>
    <w:p>
      <w:pPr>
        <w:pStyle w:val="BodyText"/>
      </w:pPr>
      <w:r>
        <w:t xml:space="preserve">The effective reduction fraction in category</w:t>
      </w:r>
      <w:r>
        <w:t xml:space="preserve"> </w:t>
      </w:r>
      <w:r>
        <w:rPr>
          <w:iCs/>
          <w:i/>
        </w:rPr>
        <w:t xml:space="preserve">c</w:t>
      </w:r>
      <w:r>
        <w:t xml:space="preserve"> </w:t>
      </w:r>
      <w:r>
        <w:t xml:space="preserve">and year</w:t>
      </w:r>
      <w:r>
        <w:t xml:space="preserve"> </w:t>
      </w:r>
      <w:r>
        <w:rPr>
          <w:iCs/>
          <w:i/>
        </w:rPr>
        <w:t xml:space="preserve">y</w:t>
      </w:r>
      <w:r>
        <w:t xml:space="preserve"> </w:t>
      </w:r>
      <w:r>
        <w:t xml:space="preserve">was then calculated as:</w:t>
      </w:r>
    </w:p>
    <w:p>
      <w:pPr>
        <w:pStyle w:val="BodyText"/>
      </w:pPr>
      <w:r>
        <w:rPr>
          <w:iCs/>
          <w:i/>
        </w:rPr>
        <w:t xml:space="preserve">r</w:t>
      </w:r>
      <w:r>
        <w:rPr>
          <w:vertAlign w:val="subscript"/>
          <w:iCs/>
          <w:i/>
        </w:rPr>
        <w:t xml:space="preserve">c</w:t>
      </w:r>
      <w:r>
        <w:t xml:space="preserve">(</w:t>
      </w:r>
      <w:r>
        <w:rPr>
          <w:iCs/>
          <w:i/>
        </w:rPr>
        <w:t xml:space="preserve">y</w:t>
      </w:r>
      <w:r>
        <w:t xml:space="preserve">) =</w:t>
      </w:r>
      <w:r>
        <w:t xml:space="preserve"> </w:t>
      </w:r>
      <w:r>
        <w:rPr>
          <w:iCs/>
          <w:i/>
        </w:rPr>
        <w:t xml:space="preserve">R</w:t>
      </w:r>
      <w:r>
        <w:rPr>
          <w:vertAlign w:val="subscript"/>
          <w:iCs/>
          <w:i/>
        </w:rPr>
        <w:t xml:space="preserve">c</w:t>
      </w:r>
      <w:r>
        <w:t xml:space="preserve"> </w:t>
      </w:r>
      <w:r>
        <w:t xml:space="preserve">·</w:t>
      </w:r>
      <w:r>
        <w:t xml:space="preserve"> </w:t>
      </w:r>
      <w:r>
        <w:rPr>
          <w:iCs/>
          <w:i/>
        </w:rPr>
        <w:t xml:space="preserve">A</w:t>
      </w:r>
      <w:r>
        <w:rPr>
          <w:vertAlign w:val="subscript"/>
          <w:iCs/>
          <w:i/>
        </w:rPr>
        <w:t xml:space="preserve">c</w:t>
      </w:r>
      <w:r>
        <w:t xml:space="preserve">(</w:t>
      </w:r>
      <w:r>
        <w:rPr>
          <w:iCs/>
          <w:i/>
        </w:rPr>
        <w:t xml:space="preserve">y</w:t>
      </w:r>
      <w:r>
        <w:t xml:space="preserve">) (4)</w:t>
      </w:r>
    </w:p>
    <w:p>
      <w:pPr>
        <w:pStyle w:val="BodyText"/>
      </w:pPr>
      <w:r>
        <w:t xml:space="preserve">Annual emissions in each category were calculated as:</w:t>
      </w:r>
    </w:p>
    <w:p>
      <w:pPr>
        <w:pStyle w:val="BodyText"/>
      </w:pPr>
      <w:r>
        <w:rPr>
          <w:iCs/>
          <w:i/>
        </w:rPr>
        <w:t xml:space="preserve">E</w:t>
      </w:r>
      <w:r>
        <w:rPr>
          <w:vertAlign w:val="subscript"/>
          <w:iCs/>
          <w:i/>
        </w:rPr>
        <w:t xml:space="preserve">c</w:t>
      </w:r>
      <w:r>
        <w:t xml:space="preserve">(</w:t>
      </w:r>
      <w:r>
        <w:rPr>
          <w:iCs/>
          <w:i/>
        </w:rPr>
        <w:t xml:space="preserve">y</w:t>
      </w:r>
      <w:r>
        <w:t xml:space="preserve">) =</w:t>
      </w:r>
      <w:r>
        <w:t xml:space="preserve"> </w:t>
      </w:r>
      <w:r>
        <w:rPr>
          <w:iCs/>
          <w:i/>
        </w:rPr>
        <w:t xml:space="preserve">E</w:t>
      </w:r>
      <w:r>
        <w:rPr>
          <w:vertAlign w:val="subscript"/>
          <w:iCs/>
          <w:i/>
        </w:rPr>
        <w:t xml:space="preserve">0,c</w:t>
      </w:r>
      <w:r>
        <w:t xml:space="preserve"> </w:t>
      </w:r>
      <w:r>
        <w:t xml:space="preserve">[1 -</w:t>
      </w:r>
      <w:r>
        <w:t xml:space="preserve"> </w:t>
      </w:r>
      <w:r>
        <w:rPr>
          <w:iCs/>
          <w:i/>
        </w:rPr>
        <w:t xml:space="preserve">r</w:t>
      </w:r>
      <w:r>
        <w:rPr>
          <w:vertAlign w:val="subscript"/>
          <w:iCs/>
          <w:i/>
        </w:rPr>
        <w:t xml:space="preserve">c</w:t>
      </w:r>
      <w:r>
        <w:t xml:space="preserve">(</w:t>
      </w:r>
      <w:r>
        <w:rPr>
          <w:iCs/>
          <w:i/>
        </w:rPr>
        <w:t xml:space="preserve">y</w:t>
      </w:r>
      <w:r>
        <w:t xml:space="preserve">)] (5)</w:t>
      </w:r>
    </w:p>
    <w:p>
      <w:pPr>
        <w:pStyle w:val="BodyText"/>
      </w:pPr>
      <w:r>
        <w:t xml:space="preserve">where</w:t>
      </w:r>
      <w:r>
        <w:t xml:space="preserve"> </w:t>
      </w:r>
      <w:r>
        <w:rPr>
          <w:iCs/>
          <w:i/>
        </w:rPr>
        <w:t xml:space="preserve">E</w:t>
      </w:r>
      <w:r>
        <w:rPr>
          <w:vertAlign w:val="subscript"/>
          <w:iCs/>
          <w:i/>
        </w:rPr>
        <w:t xml:space="preserve">0,c</w:t>
      </w:r>
      <w:r>
        <w:t xml:space="preserve"> </w:t>
      </w:r>
      <w:r>
        <w:t xml:space="preserve">is the baseline emissions level for category</w:t>
      </w:r>
      <w:r>
        <w:t xml:space="preserve"> </w:t>
      </w:r>
      <w:r>
        <w:rPr>
          <w:iCs/>
          <w:i/>
        </w:rPr>
        <w:t xml:space="preserve">c</w:t>
      </w:r>
      <w:r>
        <w:t xml:space="preserve">. Scenario-level emissions were calculated by summing annual emissions across all categories:</w:t>
      </w:r>
    </w:p>
    <w:p>
      <w:pPr>
        <w:pStyle w:val="BodyText"/>
      </w:pPr>
      <w:r>
        <w:rPr>
          <w:iCs/>
          <w:i/>
        </w:rPr>
        <w:t xml:space="preserve">E</w:t>
      </w:r>
      <w:r>
        <w:rPr>
          <w:vertAlign w:val="subscript"/>
          <w:iCs/>
          <w:i/>
        </w:rPr>
        <w:t xml:space="preserve">s</w:t>
      </w:r>
      <w:r>
        <w:t xml:space="preserve">(</w:t>
      </w:r>
      <w:r>
        <w:rPr>
          <w:iCs/>
          <w:i/>
        </w:rPr>
        <w:t xml:space="preserve">y</w:t>
      </w:r>
      <w:r>
        <w:t xml:space="preserve">) = Σ</w:t>
      </w:r>
      <w:r>
        <w:rPr>
          <w:vertAlign w:val="subscript"/>
        </w:rPr>
        <w:t xml:space="preserve">c</w:t>
      </w:r>
      <w:r>
        <w:t xml:space="preserve"> </w:t>
      </w:r>
      <w:r>
        <w:rPr>
          <w:iCs/>
          <w:i/>
        </w:rPr>
        <w:t xml:space="preserve">E</w:t>
      </w:r>
      <w:r>
        <w:rPr>
          <w:vertAlign w:val="subscript"/>
          <w:iCs/>
          <w:i/>
        </w:rPr>
        <w:t xml:space="preserve">c</w:t>
      </w:r>
      <w:r>
        <w:t xml:space="preserve">(</w:t>
      </w:r>
      <w:r>
        <w:rPr>
          <w:iCs/>
          <w:i/>
        </w:rPr>
        <w:t xml:space="preserve">y</w:t>
      </w:r>
      <w:r>
        <w:t xml:space="preserve">) (6)</w:t>
      </w:r>
    </w:p>
    <w:p>
      <w:pPr>
        <w:pStyle w:val="BodyText"/>
      </w:pPr>
      <w:r>
        <w:t xml:space="preserve">Categories without active measures retain their baseline emission level.</w:t>
      </w:r>
    </w:p>
    <w:p>
      <w:pPr>
        <w:pStyle w:val="BodyText"/>
      </w:pPr>
      <w:r>
        <w:t xml:space="preserve">To illustrate the category-level parameterisation, consider the category</w:t>
      </w:r>
      <w:r>
        <w:t xml:space="preserve"> </w:t>
      </w:r>
      <w:r>
        <w:t xml:space="preserve">“</w:t>
      </w:r>
      <w:r>
        <w:t xml:space="preserve">meat</w:t>
      </w:r>
      <w:r>
        <w:t xml:space="preserve">”</w:t>
      </w:r>
      <w:r>
        <w:t xml:space="preserve"> </w:t>
      </w:r>
      <w:r>
        <w:t xml:space="preserve">in Scenario 4. The baseline emission level is 289.9 kg CO2e per capita per year. The category is assigned a technological reduction potential of 70% and a behavioural reduction potential of 80%, which are combined multiplicatively into a maximum reduction potential of 94%: 1 - [(1 - 0.70)(1 - 0.80)]. Adoption is modelled with a maximum adoption level of</w:t>
      </w:r>
      <w:r>
        <w:t xml:space="preserve"> </w:t>
      </w:r>
      <w:r>
        <w:rPr>
          <w:iCs/>
          <w:i/>
        </w:rPr>
        <w:t xml:space="preserve">L</w:t>
      </w:r>
      <w:r>
        <w:t xml:space="preserve"> </w:t>
      </w:r>
      <w:r>
        <w:t xml:space="preserve">= 1.0, an adoption speed of</w:t>
      </w:r>
      <w:r>
        <w:t xml:space="preserve"> </w:t>
      </w:r>
      <w:r>
        <w:rPr>
          <w:iCs/>
          <w:i/>
        </w:rPr>
        <w:t xml:space="preserve">k</w:t>
      </w:r>
      <w:r>
        <w:t xml:space="preserve"> </w:t>
      </w:r>
      <w:r>
        <w:t xml:space="preserve">= 0.2 and an inflection year of</w:t>
      </w:r>
      <w:r>
        <w:t xml:space="preserve"> </w:t>
      </w:r>
      <w:r>
        <w:rPr>
          <w:iCs/>
          <w:i/>
        </w:rPr>
        <w:t xml:space="preserve">t</w:t>
      </w:r>
      <w:r>
        <w:rPr>
          <w:vertAlign w:val="subscript"/>
          <w:iCs/>
          <w:i/>
        </w:rPr>
        <w:t xml:space="preserve">0</w:t>
      </w:r>
      <w:r>
        <w:t xml:space="preserve"> </w:t>
      </w:r>
      <w:r>
        <w:t xml:space="preserve">= 2029. This gives an adoption fraction of approximately 0.55 in 2030 and 0.99 in 2050. The resulting effective reduction is therefore approximately 52% in 2030 and 93% in 2050, reducing category emissions from 289.9 kg CO2e per capita in the baseline to approximately 140 kg in 2030 and 21 kg in 2050.</w:t>
      </w:r>
    </w:p>
    <w:p>
      <w:pPr>
        <w:pStyle w:val="BodyText"/>
      </w:pPr>
      <w:r>
        <w:t xml:space="preserve">This formulation assumes independence between behavioural and technological reductions. In practice, some changes may be correlated. Dietary shifts may coincide with food-system technological change, electrification may coincide with reduced car ownership, and renovation may coincide with reduced dwelling area. The multiplicative structure provides a conservative combination that avoids additive overcounting; sensitivity to combination form is discussed in Section 3.9.</w:t>
      </w:r>
    </w:p>
    <w:bookmarkEnd w:id="35"/>
    <w:bookmarkStart w:id="36" w:name="parameter-sourcing-and-justification"/>
    <w:p>
      <w:pPr>
        <w:pStyle w:val="Heading2"/>
      </w:pPr>
      <w:r>
        <w:t xml:space="preserve">3.8 Parameter sourcing and justification</w:t>
      </w:r>
    </w:p>
    <w:p>
      <w:pPr>
        <w:pStyle w:val="FirstParagraph"/>
      </w:pPr>
      <w:r>
        <w:t xml:space="preserve">Parameter values for behavioural reduction potentials, technological reduction potentials and adoption dynamics were drawn from the project workbook, which in turn integrates evidence from demand-side mitigation reviews, technology assessments and Swedish municipal data. Behavioural potentials in food, transport and aviation were aligned with the ranges in Ivanova et al. (2020) and Creutzig et al. (2022). The reference value of 70% generic technological improvement in the coordinated scenario is consistent with deep-decarbonisation projections for European energy and product systems but is deliberately optimistic. Adoption ceilings for hard-to-change categories (flights, meat consumption, car ownership, dwelling area, clothing) were set below 1.0 to reflect persistent demand from sub-populations whose practices are not expected to shift fully within the modelling horizon. CCS assumptions for district heating were aligned with sectoral expectations rather than confirmed local plans. Complete parameter tables with category-level values and sources are reported in Supplementary Material A. The aim of the parameterisation is not to predict reductions but to specify internally consistent transition logics that can be examined for sufficiency.</w:t>
      </w:r>
    </w:p>
    <w:bookmarkEnd w:id="36"/>
    <w:bookmarkStart w:id="37" w:name="sensitivity-and-robustness-analysis"/>
    <w:p>
      <w:pPr>
        <w:pStyle w:val="Heading2"/>
      </w:pPr>
      <w:r>
        <w:t xml:space="preserve">3.9 Sensitivity and robustness analysis</w:t>
      </w:r>
    </w:p>
    <w:p>
      <w:pPr>
        <w:pStyle w:val="FirstParagraph"/>
      </w:pPr>
      <w:r>
        <w:t xml:space="preserve">A deterministic, one-at-a-time (OAT) sensitivity analysis was conducted on Scenario 4, the only scenario approaching the target levels. Adoption timing was tested by shifting inflection years by two and five years. Adoption speed was tested by varying the logistic growth parameter. Maximum adoption was tested by reducing adoption ceilings for hard-to-change categories, including flights, car ownership, meat and dairy, housing space, clothing and shopping-related consumption. Technological assumptions were tested by replacing the generic 70% improvement with 50% and 90% values. CCS assumptions for heating were tested using no-CCS, partial-CCS, delayed-CCS and full-CCS variants. Aviation and food-system assumptions were tested separately. The alternative 2030 target of 3.0 t CO2e per capita was also tested. The OAT design is well suited to identifying which assumptions individually determine whether the gap can be closed, rather than assigning probabilities to future pathways. Probabilistic uncertainty quantification through Monte Carlo or sampling-based methods is identified as future work (Section 5.7).</w:t>
      </w:r>
    </w:p>
    <w:bookmarkEnd w:id="37"/>
    <w:bookmarkStart w:id="38" w:name="interpretation-of-model-outputs"/>
    <w:p>
      <w:pPr>
        <w:pStyle w:val="Heading2"/>
      </w:pPr>
      <w:r>
        <w:t xml:space="preserve">3.10 Interpretation of model outputs</w:t>
      </w:r>
    </w:p>
    <w:p>
      <w:pPr>
        <w:pStyle w:val="FirstParagraph"/>
      </w:pPr>
      <w:r>
        <w:t xml:space="preserve">The model is a transparent scenario tool, not a prediction. Its purpose is to assess the scale and composition of change required to approach target consistency under different transition logics. The choice of a deterministic stress-test design is deliberate. It rests on three principles aligned with the framework’s intended users. First,</w:t>
      </w:r>
      <w:r>
        <w:t xml:space="preserve"> </w:t>
      </w:r>
      <w:r>
        <w:rPr>
          <w:iCs/>
          <w:i/>
        </w:rPr>
        <w:t xml:space="preserve">transparency</w:t>
      </w:r>
      <w:r>
        <w:t xml:space="preserve">: outputs are exact functions of inputs, which means that any stakeholder can trace how a result depends on assumptions, query specific parameters and revise them. This is harder to achieve when uncertainty is bundled into probabilistic distributions whose calibration is not always intuitive for non-modellers. Second,</w:t>
      </w:r>
      <w:r>
        <w:t xml:space="preserve"> </w:t>
      </w:r>
      <w:r>
        <w:rPr>
          <w:iCs/>
          <w:i/>
        </w:rPr>
        <w:t xml:space="preserve">usability for municipalities</w:t>
      </w:r>
      <w:r>
        <w:t xml:space="preserve">: city climate officers and political decision-makers need to be able to interrogate scenarios in workshops, adjust assumptions in response to local evidence and explain results to colleagues and elected officials. A deterministic, legible model meets this requirement better than a Monte Carlo design at the present stage of the framework’s development. Third,</w:t>
      </w:r>
      <w:r>
        <w:t xml:space="preserve"> </w:t>
      </w:r>
      <w:r>
        <w:rPr>
          <w:iCs/>
          <w:i/>
        </w:rPr>
        <w:t xml:space="preserve">replicability for other cities</w:t>
      </w:r>
      <w:r>
        <w:t xml:space="preserve">: the deterministic specification can be reproduced from the equations and parameter tables alone, lowering the threshold for cities, consultancies and researchers to apply the same logic elsewhere. Probabilistic uncertainty quantification through Monte Carlo or sampling-based methods is identified as a research-agenda direction (Section 5.8), to be pursued once the framework’s parameter distributions can be calibrated from local evidence in a way that does not undermine these three principles.</w:t>
      </w:r>
    </w:p>
    <w:p>
      <w:pPr>
        <w:pStyle w:val="BodyText"/>
      </w:pPr>
      <w:r>
        <w:t xml:space="preserve">Three further features follow from the same positioning. First, the model is deterministic in the sense just described: outputs are exact functions of inputs. Second, the central model uses a static baseline: category-level emissions are held constant unless changed by scenario assumptions. This simplifies interpretation but does not represent future changes in income, prices, consumption volumes or autonomous decarbonisation. Third, the framework is normative in the specific sense that it tests whether a portfolio of changes is</w:t>
      </w:r>
      <w:r>
        <w:t xml:space="preserve"> </w:t>
      </w:r>
      <w:r>
        <w:rPr>
          <w:iCs/>
          <w:i/>
        </w:rPr>
        <w:t xml:space="preserve">sufficient</w:t>
      </w:r>
      <w:r>
        <w:t xml:space="preserve"> </w:t>
      </w:r>
      <w:r>
        <w:t xml:space="preserve">against an externally given target. It is not a forecast of likely emissions, an optimisation of cost-effective measures or an integrated assessment of macroeconomic feedbacks. Scenario 4 in particular should be read as a target-seeking pathway whose deliberately ambitious assumptions are not interpretable as expected outcomes. These features and the limitations they create are discussed further in Section 5.8.</w:t>
      </w:r>
    </w:p>
    <w:bookmarkEnd w:id="38"/>
    <w:bookmarkEnd w:id="39"/>
    <w:bookmarkStart w:id="45" w:name="results"/>
    <w:p>
      <w:pPr>
        <w:pStyle w:val="Heading1"/>
      </w:pPr>
      <w:r>
        <w:t xml:space="preserve">4. Results</w:t>
      </w:r>
    </w:p>
    <w:bookmarkStart w:id="40" w:name="X5ab4f665e9e1bb4cf2acdd1d4ed8218fe152588"/>
    <w:p>
      <w:pPr>
        <w:pStyle w:val="Heading2"/>
      </w:pPr>
      <w:r>
        <w:t xml:space="preserve">4.1 Scale and structure of Malmö’s urban consumption gap</w:t>
      </w:r>
    </w:p>
    <w:p>
      <w:pPr>
        <w:pStyle w:val="FirstParagraph"/>
      </w:pPr>
      <w:r>
        <w:t xml:space="preserve">Malmö’s baseline consumption-based footprint was estimated at 5.735 t CO2e per capita per year. To align with the target pathway, this must fall to approximately 3.1 t CO2e per capita by 2030 and 1.0 t CO2e per capita by 2050. The resulting urban consumption gap is 2.635 t CO2e per capita in 2030 and 4.735 t CO2e per capita in 2050, equivalent to required reductions of approximately 46% and 83% from the baseline.</w:t>
      </w:r>
    </w:p>
    <w:p>
      <w:pPr>
        <w:pStyle w:val="BodyText"/>
      </w:pPr>
      <w:r>
        <w:t xml:space="preserve">The baseline footprint is distributed across several consumption domains rather than concentrated in a single dominant source. Food and drink account for 1.371 t CO2e per capita, followed by housing at 1.037 t, local transport at 0.911 t, other consumption at 0.910 t, flights at 0.850 t, leisure, sport and culture at 0.406 t, and clothing and shoes at 0.250 t. This distribution shows that the urban consumption gap cannot be interpreted only as a hotspot problem. Several large categories clearly matter, but medium-sized and smaller categories collectively account for a substantial share. Target-consistent reduction requires a broad transition portfolio. Malmö’s per-capita footprint of approximately 5.7 t CO2e is lower than the European household average of approximately 7.5 t (Ivanova et al., 2020), reflecting Sweden’s decarbonised electricity and district heating systems. The gap to the 1.0 t target is therefore not driven by an unusually large footprint but by the magnitude of reduction required from an already comparatively favourable starting point.</w:t>
      </w:r>
    </w:p>
    <w:p>
      <w:pPr>
        <w:pStyle w:val="BodyText"/>
      </w:pPr>
      <w:r>
        <w:rPr>
          <w:bCs/>
          <w:b/>
        </w:rPr>
        <w:t xml:space="preserve">Figure 2.</w:t>
      </w:r>
      <w:r>
        <w:t xml:space="preserve"> </w:t>
      </w:r>
      <w:r>
        <w:t xml:space="preserve">Malmö’s baseline consumption footprint by category and domain.</w:t>
      </w:r>
    </w:p>
    <w:bookmarkEnd w:id="40"/>
    <w:bookmarkStart w:id="41" w:name="X78f8ed431b821671cbcaac53ea6e45ebb21cd2c"/>
    <w:p>
      <w:pPr>
        <w:pStyle w:val="Heading2"/>
      </w:pPr>
      <w:r>
        <w:t xml:space="preserve">4.2 Emissions reductions under high-emission-category targeting</w:t>
      </w:r>
    </w:p>
    <w:p>
      <w:pPr>
        <w:pStyle w:val="FirstParagraph"/>
      </w:pPr>
      <w:r>
        <w:t xml:space="preserve">Scenario 2 concentrates action on nine categories covering approximately 45% of baseline emissions, mainly within food, heating, local transport and flights. It represents a strong version of a common mitigation strategy: prioritising the categories that contribute most visibly to the consumption footprint.</w:t>
      </w:r>
    </w:p>
    <w:p>
      <w:pPr>
        <w:pStyle w:val="BodyText"/>
      </w:pPr>
      <w:r>
        <w:t xml:space="preserve">Emissions fall from 5.735 t CO2e per capita to 5.252 t in 2030 and 4.097 t in 2050, a reduction of 0.483 t by 2030 and 1.638 t by 2050 (approximately 29% below the baseline by mid-century). The remaining gap is 2.152 t in 2030 and 3.097 t in 2050. By 2050, this pathway closes only about one third of the reduction needed to reach the 1.0 t target.</w:t>
      </w:r>
    </w:p>
    <w:p>
      <w:pPr>
        <w:pStyle w:val="BodyText"/>
      </w:pPr>
      <w:r>
        <w:t xml:space="preserve">The limitation is not that hotspot-focused action is ineffective. The scenario produces meaningful reductions in the categories it covers. The problem is that more than half of baseline emissions fall outside the active transition portfolio, and this uncovered share prevents the pathway from converging with the target. As shown in Figure 3, the targeted pathway bends downward but remains structurally disconnected from both the 2030 and 2050 targets. The result is consistent across hotspot-style scenarios: addressing nine large categories closes part of the gap, but the residual emissions in the other 100-plus categories accumulate to a substantial share of the footprint. In a consumption landscape where mid-sized categories collectively amount to roughly half of emissions, a hotspot strategy is not a sufficiency strategy.</w:t>
      </w:r>
    </w:p>
    <w:p>
      <w:pPr>
        <w:pStyle w:val="BodyText"/>
      </w:pPr>
      <w:r>
        <w:rPr>
          <w:bCs/>
          <w:b/>
        </w:rPr>
        <w:t xml:space="preserve">Figure 3.</w:t>
      </w:r>
      <w:r>
        <w:t xml:space="preserve"> </w:t>
      </w:r>
      <w:r>
        <w:t xml:space="preserve">Scenario pathways compared with Malmö’s 2030 and 2050 target pathway.</w:t>
      </w:r>
    </w:p>
    <w:bookmarkEnd w:id="41"/>
    <w:bookmarkStart w:id="42" w:name="X1cad4d774341d2e02734d7902b16c7dc3ad8554"/>
    <w:p>
      <w:pPr>
        <w:pStyle w:val="Heading2"/>
      </w:pPr>
      <w:r>
        <w:t xml:space="preserve">4.3 Emissions reductions under lifestyle-centred transition</w:t>
      </w:r>
    </w:p>
    <w:p>
      <w:pPr>
        <w:pStyle w:val="FirstParagraph"/>
      </w:pPr>
      <w:r>
        <w:t xml:space="preserve">Scenario 3 expands the intervention portfolio to 31 categories covering approximately 71% of baseline emissions. The scenario assumes ambitious changes in consumption practices across the categories identified as most problematic from a climate perspective, supported by political and infrastructural measures.</w:t>
      </w:r>
    </w:p>
    <w:p>
      <w:pPr>
        <w:pStyle w:val="BodyText"/>
      </w:pPr>
      <w:r>
        <w:t xml:space="preserve">Emissions fall to 4.370 t CO2e per capita in 2030 and 3.008 t in 2050. By mid-century, this corresponds to a reduction of 2.727 t (approximately 48% below the baseline). The remaining gap is 1.270 t in 2030 and 2.008 t in 2050. Even under ambitious lifestyle assumptions, residual emissions in housing, mobility, food systems, aviation and other domains remain too high to meet the target pathway. Lifestyle change is indispensable, but alone is not sufficient unless combined with wider technological improvement, enabling infrastructure and supply-side decarbonisation.</w:t>
      </w:r>
    </w:p>
    <w:p>
      <w:pPr>
        <w:pStyle w:val="BodyText"/>
      </w:pPr>
      <w:r>
        <w:t xml:space="preserve">The comparison between Scenarios 2 and 3 clarifies the difference between coverage and depth. Scenario 3 covers more categories and achieves deeper reductions, yet still leaves emissions roughly three times higher than the 2050 target. A city strategy framed primarily around household lifestyle change therefore risks underestimating the structural and technological conditions needed for target alignment. The lifestyle pathway also moves faster in early years (because behavioural reductions can in principle diffuse with less capital lock-in than technological replacements), but plateaus as adoption ceilings are approached. This is the timing asymmetry that van den Berg et al. (2024) identified at national scale: early voluntary change without structural support delivers a fast start and a long tail.</w:t>
      </w:r>
    </w:p>
    <w:bookmarkEnd w:id="42"/>
    <w:bookmarkStart w:id="43" w:name="X12762d28ab2f9f40ef03c3fb72894a56f34288c"/>
    <w:p>
      <w:pPr>
        <w:pStyle w:val="Heading2"/>
      </w:pPr>
      <w:r>
        <w:t xml:space="preserve">4.4 Emissions reductions under coordinated transition</w:t>
      </w:r>
    </w:p>
    <w:p>
      <w:pPr>
        <w:pStyle w:val="FirstParagraph"/>
      </w:pPr>
      <w:r>
        <w:t xml:space="preserve">Scenario 4 combines broad category coverage, ambitious lifestyle change, enabling infrastructure, technological improvement, industrial decarbonisation and CCS assumptions. It actively changes 109 categories and covers essentially the full baseline footprint. Emissions fall to 3.200 t CO2e per capita in 2030 and 1.060 t in 2050, leaving a residual gap of 0.100 t in 2030 and 0.060 t in 2050.</w:t>
      </w:r>
    </w:p>
    <w:p>
      <w:pPr>
        <w:pStyle w:val="BodyText"/>
      </w:pPr>
      <w:r>
        <w:t xml:space="preserve">Scenario 4 should be interpreted as a near target-compatible, target-seeking pathway rather than a forecast. It approaches target consistency only when reductions occur across almost the entire consumption landscape and when behavioural, infrastructural and technological changes reinforce each other. The near-success of Scenario 4 relative to Scenario 3 is explained by three interacting mechanisms. First, broader coverage: the share of the footprint subject to active reduction rises from 71% to 99.8%. Second, higher adoption ceilings (</w:t>
      </w:r>
      <w:r>
        <w:rPr>
          <w:iCs/>
          <w:i/>
        </w:rPr>
        <w:t xml:space="preserve">L</w:t>
      </w:r>
      <w:r>
        <w:t xml:space="preserve">) in hard-to-change categories, supported by infrastructure and policy assumptions that raise the share of population, stock and practices reached. Third, deeper supply-side decarbonisation through the 70% generic technological improvement assumption and CCS in district heating. Each of these three is necessary; none is sufficient on its own. The sensitivity analysis below shows that weakening any one of them moves the pathway substantially away from target consistency.</w:t>
      </w:r>
    </w:p>
    <w:p>
      <w:pPr>
        <w:pStyle w:val="BodyText"/>
      </w:pPr>
      <w:r>
        <w:t xml:space="preserve">Scenario 4 is therefore better understood not as an ambitious projection but as the</w:t>
      </w:r>
      <w:r>
        <w:t xml:space="preserve"> </w:t>
      </w:r>
      <w:r>
        <w:rPr>
          <w:iCs/>
          <w:i/>
        </w:rPr>
        <w:t xml:space="preserve">boundary of the possible</w:t>
      </w:r>
      <w:r>
        <w:t xml:space="preserve"> </w:t>
      </w:r>
      <w:r>
        <w:t xml:space="preserve">for Malmö under the assumptions stated. It defines the conditions under which a 1.0 t CO2e per capita target is mathematically and physically attainable through consumption-based action in this city. If these conditions are not met, the target is not reached.</w:t>
      </w:r>
    </w:p>
    <w:p>
      <w:pPr>
        <w:pStyle w:val="BodyText"/>
      </w:pPr>
      <w:r>
        <w:t xml:space="preserve">The domain-level results reinforce this point. The largest 2050 reductions come from food and drink at approximately 1.07 t CO2e per capita, followed by housing at 0.80 t, local transport at 0.79 t, flights at 0.79 t, other consumption at 0.68 t, leisure, sport and culture at 0.32 t, and clothing and shoes at 0.23 t. No single domain closes the gap. Target consistency depends on distributed contributions from both large and medium-sized domains.</w:t>
      </w:r>
    </w:p>
    <w:p>
      <w:pPr>
        <w:pStyle w:val="BodyText"/>
      </w:pPr>
      <w:r>
        <w:rPr>
          <w:bCs/>
          <w:b/>
        </w:rPr>
        <w:t xml:space="preserve">Figure 4.</w:t>
      </w:r>
      <w:r>
        <w:t xml:space="preserve"> </w:t>
      </w:r>
      <w:r>
        <w:t xml:space="preserve">Domain contributions to 2050 reductions in the coordinated transition scenario.</w:t>
      </w:r>
    </w:p>
    <w:bookmarkEnd w:id="43"/>
    <w:bookmarkStart w:id="44" w:name="Xf9f24c7c194a5231d3b6584ecdd10e36621a7dc"/>
    <w:p>
      <w:pPr>
        <w:pStyle w:val="Heading2"/>
      </w:pPr>
      <w:r>
        <w:t xml:space="preserve">4.5 Sensitivity of target consistency to key assumptions</w:t>
      </w:r>
    </w:p>
    <w:p>
      <w:pPr>
        <w:pStyle w:val="FirstParagraph"/>
      </w:pPr>
      <w:r>
        <w:t xml:space="preserve">The sensitivity analysis shows that Scenario 4’s near target-compatible result is conditional on several demanding assumptions. Table 2 summarises the most policy-relevant adverse sensitivity tests for Scenario 4. The central pathway reaches 1.060 t CO2e per capita in 2050, leaving a residual gap of 0.060 t relative to the 1.0 t target. The values should be interpreted as deterministic robustness tests of a target-seeking scenario, not as probabilistic confidence intervals. The full one-at-a-time sensitivity matrix is reported in Supplementary Material A Table A1.</w:t>
      </w:r>
    </w:p>
    <w:p>
      <w:pPr>
        <w:pStyle w:val="BodyText"/>
      </w:pPr>
      <w:r>
        <w:rPr>
          <w:bCs/>
          <w:b/>
        </w:rPr>
        <w:t xml:space="preserve">Table 2.</w:t>
      </w:r>
      <w:r>
        <w:t xml:space="preserve"> </w:t>
      </w:r>
      <w:r>
        <w:t xml:space="preserve">Main sensitivity tests for the coordinated transition pathway. Values show selected adverse one-at-a-time sensitivity tests around Scenario 4. The 2050 target is 1.0 t CO2e per capita. A positive gap indicates residual emissions above the target.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Parameter group</w:t>
            </w:r>
          </w:p>
        </w:tc>
        <w:tc>
          <w:tcPr/>
          <w:p>
            <w:pPr>
              <w:pStyle w:val="Compact"/>
              <w:jc w:val="left"/>
            </w:pPr>
            <w:r>
              <w:t xml:space="preserve">Sensitivity test</w:t>
            </w:r>
          </w:p>
        </w:tc>
        <w:tc>
          <w:tcPr/>
          <w:p>
            <w:pPr>
              <w:pStyle w:val="Compact"/>
              <w:jc w:val="left"/>
            </w:pPr>
            <w:r>
              <w:t xml:space="preserve">Direction of variation</w:t>
            </w:r>
          </w:p>
        </w:tc>
        <w:tc>
          <w:tcPr/>
          <w:p>
            <w:pPr>
              <w:pStyle w:val="Compact"/>
              <w:jc w:val="left"/>
            </w:pPr>
            <w:r>
              <w:t xml:space="preserve">2050 emissions (t CO2e/capita)</w:t>
            </w:r>
          </w:p>
        </w:tc>
        <w:tc>
          <w:tcPr/>
          <w:p>
            <w:pPr>
              <w:pStyle w:val="Compact"/>
              <w:jc w:val="left"/>
            </w:pPr>
            <w:r>
              <w:t xml:space="preserve">2050 gap vs target (t CO2e/capita)</w:t>
            </w:r>
          </w:p>
        </w:tc>
      </w:tr>
      <w:tr>
        <w:tc>
          <w:tcPr/>
          <w:p>
            <w:pPr>
              <w:pStyle w:val="Compact"/>
              <w:jc w:val="left"/>
            </w:pPr>
            <w:r>
              <w:t xml:space="preserve">Central pathway</w:t>
            </w:r>
          </w:p>
        </w:tc>
        <w:tc>
          <w:tcPr/>
          <w:p>
            <w:pPr>
              <w:pStyle w:val="Compact"/>
              <w:jc w:val="left"/>
            </w:pPr>
            <w:r>
              <w:t xml:space="preserve">Base Scenario 4</w:t>
            </w:r>
          </w:p>
        </w:tc>
        <w:tc>
          <w:tcPr/>
          <w:p>
            <w:pPr>
              <w:pStyle w:val="Compact"/>
              <w:jc w:val="left"/>
            </w:pPr>
            <w:r>
              <w:t xml:space="preserve">No variation</w:t>
            </w:r>
          </w:p>
        </w:tc>
        <w:tc>
          <w:tcPr/>
          <w:p>
            <w:pPr>
              <w:pStyle w:val="Compact"/>
              <w:jc w:val="left"/>
            </w:pPr>
            <w:r>
              <w:t xml:space="preserve">1.060</w:t>
            </w:r>
          </w:p>
        </w:tc>
        <w:tc>
          <w:tcPr/>
          <w:p>
            <w:pPr>
              <w:pStyle w:val="Compact"/>
              <w:jc w:val="left"/>
            </w:pPr>
            <w:r>
              <w:t xml:space="preserve">0.060</w:t>
            </w:r>
          </w:p>
        </w:tc>
      </w:tr>
      <w:tr>
        <w:tc>
          <w:tcPr/>
          <w:p>
            <w:pPr>
              <w:pStyle w:val="Compact"/>
              <w:jc w:val="left"/>
            </w:pPr>
            <w:r>
              <w:t xml:space="preserve">Maximum adoption</w:t>
            </w:r>
          </w:p>
        </w:tc>
        <w:tc>
          <w:tcPr/>
          <w:p>
            <w:pPr>
              <w:pStyle w:val="Compact"/>
              <w:jc w:val="left"/>
            </w:pPr>
            <w:r>
              <w:t xml:space="preserve">Hard-to-change maximum adoption reduced by 25%</w:t>
            </w:r>
          </w:p>
        </w:tc>
        <w:tc>
          <w:tcPr/>
          <w:p>
            <w:pPr>
              <w:pStyle w:val="Compact"/>
              <w:jc w:val="left"/>
            </w:pPr>
            <w:r>
              <w:t xml:space="preserve">Lower adoption ceiling</w:t>
            </w:r>
          </w:p>
        </w:tc>
        <w:tc>
          <w:tcPr/>
          <w:p>
            <w:pPr>
              <w:pStyle w:val="Compact"/>
              <w:jc w:val="left"/>
            </w:pPr>
            <w:r>
              <w:t xml:space="preserve">1.705</w:t>
            </w:r>
          </w:p>
        </w:tc>
        <w:tc>
          <w:tcPr/>
          <w:p>
            <w:pPr>
              <w:pStyle w:val="Compact"/>
              <w:jc w:val="left"/>
            </w:pPr>
            <w:r>
              <w:t xml:space="preserve">0.705</w:t>
            </w:r>
          </w:p>
        </w:tc>
      </w:tr>
      <w:tr>
        <w:tc>
          <w:tcPr/>
          <w:p>
            <w:pPr>
              <w:pStyle w:val="Compact"/>
              <w:jc w:val="left"/>
            </w:pPr>
            <w:r>
              <w:t xml:space="preserve">Maximum adoption</w:t>
            </w:r>
          </w:p>
        </w:tc>
        <w:tc>
          <w:tcPr/>
          <w:p>
            <w:pPr>
              <w:pStyle w:val="Compact"/>
              <w:jc w:val="left"/>
            </w:pPr>
            <w:r>
              <w:t xml:space="preserve">Hard-to-change maximum adoption reduced by 50%</w:t>
            </w:r>
          </w:p>
        </w:tc>
        <w:tc>
          <w:tcPr/>
          <w:p>
            <w:pPr>
              <w:pStyle w:val="Compact"/>
              <w:jc w:val="left"/>
            </w:pPr>
            <w:r>
              <w:t xml:space="preserve">Lower adoption ceiling</w:t>
            </w:r>
          </w:p>
        </w:tc>
        <w:tc>
          <w:tcPr/>
          <w:p>
            <w:pPr>
              <w:pStyle w:val="Compact"/>
              <w:jc w:val="left"/>
            </w:pPr>
            <w:r>
              <w:t xml:space="preserve">2.349</w:t>
            </w:r>
          </w:p>
        </w:tc>
        <w:tc>
          <w:tcPr/>
          <w:p>
            <w:pPr>
              <w:pStyle w:val="Compact"/>
              <w:jc w:val="left"/>
            </w:pPr>
            <w:r>
              <w:t xml:space="preserve">1.349</w:t>
            </w:r>
          </w:p>
        </w:tc>
      </w:tr>
      <w:tr>
        <w:tc>
          <w:tcPr/>
          <w:p>
            <w:pPr>
              <w:pStyle w:val="Compact"/>
              <w:jc w:val="left"/>
            </w:pPr>
            <w:r>
              <w:t xml:space="preserve">Technology</w:t>
            </w:r>
          </w:p>
        </w:tc>
        <w:tc>
          <w:tcPr/>
          <w:p>
            <w:pPr>
              <w:pStyle w:val="Compact"/>
              <w:jc w:val="left"/>
            </w:pPr>
            <w:r>
              <w:t xml:space="preserve">Generic 70% technology reduction reduced to 50%</w:t>
            </w:r>
          </w:p>
        </w:tc>
        <w:tc>
          <w:tcPr/>
          <w:p>
            <w:pPr>
              <w:pStyle w:val="Compact"/>
              <w:jc w:val="left"/>
            </w:pPr>
            <w:r>
              <w:t xml:space="preserve">Weaker supply-side improvement</w:t>
            </w:r>
          </w:p>
        </w:tc>
        <w:tc>
          <w:tcPr/>
          <w:p>
            <w:pPr>
              <w:pStyle w:val="Compact"/>
              <w:jc w:val="left"/>
            </w:pPr>
            <w:r>
              <w:t xml:space="preserve">1.593</w:t>
            </w:r>
          </w:p>
        </w:tc>
        <w:tc>
          <w:tcPr/>
          <w:p>
            <w:pPr>
              <w:pStyle w:val="Compact"/>
              <w:jc w:val="left"/>
            </w:pPr>
            <w:r>
              <w:t xml:space="preserve">0.593</w:t>
            </w:r>
          </w:p>
        </w:tc>
      </w:tr>
      <w:tr>
        <w:tc>
          <w:tcPr/>
          <w:p>
            <w:pPr>
              <w:pStyle w:val="Compact"/>
              <w:jc w:val="left"/>
            </w:pPr>
            <w:r>
              <w:t xml:space="preserve">CCS</w:t>
            </w:r>
          </w:p>
        </w:tc>
        <w:tc>
          <w:tcPr/>
          <w:p>
            <w:pPr>
              <w:pStyle w:val="Compact"/>
              <w:jc w:val="left"/>
            </w:pPr>
            <w:r>
              <w:t xml:space="preserve">No CCS in heating</w:t>
            </w:r>
          </w:p>
        </w:tc>
        <w:tc>
          <w:tcPr/>
          <w:p>
            <w:pPr>
              <w:pStyle w:val="Compact"/>
              <w:jc w:val="left"/>
            </w:pPr>
            <w:r>
              <w:t xml:space="preserve">CCS removed</w:t>
            </w:r>
          </w:p>
        </w:tc>
        <w:tc>
          <w:tcPr/>
          <w:p>
            <w:pPr>
              <w:pStyle w:val="Compact"/>
              <w:jc w:val="left"/>
            </w:pPr>
            <w:r>
              <w:t xml:space="preserve">1.541</w:t>
            </w:r>
          </w:p>
        </w:tc>
        <w:tc>
          <w:tcPr/>
          <w:p>
            <w:pPr>
              <w:pStyle w:val="Compact"/>
              <w:jc w:val="left"/>
            </w:pPr>
            <w:r>
              <w:t xml:space="preserve">0.541</w:t>
            </w:r>
          </w:p>
        </w:tc>
      </w:tr>
      <w:tr>
        <w:tc>
          <w:tcPr/>
          <w:p>
            <w:pPr>
              <w:pStyle w:val="Compact"/>
              <w:jc w:val="left"/>
            </w:pPr>
            <w:r>
              <w:t xml:space="preserve">Adoption speed</w:t>
            </w:r>
          </w:p>
        </w:tc>
        <w:tc>
          <w:tcPr/>
          <w:p>
            <w:pPr>
              <w:pStyle w:val="Compact"/>
              <w:jc w:val="left"/>
            </w:pPr>
            <w:r>
              <w:t xml:space="preserve">Slow adoption speed</w:t>
            </w:r>
          </w:p>
        </w:tc>
        <w:tc>
          <w:tcPr/>
          <w:p>
            <w:pPr>
              <w:pStyle w:val="Compact"/>
              <w:jc w:val="left"/>
            </w:pPr>
            <w:r>
              <w:t xml:space="preserve">k = 0.1</w:t>
            </w:r>
          </w:p>
        </w:tc>
        <w:tc>
          <w:tcPr/>
          <w:p>
            <w:pPr>
              <w:pStyle w:val="Compact"/>
              <w:jc w:val="left"/>
            </w:pPr>
            <w:r>
              <w:t xml:space="preserve">1.480</w:t>
            </w:r>
          </w:p>
        </w:tc>
        <w:tc>
          <w:tcPr/>
          <w:p>
            <w:pPr>
              <w:pStyle w:val="Compact"/>
              <w:jc w:val="left"/>
            </w:pPr>
            <w:r>
              <w:t xml:space="preserve">0.480</w:t>
            </w:r>
          </w:p>
        </w:tc>
      </w:tr>
      <w:tr>
        <w:tc>
          <w:tcPr/>
          <w:p>
            <w:pPr>
              <w:pStyle w:val="Compact"/>
              <w:jc w:val="left"/>
            </w:pPr>
            <w:r>
              <w:t xml:space="preserve">CCS</w:t>
            </w:r>
          </w:p>
        </w:tc>
        <w:tc>
          <w:tcPr/>
          <w:p>
            <w:pPr>
              <w:pStyle w:val="Compact"/>
              <w:jc w:val="left"/>
            </w:pPr>
            <w:r>
              <w:t xml:space="preserve">Partial CCS in heating</w:t>
            </w:r>
          </w:p>
        </w:tc>
        <w:tc>
          <w:tcPr/>
          <w:p>
            <w:pPr>
              <w:pStyle w:val="Compact"/>
              <w:jc w:val="left"/>
            </w:pPr>
            <w:r>
              <w:t xml:space="preserve">CCS reduced</w:t>
            </w:r>
          </w:p>
        </w:tc>
        <w:tc>
          <w:tcPr/>
          <w:p>
            <w:pPr>
              <w:pStyle w:val="Compact"/>
              <w:jc w:val="left"/>
            </w:pPr>
            <w:r>
              <w:t xml:space="preserve">1.299</w:t>
            </w:r>
          </w:p>
        </w:tc>
        <w:tc>
          <w:tcPr/>
          <w:p>
            <w:pPr>
              <w:pStyle w:val="Compact"/>
              <w:jc w:val="left"/>
            </w:pPr>
            <w:r>
              <w:t xml:space="preserve">0.299</w:t>
            </w:r>
          </w:p>
        </w:tc>
      </w:tr>
      <w:tr>
        <w:tc>
          <w:tcPr/>
          <w:p>
            <w:pPr>
              <w:pStyle w:val="Compact"/>
              <w:jc w:val="left"/>
            </w:pPr>
            <w:r>
              <w:t xml:space="preserve">Food</w:t>
            </w:r>
          </w:p>
        </w:tc>
        <w:tc>
          <w:tcPr/>
          <w:p>
            <w:pPr>
              <w:pStyle w:val="Compact"/>
              <w:jc w:val="left"/>
            </w:pPr>
            <w:r>
              <w:t xml:space="preserve">Weaker food-system assumptions</w:t>
            </w:r>
          </w:p>
        </w:tc>
        <w:tc>
          <w:tcPr/>
          <w:p>
            <w:pPr>
              <w:pStyle w:val="Compact"/>
              <w:jc w:val="left"/>
            </w:pPr>
            <w:r>
              <w:t xml:space="preserve">Weaker food reduction assumptions</w:t>
            </w:r>
          </w:p>
        </w:tc>
        <w:tc>
          <w:tcPr/>
          <w:p>
            <w:pPr>
              <w:pStyle w:val="Compact"/>
              <w:jc w:val="left"/>
            </w:pPr>
            <w:r>
              <w:t xml:space="preserve">1.291</w:t>
            </w:r>
          </w:p>
        </w:tc>
        <w:tc>
          <w:tcPr/>
          <w:p>
            <w:pPr>
              <w:pStyle w:val="Compact"/>
              <w:jc w:val="left"/>
            </w:pPr>
            <w:r>
              <w:t xml:space="preserve">0.291</w:t>
            </w:r>
          </w:p>
        </w:tc>
      </w:tr>
      <w:tr>
        <w:tc>
          <w:tcPr/>
          <w:p>
            <w:pPr>
              <w:pStyle w:val="Compact"/>
              <w:jc w:val="left"/>
            </w:pPr>
            <w:r>
              <w:t xml:space="preserve">Aviation</w:t>
            </w:r>
          </w:p>
        </w:tc>
        <w:tc>
          <w:tcPr/>
          <w:p>
            <w:pPr>
              <w:pStyle w:val="Compact"/>
              <w:jc w:val="left"/>
            </w:pPr>
            <w:r>
              <w:t xml:space="preserve">Lower aviation demand and technology improvement</w:t>
            </w:r>
          </w:p>
        </w:tc>
        <w:tc>
          <w:tcPr/>
          <w:p>
            <w:pPr>
              <w:pStyle w:val="Compact"/>
              <w:jc w:val="left"/>
            </w:pPr>
            <w:r>
              <w:t xml:space="preserve">Weaker aviation assumptions</w:t>
            </w:r>
          </w:p>
        </w:tc>
        <w:tc>
          <w:tcPr/>
          <w:p>
            <w:pPr>
              <w:pStyle w:val="Compact"/>
              <w:jc w:val="left"/>
            </w:pPr>
            <w:r>
              <w:t xml:space="preserve">1.209</w:t>
            </w:r>
          </w:p>
        </w:tc>
        <w:tc>
          <w:tcPr/>
          <w:p>
            <w:pPr>
              <w:pStyle w:val="Compact"/>
              <w:jc w:val="left"/>
            </w:pPr>
            <w:r>
              <w:t xml:space="preserve">0.209</w:t>
            </w:r>
          </w:p>
        </w:tc>
      </w:tr>
      <w:tr>
        <w:tc>
          <w:tcPr/>
          <w:p>
            <w:pPr>
              <w:pStyle w:val="Compact"/>
              <w:jc w:val="left"/>
            </w:pPr>
            <w:r>
              <w:t xml:space="preserve">Adoption timing</w:t>
            </w:r>
          </w:p>
        </w:tc>
        <w:tc>
          <w:tcPr/>
          <w:p>
            <w:pPr>
              <w:pStyle w:val="Compact"/>
              <w:jc w:val="left"/>
            </w:pPr>
            <w:r>
              <w:t xml:space="preserve">All adoption 5 years later</w:t>
            </w:r>
          </w:p>
        </w:tc>
        <w:tc>
          <w:tcPr/>
          <w:p>
            <w:pPr>
              <w:pStyle w:val="Compact"/>
              <w:jc w:val="left"/>
            </w:pPr>
            <w:r>
              <w:t xml:space="preserve">Later diffusion</w:t>
            </w:r>
          </w:p>
        </w:tc>
        <w:tc>
          <w:tcPr/>
          <w:p>
            <w:pPr>
              <w:pStyle w:val="Compact"/>
              <w:jc w:val="left"/>
            </w:pPr>
            <w:r>
              <w:t xml:space="preserve">1.146</w:t>
            </w:r>
          </w:p>
        </w:tc>
        <w:tc>
          <w:tcPr/>
          <w:p>
            <w:pPr>
              <w:pStyle w:val="Compact"/>
              <w:jc w:val="left"/>
            </w:pPr>
            <w:r>
              <w:t xml:space="preserve">0.146</w:t>
            </w:r>
          </w:p>
        </w:tc>
      </w:tr>
    </w:tbl>
    <w:p>
      <w:pPr>
        <w:pStyle w:val="BodyText"/>
      </w:pPr>
      <w:r>
        <w:t xml:space="preserve">The largest deviations occur when maximum adoption is reduced for hard-to-change categories and when the generic technology improvement assumption is weakened. Reducing maximum adoption by 25% raises 2050 emissions to 1.705 t CO2e per capita, while a 50% reduction raises them to 2.349 t. Reducing the generic technology improvement assumption from 70% to 50% raises 2050 emissions to 1.593 t. Removing CCS in heating raises emissions to 1.541 t, and slowing adoption to</w:t>
      </w:r>
      <w:r>
        <w:t xml:space="preserve"> </w:t>
      </w:r>
      <w:r>
        <w:rPr>
          <w:iCs/>
          <w:i/>
        </w:rPr>
        <w:t xml:space="preserve">k</w:t>
      </w:r>
      <w:r>
        <w:t xml:space="preserve"> </w:t>
      </w:r>
      <w:r>
        <w:t xml:space="preserve">= 0.1 raises emissions to 1.480 t.</w:t>
      </w:r>
    </w:p>
    <w:p>
      <w:pPr>
        <w:pStyle w:val="BodyText"/>
      </w:pPr>
      <w:r>
        <w:t xml:space="preserve">Two structural patterns emerge from these results. First, maximum adoption (the parameter</w:t>
      </w:r>
      <w:r>
        <w:t xml:space="preserve"> </w:t>
      </w:r>
      <w:r>
        <w:rPr>
          <w:iCs/>
          <w:i/>
        </w:rPr>
        <w:t xml:space="preserve">L</w:t>
      </w:r>
      <w:r>
        <w:t xml:space="preserve"> </w:t>
      </w:r>
      <w:r>
        <w:t xml:space="preserve">in equation 2) is more decisive for the long-term gap than adoption speed (</w:t>
      </w:r>
      <w:r>
        <w:rPr>
          <w:iCs/>
          <w:i/>
        </w:rPr>
        <w:t xml:space="preserve">k</w:t>
      </w:r>
      <w:r>
        <w:t xml:space="preserve">) or timing (</w:t>
      </w:r>
      <w:r>
        <w:rPr>
          <w:iCs/>
          <w:i/>
        </w:rPr>
        <w:t xml:space="preserve">t</w:t>
      </w:r>
      <w:r>
        <w:rPr>
          <w:vertAlign w:val="subscript"/>
          <w:iCs/>
          <w:i/>
        </w:rPr>
        <w:t xml:space="preserve">0</w:t>
      </w:r>
      <w:r>
        <w:t xml:space="preserve">). The asymmetry is intuitive: untreated residuals in hard-to-change categories scale directly with the share of population, stock or practices that never adopt the low-carbon option, while delays in adoption affect the trajectory but not the asymptotic level. Second, supply-side decarbonisation (generic technology assumption, CCS in heating, food-system change) is comparably influential. Weakening these supply-side assumptions moves the 2050 emissions by 0.2 to 0.5 t CO2e per capita per variation tested. This dual sensitivity, to adoption ceilings on the demand side and to decarbonisation on the supply side, identifies precisely what the city must coordinate. Section 5.4 returns to the translation between adoption parameters and governance instruments.</w:t>
      </w:r>
    </w:p>
    <w:p>
      <w:pPr>
        <w:pStyle w:val="BodyText"/>
      </w:pPr>
      <w:r>
        <w:t xml:space="preserve">Adoption timing has a smaller effect on 2050 emissions than adoption ceilings or technology assumptions, but it is critical for the 2030 milestone. Delaying adoption by five years raises 2030 emissions to 4.566 t CO2e per capita, while shifting adoption five years earlier reduces them to 1.907 t. This confirms that the near-term gap is primarily a speed problem: measures with large long-term potential may still fail to align with the 2030 target if they diffuse too late.</w:t>
      </w:r>
    </w:p>
    <w:p>
      <w:pPr>
        <w:pStyle w:val="BodyText"/>
      </w:pPr>
      <w:r>
        <w:t xml:space="preserve">Figure 5 visualises the largest deviations from the central Scenario 4 result. Together, the sensitivity results strengthen the main finding: Scenario 4 identifies a possible near target-compatible pathway, but only under demanding conditions of broad coverage, high adoption ceilings, timely diffusion, strong technological improvement and supportive changes beyond the city itself.</w:t>
      </w:r>
    </w:p>
    <w:p>
      <w:pPr>
        <w:pStyle w:val="BodyText"/>
      </w:pPr>
      <w:r>
        <w:rPr>
          <w:bCs/>
          <w:b/>
        </w:rPr>
        <w:t xml:space="preserve">Figure 5.</w:t>
      </w:r>
      <w:r>
        <w:t xml:space="preserve"> </w:t>
      </w:r>
      <w:r>
        <w:t xml:space="preserve">Sensitivity of 2050 emissions under the coordinated transition pathway. The figure shows changes in 2050 emissions relative to the central Scenario 4 result of 1.060 t CO2e per capita. Positive values indicate higher residual emissions and a larger remaining gap to the 1.0 t target; negative values indicate lower emissions. The figure complements Table 2 by visualising the most influential one-at-a-time sensitivity tests.</w:t>
      </w:r>
    </w:p>
    <w:bookmarkEnd w:id="44"/>
    <w:bookmarkEnd w:id="45"/>
    <w:bookmarkStart w:id="54" w:name="discussion"/>
    <w:p>
      <w:pPr>
        <w:pStyle w:val="Heading1"/>
      </w:pPr>
      <w:r>
        <w:t xml:space="preserve">5. Discussion</w:t>
      </w:r>
    </w:p>
    <w:bookmarkStart w:id="46" w:name="from-accounting-to-pathway-adequacy"/>
    <w:p>
      <w:pPr>
        <w:pStyle w:val="Heading2"/>
      </w:pPr>
      <w:r>
        <w:t xml:space="preserve">5.1 From accounting to pathway adequacy</w:t>
      </w:r>
    </w:p>
    <w:p>
      <w:pPr>
        <w:pStyle w:val="FirstParagraph"/>
      </w:pPr>
      <w:r>
        <w:t xml:space="preserve">The results demonstrate that consumption-based accounting, while essential for visibility, does not by itself indicate whether a city’s transition portfolio is adequate. The scenario comparison makes this concrete: a detailed baseline inventory is compatible with transition portfolios ranging from structurally insufficient (Scenarios 1 and 2) to ambitious but still inadequate (Scenario 3) to near target-compatible only under demanding assumptions (Scenario 4). The urban consumption gap turns the inventory from a diagnostic tool into a sufficiency test for climate strategy. It shifts the analytical burden from prioritising action to demonstrating sufficiency. This is a stronger requirement than hotspot identification, because it forces the question of whether combined measures can plausibly close the distance to the target, given adoption dynamics and the distribution of emissions across domains.</w:t>
      </w:r>
    </w:p>
    <w:p>
      <w:pPr>
        <w:pStyle w:val="BodyText"/>
      </w:pPr>
      <w:r>
        <w:t xml:space="preserve">This is not a purely methodological reframing. Once consumption-based targets are in place, a city’s planning logic must change. The decisive question is no longer</w:t>
      </w:r>
      <w:r>
        <w:t xml:space="preserve"> </w:t>
      </w:r>
      <w:r>
        <w:rPr>
          <w:iCs/>
          <w:i/>
        </w:rPr>
        <w:t xml:space="preserve">which emissions sources matter most</w:t>
      </w:r>
      <w:r>
        <w:t xml:space="preserve"> </w:t>
      </w:r>
      <w:r>
        <w:t xml:space="preserve">but</w:t>
      </w:r>
      <w:r>
        <w:t xml:space="preserve"> </w:t>
      </w:r>
      <w:r>
        <w:rPr>
          <w:iCs/>
          <w:i/>
        </w:rPr>
        <w:t xml:space="preserve">whether the portfolio is broad, deep, fast and fair enough to close the gap</w:t>
      </w:r>
      <w:r>
        <w:t xml:space="preserve">. Without such a test, consumption-based accounting risks becoming a sophisticated form of reporting: more emissions are made visible, but the political logic of incremental, hotspot-based action remains intact. The urban consumption gap operationalises a more demanding standard. It allows researchers and practitioners to evaluate climate plans not on their ambition or comprehensiveness in isolation, but on their commensurability with a stated target.</w:t>
      </w:r>
    </w:p>
    <w:bookmarkEnd w:id="46"/>
    <w:bookmarkStart w:id="47" w:name="X5eaae4a1ad333d70f7199ec65ff6d935bce0328"/>
    <w:p>
      <w:pPr>
        <w:pStyle w:val="Heading2"/>
      </w:pPr>
      <w:r>
        <w:t xml:space="preserve">5.2 The hotspot fallacy: prioritisation is not sufficiency</w:t>
      </w:r>
    </w:p>
    <w:p>
      <w:pPr>
        <w:pStyle w:val="FirstParagraph"/>
      </w:pPr>
      <w:r>
        <w:t xml:space="preserve">The distinction between prioritisation and sufficiency is important for urban climate planning. Prioritisation asks where action should begin. Sufficiency asks whether the combined portfolio can reach the target. Cities often need prioritisation because resources are limited and some domains are more urgent or politically actionable than others. But climate targets require a sufficiency test. A portfolio can be well-prioritised and still insufficient if it does not cover enough of the consumption landscape or if reductions in the covered categories are not deep enough.</w:t>
      </w:r>
    </w:p>
    <w:p>
      <w:pPr>
        <w:pStyle w:val="BodyText"/>
      </w:pPr>
      <w:r>
        <w:t xml:space="preserve">We refer to the implicit assumption that hotspot prioritisation will eventually close the gap as the</w:t>
      </w:r>
      <w:r>
        <w:t xml:space="preserve"> </w:t>
      </w:r>
      <w:r>
        <w:rPr>
          <w:iCs/>
          <w:i/>
        </w:rPr>
        <w:t xml:space="preserve">hotspot fallacy</w:t>
      </w:r>
      <w:r>
        <w:t xml:space="preserve">. The Malmö results illustrate the fallacy concretely. Scenario 2 produces meaningful reductions in the largest categories but cuts only about 29% of baseline emissions by 2050. The 1.0 t target requires an 83% reduction. Even a high-quality hotspot strategy therefore leaves two thirds of the required reduction unaddressed. The reason is structural rather than circumstantial: in a consumption landscape composed of one to two large categories and many medium-sized categories, action concentrated on the largest cannot mathematically reach a deep target.</w:t>
      </w:r>
    </w:p>
    <w:p>
      <w:pPr>
        <w:pStyle w:val="BodyText"/>
      </w:pPr>
      <w:r>
        <w:t xml:space="preserve">This finding has a further implication for deep decarbonisation. As emissions approach the target level, the marginal task shifts from reducing concentrated sources to addressing many smaller residuals. The closer Malmö gets to one tonne per capita, the more medium-sized categories become collectively decisive. We can call this the</w:t>
      </w:r>
      <w:r>
        <w:t xml:space="preserve"> </w:t>
      </w:r>
      <w:r>
        <w:rPr>
          <w:iCs/>
          <w:i/>
        </w:rPr>
        <w:t xml:space="preserve">last-tonne problem</w:t>
      </w:r>
      <w:r>
        <w:t xml:space="preserve">: going from 3 t to 1 t requires a qualitatively different intervention pattern from going from 6 t to 3 t. The first reduction comes mostly from the largest sources; the second requires action across the full footprint. Hotspot logic governs the first; sufficiency logic must govern the second.</w:t>
      </w:r>
    </w:p>
    <w:p>
      <w:pPr>
        <w:pStyle w:val="BodyText"/>
      </w:pPr>
      <w:r>
        <w:t xml:space="preserve">A broad portfolio also changes how circular economy, sufficiency and service-based interventions should be positioned. They should not be treated as marginal add-ons after the main hotspots have been addressed. Repair, reuse, shared services, longer product lifetimes, reduced purchase volumes and shifts toward lower-carbon services operate across dispersed consumption categories. Their significance lies not only in any single category’s impact but in their ability to reduce emissions across the wider consumption landscape that hotspot strategies leave untouched.</w:t>
      </w:r>
    </w:p>
    <w:bookmarkEnd w:id="47"/>
    <w:bookmarkStart w:id="48" w:name="X1fee9f7d1a3a667ee5b8623866967836d9ed66d"/>
    <w:p>
      <w:pPr>
        <w:pStyle w:val="Heading2"/>
      </w:pPr>
      <w:r>
        <w:t xml:space="preserve">5.3 The urban consumption gap as a coordination problem</w:t>
      </w:r>
    </w:p>
    <w:p>
      <w:pPr>
        <w:pStyle w:val="FirstParagraph"/>
      </w:pPr>
      <w:r>
        <w:t xml:space="preserve">The gap is not fixed by the baseline footprint. It changes depending on which measures are included, how much reduction they deliver, how quickly they diffuse and whether enabling conditions allow widespread adoption. Targeting high-emission categories addresses important sources but leaves residual emissions across the broader footprint. Lifestyle-centred transition expands coverage and confirms the importance of demand-side change but does not close the gap. The coordinated pathway only approaches target consistency when broad coverage, lifestyle change, infrastructure-enabled adoption, technological improvement and wider decarbonisation are combined. The implication is not that lifestyle change is weak or that technology is decisive; each depends on the other.</w:t>
      </w:r>
    </w:p>
    <w:p>
      <w:pPr>
        <w:pStyle w:val="BodyText"/>
      </w:pPr>
      <w:r>
        <w:t xml:space="preserve">This finding is consistent with a sociotechnical understanding of consumption emissions. Household consumption is shaped by infrastructures, markets, regulations, technologies, cultural conventions and everyday routines. Car use depends on urban form, road allocation, public transport, parking and social norms. Diets depend on food environments, prices, retail systems and institutional catering. Housing emissions depend on building stock, tenure, district energy systems and renovation possibilities. These systems create the conditions under which lower-carbon practices are either easy, difficult, attractive or socially marginal.</w:t>
      </w:r>
    </w:p>
    <w:p>
      <w:pPr>
        <w:pStyle w:val="BodyText"/>
      </w:pPr>
      <w:r>
        <w:t xml:space="preserve">The model represents this coordination through adoption dynamics. Infrastructure and structural enabling conditions affect the reach, speed and timing of behavioural and technological change rather than acting as a separate reduction factor. This is a simplification, but it captures an important governance insight: infrastructure changes what people can realistically adopt. The sensitivity analysis reinforces the interpretation. The coordinated pathway depends heavily on adoption ceilings, adoption timing and technological assumptions. Measures with high theoretical potential can fail to close the near-term gap if they diffuse too slowly. Conversely, measures that seem modest in isolation can become important when adopted broadly and combined with changes in emissions intensity.</w:t>
      </w:r>
    </w:p>
    <w:bookmarkEnd w:id="48"/>
    <w:bookmarkStart w:id="49" w:name="Xa1d5a355e9d493680a1e0f93e49c779c5df2ac6"/>
    <w:p>
      <w:pPr>
        <w:pStyle w:val="Heading2"/>
      </w:pPr>
      <w:r>
        <w:t xml:space="preserve">5.4 Adoption ceilings as political economy constraints</w:t>
      </w:r>
    </w:p>
    <w:p>
      <w:pPr>
        <w:pStyle w:val="FirstParagraph"/>
      </w:pPr>
      <w:r>
        <w:t xml:space="preserve">One of the most policy-relevant results concerns the asymmetry between adoption ceilings and adoption timing. Reducing the maximum adoption ceiling for hard-to-change categories by 25% raises 2050 emissions by approximately 0.6 t CO2e per capita and leaves a residual gap of 0.7 t, more than ten times the central residual. Reducing the ceiling by 50% leaves emissions at 2.3 t, more than twice the target. By contrast, shifting all adoption five years later raises 2050 emissions by only 0.086 t. The ceiling matters more than the timing for the long-term gap, although timing matters decisively for the 2030 milestone.</w:t>
      </w:r>
    </w:p>
    <w:p>
      <w:pPr>
        <w:pStyle w:val="BodyText"/>
      </w:pPr>
      <w:r>
        <w:t xml:space="preserve">This asymmetry has a clear governance interpretation. The maximum adoption parameter</w:t>
      </w:r>
      <w:r>
        <w:t xml:space="preserve"> </w:t>
      </w:r>
      <w:r>
        <w:rPr>
          <w:iCs/>
          <w:i/>
        </w:rPr>
        <w:t xml:space="preserve">L</w:t>
      </w:r>
      <w:r>
        <w:t xml:space="preserve"> </w:t>
      </w:r>
      <w:r>
        <w:t xml:space="preserve">represents the share of the relevant population, stock or practices that ever adopts the low-carbon option. It is shaped by long-term structural conditions: urban form, housing stock, the geography of services, the political acceptability of demand-side measures, the legitimacy of redistributive transition policy and the institutional capacity to reach high-emission groups. The adoption speed parameter</w:t>
      </w:r>
      <w:r>
        <w:t xml:space="preserve"> </w:t>
      </w:r>
      <w:r>
        <w:rPr>
          <w:iCs/>
          <w:i/>
        </w:rPr>
        <w:t xml:space="preserve">k</w:t>
      </w:r>
      <w:r>
        <w:t xml:space="preserve"> </w:t>
      </w:r>
      <w:r>
        <w:t xml:space="preserve">represents how quickly adoption rises once it accelerates. It is shaped by short-term pricing signals, regulatory measures, infrastructure rollouts and information campaigns. Both matter, but they correspond to different policy instruments. Raising</w:t>
      </w:r>
      <w:r>
        <w:t xml:space="preserve"> </w:t>
      </w:r>
      <w:r>
        <w:rPr>
          <w:iCs/>
          <w:i/>
        </w:rPr>
        <w:t xml:space="preserve">L</w:t>
      </w:r>
      <w:r>
        <w:t xml:space="preserve"> </w:t>
      </w:r>
      <w:r>
        <w:t xml:space="preserve">requires structural interventions: changing zoning, public space allocation and procurement; reconfiguring district heating; renovating tenancies; sustaining cross-political support across electoral cycles. Raising</w:t>
      </w:r>
      <w:r>
        <w:t xml:space="preserve"> </w:t>
      </w:r>
      <w:r>
        <w:rPr>
          <w:iCs/>
          <w:i/>
        </w:rPr>
        <w:t xml:space="preserve">k</w:t>
      </w:r>
      <w:r>
        <w:t xml:space="preserve"> </w:t>
      </w:r>
      <w:r>
        <w:t xml:space="preserve">and lowering</w:t>
      </w:r>
      <w:r>
        <w:t xml:space="preserve"> </w:t>
      </w:r>
      <w:r>
        <w:rPr>
          <w:iCs/>
          <w:i/>
        </w:rPr>
        <w:t xml:space="preserve">t</w:t>
      </w:r>
      <w:r>
        <w:rPr>
          <w:vertAlign w:val="subscript"/>
          <w:iCs/>
          <w:i/>
        </w:rPr>
        <w:t xml:space="preserve">0</w:t>
      </w:r>
      <w:r>
        <w:t xml:space="preserve"> </w:t>
      </w:r>
      <w:r>
        <w:t xml:space="preserve">requires immediate operational levers: cycle networks, transit frequency, parking pricing, congestion charging, food environment regulation, subsidies, default rules.</w:t>
      </w:r>
    </w:p>
    <w:p>
      <w:pPr>
        <w:pStyle w:val="BodyText"/>
      </w:pPr>
      <w:r>
        <w:t xml:space="preserve">The implication for urban climate governance is sharper than a generic call for</w:t>
      </w:r>
      <w:r>
        <w:t xml:space="preserve"> </w:t>
      </w:r>
      <w:r>
        <w:t xml:space="preserve">“</w:t>
      </w:r>
      <w:r>
        <w:t xml:space="preserve">ambition</w:t>
      </w:r>
      <w:r>
        <w:t xml:space="preserve">”</w:t>
      </w:r>
      <w:r>
        <w:t xml:space="preserve">. The hardest barrier to closing the gap is not technical potential. It is whether structural conditions can be configured so that a large enough share of the population can and will adopt low-carbon practices, including high-emission groups whose adoption matters disproportionately. The political economy of</w:t>
      </w:r>
      <w:r>
        <w:t xml:space="preserve"> </w:t>
      </w:r>
      <w:r>
        <w:rPr>
          <w:iCs/>
          <w:i/>
        </w:rPr>
        <w:t xml:space="preserve">L</w:t>
      </w:r>
      <w:r>
        <w:t xml:space="preserve">, in other words, is the political economy of who participates in the transition. This is where consumption-based urban climate governance becomes inseparable from social justice and distributive politics.</w:t>
      </w:r>
    </w:p>
    <w:bookmarkEnd w:id="49"/>
    <w:bookmarkStart w:id="50" w:name="Xb37811cbf1a6fd403e158447eaa5b6d423d124f"/>
    <w:p>
      <w:pPr>
        <w:pStyle w:val="Heading2"/>
      </w:pPr>
      <w:r>
        <w:t xml:space="preserve">5.5 Cities as transition coordinators: a governance architecture</w:t>
      </w:r>
    </w:p>
    <w:p>
      <w:pPr>
        <w:pStyle w:val="FirstParagraph"/>
      </w:pPr>
      <w:r>
        <w:t xml:space="preserve">The results point to a demanding but realistic role for cities. Rather than emissions accountants or behaviour-change communicators, cities are better understood as transition coordinators: actors that align infrastructure, services, procurement, planning, public engagement, local partnerships and wider policy interfaces so that lower-carbon consumption becomes easier to adopt at scale.</w:t>
      </w:r>
    </w:p>
    <w:p>
      <w:pPr>
        <w:pStyle w:val="BodyText"/>
      </w:pPr>
      <w:r>
        <w:t xml:space="preserve">This role begins with accounting but extends beyond it. Consumption-based inventories allow cities to see emissions that territorial inventories miss. Scenario modelling allows them to test whether proposed measures are sufficient. But closing the gap requires governing the conditions under which low-carbon practices spread. For mobility, this may involve reallocating street space, improving public transport, supporting shared mobility and aligning parking and land-use policies. For food, it may involve public meals, procurement standards, food environments and partnerships with retailers and civil society. For housing, it involves renovation, energy systems and tenure-sensitive support. For material consumption, it involves repair infrastructure, reuse platforms and procurement.</w:t>
      </w:r>
    </w:p>
    <w:p>
      <w:pPr>
        <w:pStyle w:val="BodyText"/>
      </w:pPr>
      <w:r>
        <w:t xml:space="preserve">Several concrete mechanisms follow from the coordinator role. We highlight four.</w:t>
      </w:r>
    </w:p>
    <w:p>
      <w:pPr>
        <w:pStyle w:val="BodyText"/>
      </w:pPr>
      <w:r>
        <w:rPr>
          <w:iCs/>
          <w:i/>
        </w:rPr>
        <w:t xml:space="preserve">Consumption-based municipal climate budgets.</w:t>
      </w:r>
      <w:r>
        <w:t xml:space="preserve"> </w:t>
      </w:r>
      <w:r>
        <w:t xml:space="preserve">Cities can move beyond communicating targets to allocating a multi-year consumption-based carbon budget across sectors, projects and procurement decisions. Such a budget makes residual emissions visible at decision points, not only in retrospective inventories.</w:t>
      </w:r>
    </w:p>
    <w:p>
      <w:pPr>
        <w:pStyle w:val="BodyText"/>
      </w:pPr>
      <w:r>
        <w:rPr>
          <w:iCs/>
          <w:i/>
        </w:rPr>
        <w:t xml:space="preserve">Dedicated transition coordination functions.</w:t>
      </w:r>
      <w:r>
        <w:t xml:space="preserve"> </w:t>
      </w:r>
      <w:r>
        <w:t xml:space="preserve">Coordinated transitions require continuous alignment across mobility, energy, food, housing, procurement, public health, social services and engagement. Cities that locate coordination in a dedicated unit, function or programme office (rather than spreading responsibility thinly across line departments) are better placed to manage cross-sector trade-offs and to maintain coherence across electoral cycles.</w:t>
      </w:r>
    </w:p>
    <w:p>
      <w:pPr>
        <w:pStyle w:val="BodyText"/>
      </w:pPr>
      <w:r>
        <w:rPr>
          <w:iCs/>
          <w:i/>
        </w:rPr>
        <w:t xml:space="preserve">Sufficiency-oriented procurement.</w:t>
      </w:r>
      <w:r>
        <w:t xml:space="preserve"> </w:t>
      </w:r>
      <w:r>
        <w:t xml:space="preserve">Municipal procurement is one of the few levers through which cities can directly shape consumption-related emissions at scale, in food services, construction, vehicle fleets, IT and clothing. Procurement criteria can incorporate sufficiency dimensions (smaller portions, fewer high-emission items, longer product life, repair clauses) alongside efficiency criteria.</w:t>
      </w:r>
    </w:p>
    <w:p>
      <w:pPr>
        <w:pStyle w:val="BodyText"/>
      </w:pPr>
      <w:r>
        <w:rPr>
          <w:iCs/>
          <w:i/>
        </w:rPr>
        <w:t xml:space="preserve">Cross-sectoral sufficiency targets.</w:t>
      </w:r>
      <w:r>
        <w:t xml:space="preserve"> </w:t>
      </w:r>
      <w:r>
        <w:t xml:space="preserve">In addition to category-level reduction goals, cities can adopt explicit sufficiency targets across sectors: aviation per capita, dwelling area per capita, car kilometres per capita, meat consumption per capita. These targets translate the gap into observable lifestyle dimensions and create a basis for cross-sectoral accountability.</w:t>
      </w:r>
    </w:p>
    <w:p>
      <w:pPr>
        <w:pStyle w:val="BodyText"/>
      </w:pPr>
      <w:r>
        <w:t xml:space="preserve">The coordinator role also requires recognising what lies beyond direct municipal control. A simple governance typology helps. Cities can</w:t>
      </w:r>
      <w:r>
        <w:t xml:space="preserve"> </w:t>
      </w:r>
      <w:r>
        <w:rPr>
          <w:iCs/>
          <w:i/>
        </w:rPr>
        <w:t xml:space="preserve">directly control</w:t>
      </w:r>
      <w:r>
        <w:t xml:space="preserve"> </w:t>
      </w:r>
      <w:r>
        <w:t xml:space="preserve">municipal operations, public procurement, parts of public transport and spatial planning, building permissions and selected aspects of district energy systems. They can</w:t>
      </w:r>
      <w:r>
        <w:t xml:space="preserve"> </w:t>
      </w:r>
      <w:r>
        <w:rPr>
          <w:iCs/>
          <w:i/>
        </w:rPr>
        <w:t xml:space="preserve">influence</w:t>
      </w:r>
      <w:r>
        <w:t xml:space="preserve"> </w:t>
      </w:r>
      <w:r>
        <w:t xml:space="preserve">household consumption through information, education, partnerships with retailers and food providers, the design of public space and access to repair and reuse services. They</w:t>
      </w:r>
      <w:r>
        <w:t xml:space="preserve"> </w:t>
      </w:r>
      <w:r>
        <w:rPr>
          <w:iCs/>
          <w:i/>
        </w:rPr>
        <w:t xml:space="preserve">depend on</w:t>
      </w:r>
      <w:r>
        <w:t xml:space="preserve"> </w:t>
      </w:r>
      <w:r>
        <w:t xml:space="preserve">national and supranational decarbonisation for the emissions intensity of electricity, manufacturing, aviation, agriculture and global supply chains. Sufficiency-testing using the urban consumption gap framework makes this typology empirically tractable: it shows which residual emissions remain after local measures are applied and which reductions depend on external conditions. This prevents two common errors:</w:t>
      </w:r>
      <w:r>
        <w:t xml:space="preserve"> </w:t>
      </w:r>
      <w:r>
        <w:rPr>
          <w:iCs/>
          <w:i/>
        </w:rPr>
        <w:t xml:space="preserve">local overclaiming</w:t>
      </w:r>
      <w:r>
        <w:t xml:space="preserve">, which implies the municipality can close the entire gap through local action alone; and</w:t>
      </w:r>
      <w:r>
        <w:t xml:space="preserve"> </w:t>
      </w:r>
      <w:r>
        <w:rPr>
          <w:iCs/>
          <w:i/>
        </w:rPr>
        <w:t xml:space="preserve">local underclaiming</w:t>
      </w:r>
      <w:r>
        <w:t xml:space="preserve">, which treats supply-chain emissions as outside municipal relevance because they occur elsewhere.</w:t>
      </w:r>
    </w:p>
    <w:p>
      <w:pPr>
        <w:pStyle w:val="BodyText"/>
      </w:pPr>
      <w:r>
        <w:t xml:space="preserve">A coordinator role is not equivalent to unlimited municipal authority. Cities face hard constraints: limited fiscal capacity, fragmented governance arrangements, multi-level political dependencies, electoral cycles that shorten time horizons, and skill bottlenecks in climate planning. The framework cannot remove these constraints, but it makes them legible. By showing which assumptions a target-consistent pathway depends on, the gap analysis identifies where capacity-building, financing, institutional reform and multi-level alignment are most urgently required.</w:t>
      </w:r>
    </w:p>
    <w:bookmarkEnd w:id="50"/>
    <w:bookmarkStart w:id="51" w:name="Xf6a03ad62e9cf3ebed9c4a4f3285723b6ca9397"/>
    <w:p>
      <w:pPr>
        <w:pStyle w:val="Heading2"/>
      </w:pPr>
      <w:r>
        <w:t xml:space="preserve">5.6 Justice, differentiated capacity and legitimacy</w:t>
      </w:r>
    </w:p>
    <w:p>
      <w:pPr>
        <w:pStyle w:val="FirstParagraph"/>
      </w:pPr>
      <w:r>
        <w:t xml:space="preserve">The urban consumption gap is distributional, not only technical. Consumption-based emissions scale with income. Across the EU, the top 10% of households emit more than the bottom 50% combined (Ivanova and Wood, 2020). Globally, the bottom half accounts for less than 20% of energy footprints; the top 5% exceeds that share (Oswald et al., 2020). These inequalities structure the gap: they concentrate mitigation potential among high-income households and transition burdens among those least equipped to respond.</w:t>
      </w:r>
    </w:p>
    <w:p>
      <w:pPr>
        <w:pStyle w:val="BodyText"/>
      </w:pPr>
      <w:r>
        <w:t xml:space="preserve">A per-capita target of 1.0 t CO2e does not require uniform reductions. High-income households drive more, fly more, heat larger dwellings and consume more goods. They also command greater capacity to invest in alternatives. Low-income households often emit less, not from choice but from constraint. Büchs et al. (2023) showed that capping top-quintile energy use across 27 European countries cuts emissions by 10 to 17% across domains, while raising consumption for users in energy poverty costs only 1.0 to 1.4 percentage points. Equity and effectiveness align: targeting high emitters yields larger reductions per unit of effort while protecting those with least.</w:t>
      </w:r>
    </w:p>
    <w:p>
      <w:pPr>
        <w:pStyle w:val="BodyText"/>
      </w:pPr>
      <w:r>
        <w:t xml:space="preserve">The link between adoption ceilings and distributional justice is therefore direct. Adoption ceilings are set partly by structural conditions and partly by who is reached. Strategies that achieve high middle-income adoption but fail to reach the highest-emission households leave a large residual gap. Strategies that impose transition costs on constrained households without protective measures lose political legitimacy and slow adoption among middle-income groups. In Malmö, the source report identified five neighbourhood clusters spanning affluent villa areas with high car use, large dwellings and high material consumption to disadvantaged areas where per-capita emissions are lowest due to constrained consumption and compact housing. This gradient carries two implications. First, closing the gap depends on whether high-footprint households participate. Second, transitions that impose costs on constrained households while leaving high-emission lifestyles intact face political resistance. Opposition to fuel taxes correlates with social disadvantage (Büchs et al., 2024), and car dependence reflects political-economic structures, not free choice (Mattioli et al., 2020).</w:t>
      </w:r>
    </w:p>
    <w:p>
      <w:pPr>
        <w:pStyle w:val="BodyText"/>
      </w:pPr>
      <w:r>
        <w:t xml:space="preserve">Fuchs et al. (2021) frame this as a corridor problem: consumption must stay above a social floor that meets human needs and below an ecological ceiling set by climate targets. A target-consistent portfolio must respect both bounds. Uniform measures applied across income groups yield less reduction and more resistance than differentiated measures matched to capacity and responsibility.</w:t>
      </w:r>
    </w:p>
    <w:p>
      <w:pPr>
        <w:pStyle w:val="BodyText"/>
      </w:pPr>
      <w:r>
        <w:t xml:space="preserve">The framework as presented here does not resolve these distributional questions, but it makes them tractable. The aggregate gap is a starting point: it establishes the macro-boundary within which distributional negotiation must occur. A first extension is to disaggregate the gap by income, tenure and neighbourhood, distinguishing high-footprint households with high mitigation capacity from those for whom transition support is an equity issue rather than a reduction demand. The Consumption Compass already provides consumption-based emissions data at municipal and DeSO (sub-municipal) levels for Sweden (Dawkins et al., 2024), which makes a distributional extension of the framework directly feasible for Swedish cities. Section 5.7 returns to this as a research-agenda item.</w:t>
      </w:r>
    </w:p>
    <w:bookmarkEnd w:id="51"/>
    <w:bookmarkStart w:id="52" w:name="Xc677a60c9ed985b37a499f4735738fe26a81391"/>
    <w:p>
      <w:pPr>
        <w:pStyle w:val="Heading2"/>
      </w:pPr>
      <w:r>
        <w:t xml:space="preserve">5.7 Beyond Malmö: transferability and cross-city relevance</w:t>
      </w:r>
    </w:p>
    <w:p>
      <w:pPr>
        <w:pStyle w:val="FirstParagraph"/>
      </w:pPr>
      <w:r>
        <w:t xml:space="preserve">Malmö is informative precisely because it is favourable. The city is high-income, embedded in a low-carbon electricity and district heating system, with comparatively developed cycling and transit infrastructure, active municipal climate planning and access to detailed consumption-based emissions data. If a city of this capacity reaches the 1.0 t per capita target only under demanding coordinated transition assumptions, the implication for cities with less favourable conditions is sharp.</w:t>
      </w:r>
    </w:p>
    <w:p>
      <w:pPr>
        <w:pStyle w:val="BodyText"/>
      </w:pPr>
      <w:r>
        <w:t xml:space="preserve">We expect three transferability patterns. First, in other high-income European cities with similar consumption profiles but more carbon-intensive electricity or heating (e.g. parts of central and southern Europe), the supply-side decarbonisation share of the coordinated pathway becomes larger, and CCS or external supply-chain assumptions correspondingly more consequential. The gap is similar in shape but heavier on the technology side. Second, in North American cities with car-dependent urban form, larger dwellings and higher meat consumption, baseline footprints are substantially larger. Hotspot strategies look more promising on paper because emissions are concentrated in a few sources, but adoption ceilings for lifestyle change are likely lower because of stronger structural lock-ins. The gap is wider and the coordinator role more politically demanding. Third, in rapidly urbanising Global South cities, the relevant question is shifting: not how to reduce existing high-carbon consumption, but how to avoid locking in high-carbon infrastructure and consumption patterns at all. For these cities the urban consumption gap framework would be applied prospectively, against a different counterfactual baseline trajectory, with the same logic but very different parameter values and policy instruments.</w:t>
      </w:r>
    </w:p>
    <w:p>
      <w:pPr>
        <w:pStyle w:val="BodyText"/>
      </w:pPr>
      <w:r>
        <w:t xml:space="preserve">The transferable contribution is therefore not Malmö’s numerical results but the logic of assessment: define the baseline, specify the target pathway, construct transition portfolios that vary in coverage and intensity, model adoption dynamics, calculate the residual gap and test which assumptions determine target consistency. Cities differ on every parameter, but the questions are the same.</w:t>
      </w:r>
    </w:p>
    <w:bookmarkEnd w:id="52"/>
    <w:bookmarkStart w:id="53" w:name="limitations-and-a-research-agenda"/>
    <w:p>
      <w:pPr>
        <w:pStyle w:val="Heading2"/>
      </w:pPr>
      <w:r>
        <w:t xml:space="preserve">5.8 Limitations and a research agenda</w:t>
      </w:r>
    </w:p>
    <w:p>
      <w:pPr>
        <w:pStyle w:val="FirstParagraph"/>
      </w:pPr>
      <w:r>
        <w:rPr>
          <w:iCs/>
          <w:i/>
        </w:rPr>
        <w:t xml:space="preserve">Model design.</w:t>
      </w:r>
      <w:r>
        <w:t xml:space="preserve"> </w:t>
      </w:r>
      <w:r>
        <w:t xml:space="preserve">The model is deterministic and scenario-based. It does not estimate the probability that each pathway will occur. Scenario 4 should be read as a target-seeking pathway, not a forecast. The central model uses a static baseline: category-level emissions remain constant unless altered by scenario assumptions. This makes scenario comparison transparent but does not capture future changes in income, prices, consumption volumes, demographic composition or autonomous technological change. A dynamic baseline could either widen or narrow the gap. Behavioural and technological reductions are represented explicitly, while infrastructure is represented through adoption parameters. The model does not estimate the causal effect of specific infrastructure investments. Future work should test the framework under dynamic baseline trajectories.</w:t>
      </w:r>
    </w:p>
    <w:p>
      <w:pPr>
        <w:pStyle w:val="BodyText"/>
      </w:pPr>
      <w:r>
        <w:rPr>
          <w:iCs/>
          <w:i/>
        </w:rPr>
        <w:t xml:space="preserve">Assumption strength.</w:t>
      </w:r>
      <w:r>
        <w:t xml:space="preserve"> </w:t>
      </w:r>
      <w:r>
        <w:t xml:space="preserve">Reduction assumptions differ in evidential strength. Some relate to concrete technological shifts such as vehicle electrification or changes in heating systems. Others depend on more uncertain behavioural, social or institutional change. Scenario 4 includes ambitious assumptions about broad technological improvement, rapid adoption, aviation reductions and CCS. The sensitivity analysis shows that the near target-compatible result depends strongly on these assumptions. Residual gaps of 0.100 and 0.060 t should be read as model outputs under specific conditions, not as confidence-bounded estimates.</w:t>
      </w:r>
    </w:p>
    <w:p>
      <w:pPr>
        <w:pStyle w:val="BodyText"/>
      </w:pPr>
      <w:r>
        <w:rPr>
          <w:iCs/>
          <w:i/>
        </w:rPr>
        <w:t xml:space="preserve">Uncertainty representation.</w:t>
      </w:r>
      <w:r>
        <w:t xml:space="preserve"> </w:t>
      </w:r>
      <w:r>
        <w:t xml:space="preserve">The article uses a deterministic, one-at-a-time sensitivity design. This is well suited to the framework’s analytical purpose of identifying the most decisive assumptions for sufficiency. It does not, however, quantify joint uncertainty across parameters or yield probabilistic confidence intervals. Probabilistic methods (Monte Carlo sampling, scenario ensembles, formal expert elicitation of parameter distributions) are a natural next step, particularly when the framework is applied to settings where parameter distributions can be calibrated from local evidence. We treat probabilistic uncertainty quantification as a research-agenda item rather than as a limitation that would change the structural conclusions of the present analysis.</w:t>
      </w:r>
    </w:p>
    <w:p>
      <w:pPr>
        <w:pStyle w:val="BodyText"/>
      </w:pPr>
      <w:r>
        <w:rPr>
          <w:iCs/>
          <w:i/>
        </w:rPr>
        <w:t xml:space="preserve">Scope.</w:t>
      </w:r>
      <w:r>
        <w:t xml:space="preserve"> </w:t>
      </w:r>
      <w:r>
        <w:t xml:space="preserve">The analysis focuses on greenhouse gas emissions and does not fully assess broader sustainability effects. Rebound effects, burden shifting, land use, biodiversity, material extraction, water use and social impacts in supply chains are not fully represented. Rebound dynamics are particularly important for consumption-based governance: efficiency gains can be partly absorbed by increased consumption volumes, especially in income terms (Hertwich, 2005; Sorrell et al., 2020). Net-zero accounting questions, including the role of residual emissions and the legitimate scope of carbon removal in consumption-based budgets, are also outside the present model’s scope. Future iterations should connect the framework to broader sustainability indicators and to net-zero pathway logics.</w:t>
      </w:r>
    </w:p>
    <w:p>
      <w:pPr>
        <w:pStyle w:val="BodyText"/>
      </w:pPr>
      <w:r>
        <w:rPr>
          <w:iCs/>
          <w:i/>
        </w:rPr>
        <w:t xml:space="preserve">Distributional analysis.</w:t>
      </w:r>
      <w:r>
        <w:t xml:space="preserve"> </w:t>
      </w:r>
      <w:r>
        <w:t xml:space="preserve">The model does not conduct household-level distributional analysis. Consumption emissions and transition capacities vary across income groups, household types, tenure arrangements and neighbourhoods. The Consumption Compass already provides consumption-based emissions data for Swedish households at municipal and DeSO sub-municipal levels (Dawkins et al., 2024). This makes a distributional extension of the framework directly feasible for Swedish cities and conceptually transferable elsewhere wherever sub-municipal consumption data exist. Future work should connect the urban consumption gap framework with these distributional data, allowing cities to distinguish between high-footprint households with high mitigation capacity and households for whom transition support is primarily an equity issue.</w:t>
      </w:r>
    </w:p>
    <w:p>
      <w:pPr>
        <w:pStyle w:val="BodyText"/>
      </w:pPr>
      <w:r>
        <w:rPr>
          <w:iCs/>
          <w:i/>
        </w:rPr>
        <w:t xml:space="preserve">Transferability.</w:t>
      </w:r>
      <w:r>
        <w:t xml:space="preserve"> </w:t>
      </w:r>
      <w:r>
        <w:t xml:space="preserve">Malmö’s footprint, target pathway, district heating assumptions, housing conditions, mobility patterns and socioeconomic geography are case-specific. Other cities should not import Malmö’s numerical results or assume identical domain contributions. The transferable contribution is the logic of assessment, as described above.</w:t>
      </w:r>
    </w:p>
    <w:p>
      <w:pPr>
        <w:pStyle w:val="BodyText"/>
      </w:pPr>
      <w:r>
        <w:t xml:space="preserve">Beyond these limitations, the framework opens a research agenda. Five directions deserve attention. First, applying the framework to a comparative set of cities to test its sensitivity to context. Second, integrating dynamic baselines that reflect demographic and economic change. Third, extending to distributional analysis with sub-municipal data. Fourth, probabilistic and structural uncertainty quantification. Fifth, integration with broader sustainability metrics, including rebound effects, land and material footprints, and well-being indicators. The unifying purpose of these extensions is to strengthen the framework as a sufficiency test for urban consumption governance under realistic uncertainty.</w:t>
      </w:r>
    </w:p>
    <w:bookmarkEnd w:id="53"/>
    <w:bookmarkEnd w:id="54"/>
    <w:bookmarkStart w:id="55" w:name="conclusions"/>
    <w:p>
      <w:pPr>
        <w:pStyle w:val="Heading1"/>
      </w:pPr>
      <w:r>
        <w:t xml:space="preserve">6. Conclusions</w:t>
      </w:r>
    </w:p>
    <w:p>
      <w:pPr>
        <w:pStyle w:val="FirstParagraph"/>
      </w:pPr>
      <w:r>
        <w:t xml:space="preserve">This article introduced the urban consumption gap: the residual distance between a city’s consumption-based emissions and target-compatible levels, after accounting for the scale, timing and adoption limits of feasible transition strategies. The concept reframes urban consumption-based climate governance from describing footprints to testing pathway adequacy. It moves the analytical question from</w:t>
      </w:r>
      <w:r>
        <w:t xml:space="preserve"> </w:t>
      </w:r>
      <w:r>
        <w:rPr>
          <w:iCs/>
          <w:i/>
        </w:rPr>
        <w:t xml:space="preserve">where to start</w:t>
      </w:r>
      <w:r>
        <w:t xml:space="preserve"> </w:t>
      </w:r>
      <w:r>
        <w:t xml:space="preserve">to</w:t>
      </w:r>
      <w:r>
        <w:t xml:space="preserve"> </w:t>
      </w:r>
      <w:r>
        <w:rPr>
          <w:iCs/>
          <w:i/>
        </w:rPr>
        <w:t xml:space="preserve">whether the portfolio will finish</w:t>
      </w:r>
      <w:r>
        <w:t xml:space="preserve">. It thereby reframes consumption-based accounting from an expanded reporting exercise into an operational sufficiency test for city climate strategies.</w:t>
      </w:r>
    </w:p>
    <w:p>
      <w:pPr>
        <w:pStyle w:val="BodyText"/>
      </w:pPr>
      <w:r>
        <w:t xml:space="preserve">Applied to Malmö, the framework reveals a gap that is both large and distributed. Required reductions of approximately 46% by 2030 and 83% by 2050 cannot be achieved by acting on a few high-emission categories alone. A hotspot-focused strategy leaves more than two thirds of the required reduction unaddressed. A lifestyle-centred transition performs substantially better but remains far above the target pathway, with residual emissions roughly three times the 2050 target. Only a coordinated transition across lifestyle, infrastructure and technology approaches target consistency.</w:t>
      </w:r>
    </w:p>
    <w:p>
      <w:pPr>
        <w:pStyle w:val="BodyText"/>
      </w:pPr>
      <w:r>
        <w:t xml:space="preserve">The coordinated pathway is target-compatible only under demanding conditions. It requires intervention across essentially the full consumption footprint, near-complete adoption of low-carbon options in most categories, high adoption ceilings even for hard-to-change practices such as aviation, car ownership, dwelling area and meat consumption, approximately 70% generic technological improvement in supply chains, deep decarbonisation of district heating including CCS, and aviation reductions consistent with sectoral 1.5°C pathways. Sensitivity analysis shows that adoption ceilings and supply-side decarbonisation are more decisive than adoption timing, while timing remains critical for the 2030 milestone. The political economy of adoption ceilings, in particular who participates in the transition and on what terms, is therefore central to whether the gap closes.</w:t>
      </w:r>
    </w:p>
    <w:p>
      <w:pPr>
        <w:pStyle w:val="BodyText"/>
      </w:pPr>
      <w:r>
        <w:t xml:space="preserve">Cities with consumption-based climate ambitions cannot rely on accounting, hotspot prioritisation or behaviour-change communication alone. They need transition portfolios broad enough to cover the consumption landscape, deep enough to deliver substantial reductions, fast enough to matter for near-term targets and socially differentiated enough to be adopted at scale. This requires cities to act as transition coordinators, aligning infrastructure, services, procurement and planning with national and international decarbonisation processes through concrete mechanisms such as consumption-based municipal climate budgets, dedicated coordination functions, sufficiency-oriented procurement and cross-sectoral sufficiency targets.</w:t>
      </w:r>
    </w:p>
    <w:p>
      <w:pPr>
        <w:pStyle w:val="BodyText"/>
      </w:pPr>
      <w:r>
        <w:t xml:space="preserve">The Malmö results are case-specific, but the assessment logic is transferable. Other cities can apply the same framework to ask: What is our consumption gap? Which domains drive current emissions? How much of the gap can be closed through hotspot strategies? How much depends on lifestyle change? Which reductions require infrastructure, technology, national policy or global supply-chain transformation? Which assumptions determine whether the pathway remains target-compatible? The shared roadmap is to build a consumption-based inventory, translate climate targets into pathway form, construct transition portfolios spanning the full footprint, model adoption dynamics, calculate the residual gap and test sufficiency under explicit assumptions. Future research should strengthen this approach through dynamic baselines, distributional household data, probabilistic uncertainty quantification, comparative application across city types, and broader sustainability indicators.</w:t>
      </w:r>
    </w:p>
    <w:p>
      <w:pPr>
        <w:pStyle w:val="BodyText"/>
      </w:pPr>
      <w:r>
        <w:t xml:space="preserve">The article’s central message is simple but demanding. A credible list of actions is not the same as a target-consistent pathway. The decisive question for consumption-based urban climate governance is not only what cities emit through consumption, but whether their transition portfolios are broad, deep, fast and fair enough to close the gap. For the last decade, urban climate governance has focused on making consumption emissions visible. The next decade must focus on making target-consistent reductions adoptable, and on configuring cities, multi-level governance and supply chains so that they can be adopted in time. The urban consumption gap provides the metric and the test through which that work can be evaluated.</w:t>
      </w:r>
    </w:p>
    <w:bookmarkEnd w:id="55"/>
    <w:bookmarkStart w:id="56" w:name="credit-authorship-contribution-statement"/>
    <w:p>
      <w:pPr>
        <w:pStyle w:val="Heading1"/>
      </w:pPr>
      <w:r>
        <w:t xml:space="preserve">CRediT authorship contribution statement</w:t>
      </w:r>
    </w:p>
    <w:p>
      <w:pPr>
        <w:pStyle w:val="FirstParagraph"/>
      </w:pPr>
      <w:r>
        <w:rPr>
          <w:iCs/>
          <w:i/>
        </w:rPr>
        <w:t xml:space="preserve">To be completed by the authors.</w:t>
      </w:r>
      <w:r>
        <w:t xml:space="preserve"> </w:t>
      </w:r>
      <w:r>
        <w:t xml:space="preserve">Provisional template based on JSPC requirements:</w:t>
      </w:r>
    </w:p>
    <w:p>
      <w:pPr>
        <w:numPr>
          <w:ilvl w:val="0"/>
          <w:numId w:val="1001"/>
        </w:numPr>
        <w:pStyle w:val="Compact"/>
      </w:pPr>
      <w:r>
        <w:rPr>
          <w:bCs/>
          <w:b/>
        </w:rPr>
        <w:t xml:space="preserve">[Author 1]:</w:t>
      </w:r>
      <w:r>
        <w:t xml:space="preserve"> </w:t>
      </w:r>
      <w:r>
        <w:t xml:space="preserve">Conceptualization, Methodology, Formal analysis, Software, Visualization, Writing – original draft, Writing – review and editing.</w:t>
      </w:r>
    </w:p>
    <w:p>
      <w:pPr>
        <w:numPr>
          <w:ilvl w:val="0"/>
          <w:numId w:val="1001"/>
        </w:numPr>
        <w:pStyle w:val="Compact"/>
      </w:pPr>
      <w:r>
        <w:rPr>
          <w:bCs/>
          <w:b/>
        </w:rPr>
        <w:t xml:space="preserve">[Author 2]:</w:t>
      </w:r>
      <w:r>
        <w:t xml:space="preserve"> </w:t>
      </w:r>
      <w:r>
        <w:t xml:space="preserve">Conceptualization, Investigation, Methodology, Writing – review and editing.</w:t>
      </w:r>
    </w:p>
    <w:p>
      <w:pPr>
        <w:numPr>
          <w:ilvl w:val="0"/>
          <w:numId w:val="1001"/>
        </w:numPr>
        <w:pStyle w:val="Compact"/>
      </w:pPr>
      <w:r>
        <w:rPr>
          <w:bCs/>
          <w:b/>
        </w:rPr>
        <w:t xml:space="preserve">[Author 3]:</w:t>
      </w:r>
      <w:r>
        <w:t xml:space="preserve"> </w:t>
      </w:r>
      <w:r>
        <w:t xml:space="preserve">Data curation, Software, Validation, Writing – review and editing.</w:t>
      </w:r>
    </w:p>
    <w:p>
      <w:pPr>
        <w:numPr>
          <w:ilvl w:val="0"/>
          <w:numId w:val="1001"/>
        </w:numPr>
        <w:pStyle w:val="Compact"/>
      </w:pPr>
      <w:r>
        <w:rPr>
          <w:bCs/>
          <w:b/>
        </w:rPr>
        <w:t xml:space="preserve">[Author 4]:</w:t>
      </w:r>
      <w:r>
        <w:t xml:space="preserve"> </w:t>
      </w:r>
      <w:r>
        <w:t xml:space="preserve">Investigation, Project administration, Resources, Writing – review and editing.</w:t>
      </w:r>
    </w:p>
    <w:p>
      <w:pPr>
        <w:numPr>
          <w:ilvl w:val="0"/>
          <w:numId w:val="1001"/>
        </w:numPr>
        <w:pStyle w:val="Compact"/>
      </w:pPr>
      <w:r>
        <w:rPr>
          <w:bCs/>
          <w:b/>
        </w:rPr>
        <w:t xml:space="preserve">[Author 5]:</w:t>
      </w:r>
      <w:r>
        <w:t xml:space="preserve"> </w:t>
      </w:r>
      <w:r>
        <w:t xml:space="preserve">Funding acquisition, Supervision, Writing – review and editing.</w:t>
      </w:r>
    </w:p>
    <w:bookmarkEnd w:id="56"/>
    <w:bookmarkStart w:id="57" w:name="acknowledgements"/>
    <w:p>
      <w:pPr>
        <w:pStyle w:val="Heading1"/>
      </w:pPr>
      <w:r>
        <w:t xml:space="preserve">Acknowledgements</w:t>
      </w:r>
    </w:p>
    <w:p>
      <w:pPr>
        <w:pStyle w:val="FirstParagraph"/>
      </w:pPr>
      <w:r>
        <w:t xml:space="preserve">The authors thank Malmö Stad for the collaboration and for granting access to consumption-based emissions data. We acknowledge discussions with the Stockholm Environment Institute regarding the use and limitations of the Consumption Compass data source. We thank municipal staff working on climate-smart consumption, circular economy, mobility, energy, food and citizen engagement for participating in workshops and meetings during which scenario assumptions and interpretations were developed and tested. Any remaining errors are the authors’ own.</w:t>
      </w:r>
    </w:p>
    <w:bookmarkEnd w:id="57"/>
    <w:bookmarkStart w:id="58" w:name="funding"/>
    <w:p>
      <w:pPr>
        <w:pStyle w:val="Heading1"/>
      </w:pPr>
      <w:r>
        <w:t xml:space="preserve">Funding</w:t>
      </w:r>
    </w:p>
    <w:p>
      <w:pPr>
        <w:pStyle w:val="FirstParagraph"/>
      </w:pPr>
      <w:r>
        <w:rPr>
          <w:iCs/>
          <w:i/>
        </w:rPr>
        <w:t xml:space="preserve">To be completed by the authors.</w:t>
      </w:r>
    </w:p>
    <w:bookmarkEnd w:id="58"/>
    <w:bookmarkStart w:id="59" w:name="data-availability"/>
    <w:p>
      <w:pPr>
        <w:pStyle w:val="Heading1"/>
      </w:pPr>
      <w:r>
        <w:t xml:space="preserve">Data availability</w:t>
      </w:r>
    </w:p>
    <w:p>
      <w:pPr>
        <w:pStyle w:val="FirstParagraph"/>
      </w:pPr>
      <w:r>
        <w:t xml:space="preserve">The cleaned analytical dataset, the Python implementation of the model and the original Scenario Analyzer workbook are intended to be made available in a public repository upon publication. Baseline category-level consumption emissions are derived from the SEI Consumption Compass version 2.0 (Dawkins et al., 2024), available at https://live.konsumtionskompassen.se. The Consumption Compass holds consumption-based emissions data for Swedish households at municipal and DeSO (sub-municipal) levels, which enables the distributional extension of the framework identified as future work in Section 5.8.</w:t>
      </w:r>
    </w:p>
    <w:bookmarkEnd w:id="59"/>
    <w:bookmarkStart w:id="60" w:name="declaration-of-competing-interest"/>
    <w:p>
      <w:pPr>
        <w:pStyle w:val="Heading1"/>
      </w:pPr>
      <w:r>
        <w:t xml:space="preserve">Declaration of competing interest</w:t>
      </w:r>
    </w:p>
    <w:p>
      <w:pPr>
        <w:pStyle w:val="FirstParagraph"/>
      </w:pPr>
      <w:r>
        <w:rPr>
          <w:iCs/>
          <w:i/>
        </w:rPr>
        <w:t xml:space="preserve">To be completed by the authors.</w:t>
      </w:r>
    </w:p>
    <w:bookmarkEnd w:id="60"/>
    <w:bookmarkStart w:id="61" w:name="references"/>
    <w:p>
      <w:pPr>
        <w:pStyle w:val="Heading1"/>
      </w:pPr>
      <w:r>
        <w:t xml:space="preserve">References</w:t>
      </w:r>
    </w:p>
    <w:p>
      <w:pPr>
        <w:pStyle w:val="FirstParagraph"/>
      </w:pPr>
      <w:r>
        <w:t xml:space="preserve">Büchs, M., Cass, N., Mullen, C., Lucas, K., Ivanova, D., 2023. Emissions savings from equitable energy demand reduction. Nature Energy 8, 758–769. https://doi.org/10.1038/s41560-023-01283-y</w:t>
      </w:r>
    </w:p>
    <w:p>
      <w:pPr>
        <w:pStyle w:val="BodyText"/>
      </w:pPr>
      <w:r>
        <w:t xml:space="preserve">Büchs, M., Ivanova, D., Schnepf, S.V., 2024. Fairness, effectiveness, and needs satisfaction: New options for designing climate policies. Climate Policy. (Use full bibliographic record as published.)</w:t>
      </w:r>
    </w:p>
    <w:p>
      <w:pPr>
        <w:pStyle w:val="BodyText"/>
      </w:pPr>
      <w:r>
        <w:t xml:space="preserve">C40 Cities, 2019. Consumption-based GHG emissions of C40 cities. C40 Knowledge Hub. https://www.c40knowledgehub.org</w:t>
      </w:r>
    </w:p>
    <w:p>
      <w:pPr>
        <w:pStyle w:val="BodyText"/>
      </w:pPr>
      <w:r>
        <w:t xml:space="preserve">Costa, L., Moreau, V., Thurm, B., Yu, W., Clora, F., Baudry, G., Warmuth, H., Hezel, B., Seydewitz, T., Ranković, A., Kelly, G., Kropp, J.P., 2021. The decarbonisation of Europe powered by lifestyle changes. Environmental Research Letters 16, 044057. https://doi.org/10.1088/1748-9326/abe890</w:t>
      </w:r>
    </w:p>
    <w:p>
      <w:pPr>
        <w:pStyle w:val="BodyText"/>
      </w:pPr>
      <w:r>
        <w:t xml:space="preserve">Creutzig, F., Roy, J., Devine-Wright, P., Díaz-José, J., Geels, F.W., Grubler, A., Maïzi, N., Masanet, E., Mulugetta, Y., Onyige, C.D., Perkins, P.E., Sanches-Pereira, A., Weber, E.U., 2022. Demand, services and social aspects of mitigation. In: IPCC, 2022: Climate Change 2022: Mitigation of Climate Change. Contribution of Working Group III to the Sixth Assessment Report of the Intergovernmental Panel on Climate Change. Cambridge University Press. https://doi.org/10.1017/9781009157926.007</w:t>
      </w:r>
    </w:p>
    <w:p>
      <w:pPr>
        <w:pStyle w:val="BodyText"/>
      </w:pPr>
      <w:r>
        <w:t xml:space="preserve">Creutzig, F., Niamir, L., Bai, X., Callaghan, M., Cullen, J., Díaz-José, J., Figueroa, M., Grubler, A., Lamb, W.F., Leip, A., Masanet, E., Mata, É., Mattauch, L., Minx, J.C., Mirasgedis, S., Mulugetta, Y., Nugroho, S.B., Pathak, M., Perkins, P., Roy, J., de la Rue du Can, S., Verdolini, E., Vilariño, V., Wilson, C., Wollenberg, E., Zachariadis, T., Roy, J., 2024. Demand-side solutions to climate change mitigation consistent with high levels of well-being. Nature Climate Change. https://doi.org/10.1038/s41558-021-01219-y</w:t>
      </w:r>
    </w:p>
    <w:p>
      <w:pPr>
        <w:pStyle w:val="BodyText"/>
      </w:pPr>
      <w:r>
        <w:t xml:space="preserve">Dawkins, E., Rahmati-Abkenar, M., Axelsson, K., Grah, R., Broekhoff, D., 2024. The carbon footprints of consumption of goods and services in Sweden at municipal and postcode level and policy interventions. Sustainable Production and Consumption 52, 63–79. https://doi.org/10.1016/j.spc.2024.10.013</w:t>
      </w:r>
    </w:p>
    <w:p>
      <w:pPr>
        <w:pStyle w:val="BodyText"/>
      </w:pPr>
      <w:r>
        <w:t xml:space="preserve">Fuchs, D., Sahakian, M., Gumbert, T., Di Giulio, A., Maniates, M., Lorek, S., Graf, A., 2021. Consumption Corridors: Living a Good Life within Sustainable Limits. Routledge.</w:t>
      </w:r>
    </w:p>
    <w:p>
      <w:pPr>
        <w:pStyle w:val="BodyText"/>
      </w:pPr>
      <w:r>
        <w:t xml:space="preserve">Geels, F.W., Sovacool, B.K., Schwanen, T., Sorrell, S., 2017. Sociotechnical transitions for deep decarbonization. Science 357, 1242–1244. https://doi.org/10.1126/science.aao3760</w:t>
      </w:r>
    </w:p>
    <w:p>
      <w:pPr>
        <w:pStyle w:val="BodyText"/>
      </w:pPr>
      <w:r>
        <w:t xml:space="preserve">Girod, B., van Vuuren, D.P., Hertwich, E.G., 2014. Climate policy through changing consumption choices: Options and obstacles for reducing greenhouse gas emissions. Global Environmental Change 25, 5–15. https://doi.org/10.1016/j.gloenvcha.2014.01.004</w:t>
      </w:r>
    </w:p>
    <w:p>
      <w:pPr>
        <w:pStyle w:val="BodyText"/>
      </w:pPr>
      <w:r>
        <w:t xml:space="preserve">Grübler, A., 2012. Energy transitions research: Insights and cautionary tales. Energy Policy 50, 8–16. https://doi.org/10.1016/j.enpol.2012.02.070</w:t>
      </w:r>
    </w:p>
    <w:p>
      <w:pPr>
        <w:pStyle w:val="BodyText"/>
      </w:pPr>
      <w:r>
        <w:t xml:space="preserve">Harris, S., Weinzettel, J., Bigano, A., Källmén, A., 2020. Low carbon cities in 2050? GHG emissions of European cities using production-based and consumption-based emission accounting methods. Journal of Cleaner Production 248, 119206. https://doi.org/10.1016/j.jclepro.2019.119206</w:t>
      </w:r>
    </w:p>
    <w:p>
      <w:pPr>
        <w:pStyle w:val="BodyText"/>
      </w:pPr>
      <w:r>
        <w:t xml:space="preserve">Hertwich, E.G., 2005. Consumption and the rebound effect: An industrial ecology perspective. Journal of Industrial Ecology 9, 85–98. https://doi.org/10.1162/1088198054084635</w:t>
      </w:r>
    </w:p>
    <w:p>
      <w:pPr>
        <w:pStyle w:val="BodyText"/>
      </w:pPr>
      <w:r>
        <w:t xml:space="preserve">Höjer, M., Gullberg, A., Pettersson, R., 2011. Backcasting images of the future city—Time and space for sustainable development in Stockholm. Technological Forecasting and Social Change 78, 819–834. https://doi.org/10.1016/j.techfore.2011.01.009</w:t>
      </w:r>
    </w:p>
    <w:p>
      <w:pPr>
        <w:pStyle w:val="BodyText"/>
      </w:pPr>
      <w:r>
        <w:t xml:space="preserve">IPCC, 2018. Global Warming of 1.5°C. An IPCC Special Report on the impacts of global warming of 1.5°C above pre-industrial levels and related global greenhouse gas emission pathways. Cambridge University Press. https://doi.org/10.1017/9781009157940</w:t>
      </w:r>
    </w:p>
    <w:p>
      <w:pPr>
        <w:pStyle w:val="BodyText"/>
      </w:pPr>
      <w:r>
        <w:t xml:space="preserve">IPCC, 2022. Climate Change 2022: Mitigation of Climate Change. Contribution of Working Group III to the Sixth Assessment Report of the Intergovernmental Panel on Climate Change. Cambridge University Press. https://doi.org/10.1017/9781009157926</w:t>
      </w:r>
    </w:p>
    <w:p>
      <w:pPr>
        <w:pStyle w:val="BodyText"/>
      </w:pPr>
      <w:r>
        <w:t xml:space="preserve">Ivanova, D., Barrett, J., Wiedenhofer, D., Macura, B., Callaghan, M., Creutzig, F., 2020. Quantifying the potential for climate change mitigation of consumption options. Environmental Research Letters 15, 093001. https://doi.org/10.1088/1748-9326/ab8589</w:t>
      </w:r>
    </w:p>
    <w:p>
      <w:pPr>
        <w:pStyle w:val="BodyText"/>
      </w:pPr>
      <w:r>
        <w:t xml:space="preserve">Ivanova, D., Wood, R., 2020. The unequal distribution of household carbon footprints in Europe and its link to sustainability. Global Sustainability 3, e18. https://doi.org/10.1017/sus.2020.12</w:t>
      </w:r>
    </w:p>
    <w:p>
      <w:pPr>
        <w:pStyle w:val="BodyText"/>
      </w:pPr>
      <w:r>
        <w:t xml:space="preserve">Loorbach, D., Frantzeskaki, N., Avelino, F., 2017. Sustainability transitions research: Transforming science and practice for societal change. Annual Review of Environment and Resources 42, 599–626. https://doi.org/10.1146/annurev-environ-102014-021340</w:t>
      </w:r>
    </w:p>
    <w:p>
      <w:pPr>
        <w:pStyle w:val="BodyText"/>
      </w:pPr>
      <w:r>
        <w:t xml:space="preserve">Mattioli, G., Roberts, C., Steinberger, J.K., Brown, A., 2020. The political economy of car dependence: A systems of provision approach. Energy Research &amp; Social Science 66, 101486. https://doi.org/10.1016/j.erss.2020.101486</w:t>
      </w:r>
    </w:p>
    <w:p>
      <w:pPr>
        <w:pStyle w:val="BodyText"/>
      </w:pPr>
      <w:r>
        <w:t xml:space="preserve">Newell, P., Daley, F., Twena, M., 2021. Changing our ways? Behaviour change and the climate crisis. Cambridge Sustainability Commission Report. Cambridge University Press.</w:t>
      </w:r>
    </w:p>
    <w:p>
      <w:pPr>
        <w:pStyle w:val="BodyText"/>
      </w:pPr>
      <w:r>
        <w:t xml:space="preserve">Oswald, Y., Owen, A., Steinberger, J.K., 2020. Large inequality in international and intranational energy footprints between income groups and across consumption categories. Nature Energy 5, 231–239. https://doi.org/10.1038/s41560-020-0579-8</w:t>
      </w:r>
    </w:p>
    <w:p>
      <w:pPr>
        <w:pStyle w:val="BodyText"/>
      </w:pPr>
      <w:r>
        <w:t xml:space="preserve">Patterson, J., Thaler, T., Hoffmann, M., Hughes, S., Oels, A., Chu, E., Mert, A., Huitema, D., Burch, S., Jordan, A., 2018. Political feasibility of 1.5°C societal transformations: The role of social justice. Current Opinion in Environmental Sustainability 31, 1–9. https://doi.org/10.1016/j.cosust.2017.11.002</w:t>
      </w:r>
    </w:p>
    <w:p>
      <w:pPr>
        <w:pStyle w:val="BodyText"/>
      </w:pPr>
      <w:r>
        <w:t xml:space="preserve">Pichler, P.-P., Zwickel, T., Chavez, A., Kretschmer, T., Seddon, J., Weisz, H., 2017. Reducing urban greenhouse gas footprints. Scientific Reports 7, 14659. https://doi.org/10.1038/s41598-017-15303-x</w:t>
      </w:r>
    </w:p>
    <w:p>
      <w:pPr>
        <w:pStyle w:val="BodyText"/>
      </w:pPr>
      <w:r>
        <w:t xml:space="preserve">Rogers, E.M., 2003. Diffusion of Innovations, 5th ed. Free Press, New York.</w:t>
      </w:r>
    </w:p>
    <w:p>
      <w:pPr>
        <w:pStyle w:val="BodyText"/>
      </w:pPr>
      <w:r>
        <w:t xml:space="preserve">Sethi, M., Lamb, W., Minx, J., Creutzig, F., 2020. Climate change mitigation in cities: A systematic scoping of case studies. Environmental Research Letters 15, 093008. https://doi.org/10.1088/1748-9326/ab99ff</w:t>
      </w:r>
    </w:p>
    <w:p>
      <w:pPr>
        <w:pStyle w:val="BodyText"/>
      </w:pPr>
      <w:r>
        <w:t xml:space="preserve">Sorrell, S., Gatersleben, B., Druckman, A., 2020. The limits of energy sufficiency: A review of the evidence for rebound effects and negative spillovers from behavioural change. Energy Research &amp; Social Science 64, 101439. https://doi.org/10.1016/j.erss.2020.101439</w:t>
      </w:r>
    </w:p>
    <w:p>
      <w:pPr>
        <w:pStyle w:val="BodyText"/>
      </w:pPr>
      <w:r>
        <w:t xml:space="preserve">Sudmant, A., Gouldson, A., Millward-Hopkins, J., Scott, K., Barrett, J., 2018. Producer cities and consumer cities: Using production- and consumption-based carbon accounts to guide climate action in China, the UK, and the US. Journal of Cleaner Production 176, 654–662. https://doi.org/10.1016/j.jclepro.2017.12.139</w:t>
      </w:r>
    </w:p>
    <w:p>
      <w:pPr>
        <w:pStyle w:val="BodyText"/>
      </w:pPr>
      <w:r>
        <w:t xml:space="preserve">van den Berg, N.J., Hof, A.F., van Vuuren, D.P., Karkour, S., Liadze, I., Daioglou, V., Doelman, J.C., 2024. Lifestyle changes are a crucial element to meet climate mitigation goals. Communications Earth &amp; Environment 5. (Use full bibliographic record as published.)</w:t>
      </w:r>
    </w:p>
    <w:p>
      <w:pPr>
        <w:pStyle w:val="BodyText"/>
      </w:pPr>
      <w:r>
        <w:t xml:space="preserve">Vanhuyse, F., Rezaie, S., Englund, M., Jokiaho, J., Henrysson, M., André, K., 2023. Including consumption-based emissions in Swedish municipalities’ climate strategies. Environmental Science &amp; Policy. (Use full bibliographic record as published.)</w:t>
      </w:r>
    </w:p>
    <w:p>
      <w:pPr>
        <w:pStyle w:val="BodyText"/>
      </w:pPr>
      <w:r>
        <w:t xml:space="preserve">Wiedmann, T., Chen, G., Owen, A., Lenzen, M., Doust, M., Barrett, J., Steele, K., 2021. Three-scope carbon emission inventories of global cities. Journal of Industrial Ecology 25, 735–750. https://doi.org/10.1111/jiec.13063</w:t>
      </w:r>
    </w:p>
    <w:p>
      <w:pPr>
        <w:pStyle w:val="BodyText"/>
      </w:pPr>
      <w:r>
        <w:t xml:space="preserve">Wilson, C., Grubler, A., Bauer, N., Krey, V., Riahi, K., 2012. Future capacity growth of energy technologies: Are scenarios consistent with historical evidence? Climatic Change 118, 381–395. https://doi.org/10.1007/s10584-012-0618-y</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2026-05-19T07:26:55Z</dcterms:created>
  <dcterms:modified xsi:type="dcterms:W3CDTF">2026-05-19T07:26:55Z</dcterms:modified>
</cp:coreProperties>
</file>

<file path=docProps/custom.xml><?xml version="1.0" encoding="utf-8"?>
<Properties xmlns="http://schemas.openxmlformats.org/officeDocument/2006/custom-properties" xmlns:vt="http://schemas.openxmlformats.org/officeDocument/2006/docPropsVTypes"/>
</file>