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B238C" w14:textId="77777777" w:rsidR="00C67995" w:rsidRDefault="00C67995" w:rsidP="00C67995">
      <w:pPr>
        <w:spacing w:after="0" w:line="360" w:lineRule="auto"/>
        <w:jc w:val="both"/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Study of the ARHGAP21 protein in autophagy induced by glucose deprivation in prostate cancer cells</w:t>
      </w:r>
    </w:p>
    <w:p w14:paraId="122F6869" w14:textId="77777777" w:rsidR="00C67995" w:rsidRDefault="00C67995" w:rsidP="00C67995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3FC54E40" w14:textId="212AC88E" w:rsidR="00C67995" w:rsidRPr="00C2644E" w:rsidRDefault="00C67995" w:rsidP="00C67995">
      <w:pPr>
        <w:spacing w:after="0" w:line="360" w:lineRule="auto"/>
        <w:jc w:val="both"/>
        <w:rPr>
          <w:rStyle w:val="style3"/>
          <w:rFonts w:ascii="Arial" w:hAnsi="Arial" w:cs="Arial"/>
          <w:color w:val="70AD47" w:themeColor="accent6"/>
          <w:sz w:val="20"/>
          <w:szCs w:val="20"/>
          <w:lang w:val="en-US"/>
        </w:rPr>
      </w:pPr>
      <w:r w:rsidRPr="00C67995">
        <w:rPr>
          <w:rFonts w:ascii="Arial" w:hAnsi="Arial" w:cs="Arial"/>
          <w:sz w:val="20"/>
          <w:szCs w:val="20"/>
          <w:lang w:val="en-US"/>
        </w:rPr>
        <w:t>The</w:t>
      </w:r>
      <w:r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ARHGAP21 is a RhoGAP protein with important functions in tumorigenesis, such as adhesion, migration and cellular proliferation. We observed that ARHGAP21 silencing alters the expression of genes involved in </w:t>
      </w:r>
      <w:r w:rsidR="004544DE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glycolytic pathway and autophagy. We evaluated the autophagy induced by glucose deprivation in prostate adenocarcinoma cells (PC3 and LNCaP) with inhibited ARHGAP21 expression. The cells were transfected with a siRNA for ARHGAP21 inhibition and cultured in medium with varying glucose concentrations (2000, 250</w:t>
      </w:r>
      <w:r w:rsidRPr="00C67995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and 0 mg/L) for 72 hours. The autophagy was evaluated using acri</w:t>
      </w:r>
      <w:r w:rsidR="004544DE">
        <w:rPr>
          <w:rFonts w:ascii="Arial" w:hAnsi="Arial" w:cs="Arial"/>
          <w:sz w:val="20"/>
          <w:szCs w:val="20"/>
          <w:lang w:val="en-US"/>
        </w:rPr>
        <w:t xml:space="preserve">dine orange by flow </w:t>
      </w:r>
      <w:proofErr w:type="spellStart"/>
      <w:r w:rsidR="004544DE">
        <w:rPr>
          <w:rFonts w:ascii="Arial" w:hAnsi="Arial" w:cs="Arial"/>
          <w:sz w:val="20"/>
          <w:szCs w:val="20"/>
          <w:lang w:val="en-US"/>
        </w:rPr>
        <w:t>cytometry</w:t>
      </w:r>
      <w:proofErr w:type="spellEnd"/>
      <w:r w:rsidR="004544DE">
        <w:rPr>
          <w:rFonts w:ascii="Arial" w:hAnsi="Arial" w:cs="Arial"/>
          <w:sz w:val="20"/>
          <w:szCs w:val="20"/>
          <w:lang w:val="en-US"/>
        </w:rPr>
        <w:t>. A</w:t>
      </w:r>
      <w:r>
        <w:rPr>
          <w:rFonts w:ascii="Arial" w:hAnsi="Arial" w:cs="Arial"/>
          <w:sz w:val="20"/>
          <w:szCs w:val="20"/>
          <w:lang w:val="en-US"/>
        </w:rPr>
        <w:t>poptosis was also evaluated using anexin V by flow cytometry and mitochondrial activity was evaluated with a spectrophotometer.</w:t>
      </w:r>
      <w:r w:rsidR="00C2644E">
        <w:rPr>
          <w:rFonts w:ascii="Arial" w:hAnsi="Arial" w:cs="Arial"/>
          <w:sz w:val="20"/>
          <w:szCs w:val="20"/>
          <w:lang w:val="en-US"/>
        </w:rPr>
        <w:t xml:space="preserve"> </w:t>
      </w:r>
      <w:r w:rsidR="006E6C23">
        <w:rPr>
          <w:rFonts w:ascii="Arial" w:hAnsi="Arial" w:cs="Arial"/>
          <w:sz w:val="20"/>
          <w:szCs w:val="20"/>
          <w:lang w:val="en-US"/>
        </w:rPr>
        <w:t>We observed that glucose</w:t>
      </w:r>
      <w:r w:rsidR="006E6C23" w:rsidRPr="00C67995">
        <w:rPr>
          <w:rFonts w:ascii="Arial" w:hAnsi="Arial" w:cs="Arial"/>
          <w:sz w:val="20"/>
          <w:szCs w:val="20"/>
          <w:lang w:val="en-US"/>
        </w:rPr>
        <w:t>-</w:t>
      </w:r>
      <w:r w:rsidR="006E6C23">
        <w:rPr>
          <w:rFonts w:ascii="Arial" w:hAnsi="Arial" w:cs="Arial"/>
          <w:sz w:val="20"/>
          <w:szCs w:val="20"/>
          <w:lang w:val="en-US"/>
        </w:rPr>
        <w:t xml:space="preserve">deprivation stress induced autophagy, apoptosis and mitochondrial damage in both cell lines. Interestingly, LNCaP cells presented more autophagy and less apoptosis </w:t>
      </w:r>
      <w:r w:rsidR="005E62C5">
        <w:rPr>
          <w:rFonts w:ascii="Arial" w:hAnsi="Arial" w:cs="Arial"/>
          <w:sz w:val="20"/>
          <w:szCs w:val="20"/>
          <w:lang w:val="en-US"/>
        </w:rPr>
        <w:t>than the ones in</w:t>
      </w:r>
      <w:r w:rsidR="006E6C23">
        <w:rPr>
          <w:rFonts w:ascii="Arial" w:hAnsi="Arial" w:cs="Arial"/>
          <w:sz w:val="20"/>
          <w:szCs w:val="20"/>
          <w:lang w:val="en-US"/>
        </w:rPr>
        <w:t xml:space="preserve"> the control, evidencing the anti-autophagic and pro-apoptotic role of the ARHGAP21 in this type of cell. </w:t>
      </w:r>
      <w:r w:rsidR="005E62C5">
        <w:rPr>
          <w:rFonts w:ascii="Arial" w:hAnsi="Arial" w:cs="Arial"/>
          <w:sz w:val="20"/>
          <w:szCs w:val="20"/>
          <w:lang w:val="en-US"/>
        </w:rPr>
        <w:t xml:space="preserve"> We also studied </w:t>
      </w:r>
      <w:r w:rsidR="005E62C5">
        <w:rPr>
          <w:rFonts w:ascii="Arial" w:hAnsi="Arial" w:cs="Arial"/>
          <w:color w:val="5B9BD5" w:themeColor="accent1"/>
          <w:sz w:val="20"/>
          <w:szCs w:val="20"/>
          <w:lang w:val="en-US"/>
        </w:rPr>
        <w:t>t</w:t>
      </w:r>
      <w:r w:rsidRPr="00C67995">
        <w:rPr>
          <w:rFonts w:ascii="Arial" w:hAnsi="Arial" w:cs="Arial"/>
          <w:color w:val="5B9BD5" w:themeColor="accent1"/>
          <w:sz w:val="20"/>
          <w:szCs w:val="20"/>
          <w:lang w:val="en-US"/>
        </w:rPr>
        <w:t xml:space="preserve">he expression of autophagy-related genes </w:t>
      </w:r>
      <w:r w:rsidR="006E6C23">
        <w:rPr>
          <w:rFonts w:ascii="Arial" w:hAnsi="Arial" w:cs="Arial"/>
          <w:color w:val="5B9BD5" w:themeColor="accent1"/>
          <w:sz w:val="20"/>
          <w:szCs w:val="20"/>
          <w:lang w:val="en-US"/>
        </w:rPr>
        <w:t>and proteins</w:t>
      </w:r>
      <w:r w:rsidR="005E62C5">
        <w:rPr>
          <w:rFonts w:ascii="Arial" w:hAnsi="Arial" w:cs="Arial"/>
          <w:color w:val="5B9BD5" w:themeColor="accent1"/>
          <w:sz w:val="20"/>
          <w:szCs w:val="20"/>
          <w:lang w:val="en-US"/>
        </w:rPr>
        <w:t xml:space="preserve">, </w:t>
      </w:r>
      <w:r w:rsidR="005E62C5">
        <w:rPr>
          <w:rFonts w:ascii="Arial" w:hAnsi="Arial" w:cs="Arial"/>
          <w:color w:val="5B9BD5" w:themeColor="accent1"/>
          <w:sz w:val="20"/>
          <w:szCs w:val="20"/>
          <w:lang w:val="en-US"/>
        </w:rPr>
        <w:t>such as</w:t>
      </w:r>
      <w:r w:rsidR="005E62C5" w:rsidRPr="00C67995">
        <w:rPr>
          <w:rFonts w:ascii="Arial" w:hAnsi="Arial" w:cs="Arial"/>
          <w:color w:val="5B9BD5" w:themeColor="accent1"/>
          <w:sz w:val="20"/>
          <w:szCs w:val="20"/>
          <w:lang w:val="en-US"/>
        </w:rPr>
        <w:t xml:space="preserve"> p62, BECLIN</w:t>
      </w:r>
      <w:r w:rsidR="005E62C5">
        <w:rPr>
          <w:rFonts w:ascii="Arial" w:hAnsi="Arial" w:cs="Arial"/>
          <w:color w:val="5B9BD5" w:themeColor="accent1"/>
          <w:sz w:val="20"/>
          <w:szCs w:val="20"/>
          <w:lang w:val="en-US"/>
        </w:rPr>
        <w:t>, and</w:t>
      </w:r>
      <w:r w:rsidR="005E62C5" w:rsidRPr="00C67995">
        <w:rPr>
          <w:rFonts w:ascii="Arial" w:hAnsi="Arial" w:cs="Arial"/>
          <w:color w:val="5B9BD5" w:themeColor="accent1"/>
          <w:sz w:val="20"/>
          <w:szCs w:val="20"/>
          <w:lang w:val="en-US"/>
        </w:rPr>
        <w:t xml:space="preserve"> LC3</w:t>
      </w:r>
      <w:r w:rsidRPr="00C67995">
        <w:rPr>
          <w:rFonts w:ascii="Arial" w:hAnsi="Arial" w:cs="Arial"/>
          <w:color w:val="5B9BD5" w:themeColor="accent1"/>
          <w:sz w:val="20"/>
          <w:szCs w:val="20"/>
          <w:lang w:val="en-US"/>
        </w:rPr>
        <w:t xml:space="preserve"> by quantitative PCR and Western Blot</w:t>
      </w:r>
      <w:r w:rsidR="005E62C5">
        <w:rPr>
          <w:rFonts w:ascii="Arial" w:hAnsi="Arial" w:cs="Arial"/>
          <w:color w:val="5B9BD5" w:themeColor="accent1"/>
          <w:sz w:val="20"/>
          <w:szCs w:val="20"/>
          <w:lang w:val="en-US"/>
        </w:rPr>
        <w:t>. B</w:t>
      </w:r>
      <w:r w:rsidR="005E62C5">
        <w:rPr>
          <w:rStyle w:val="style3"/>
          <w:rFonts w:ascii="Arial" w:hAnsi="Arial" w:cs="Arial"/>
          <w:color w:val="5B9BD5" w:themeColor="accent1"/>
          <w:sz w:val="20"/>
          <w:szCs w:val="20"/>
          <w:lang w:val="en-US"/>
        </w:rPr>
        <w:t>oth</w:t>
      </w:r>
      <w:r w:rsidR="006E6C23">
        <w:rPr>
          <w:rStyle w:val="style3"/>
          <w:rFonts w:ascii="Arial" w:hAnsi="Arial" w:cs="Arial"/>
          <w:color w:val="5B9BD5" w:themeColor="accent1"/>
          <w:sz w:val="20"/>
          <w:szCs w:val="20"/>
          <w:lang w:val="en-US"/>
        </w:rPr>
        <w:t xml:space="preserve"> </w:t>
      </w:r>
      <w:r w:rsidRPr="00C67995">
        <w:rPr>
          <w:rStyle w:val="style3"/>
          <w:rFonts w:ascii="Arial" w:hAnsi="Arial" w:cs="Arial"/>
          <w:color w:val="5B9BD5" w:themeColor="accent1"/>
          <w:sz w:val="20"/>
          <w:szCs w:val="20"/>
          <w:lang w:val="en-US"/>
        </w:rPr>
        <w:t>L</w:t>
      </w:r>
      <w:bookmarkStart w:id="0" w:name="_GoBack"/>
      <w:bookmarkEnd w:id="0"/>
      <w:r w:rsidRPr="00C67995">
        <w:rPr>
          <w:rStyle w:val="style3"/>
          <w:rFonts w:ascii="Arial" w:hAnsi="Arial" w:cs="Arial"/>
          <w:color w:val="5B9BD5" w:themeColor="accent1"/>
          <w:sz w:val="20"/>
          <w:szCs w:val="20"/>
          <w:lang w:val="en-US"/>
        </w:rPr>
        <w:t>C3I and LC3II</w:t>
      </w:r>
      <w:r w:rsidR="005E62C5">
        <w:rPr>
          <w:rStyle w:val="style3"/>
          <w:rFonts w:ascii="Arial" w:hAnsi="Arial" w:cs="Arial"/>
          <w:color w:val="5B9BD5" w:themeColor="accent1"/>
          <w:sz w:val="20"/>
          <w:szCs w:val="20"/>
          <w:lang w:val="en-US"/>
        </w:rPr>
        <w:t xml:space="preserve"> isoforms were considered</w:t>
      </w:r>
      <w:r w:rsidRPr="00C67995">
        <w:rPr>
          <w:rStyle w:val="style3"/>
          <w:rFonts w:ascii="Arial" w:hAnsi="Arial" w:cs="Arial"/>
          <w:color w:val="5B9BD5" w:themeColor="accent1"/>
          <w:sz w:val="20"/>
          <w:szCs w:val="20"/>
          <w:lang w:val="en-US"/>
        </w:rPr>
        <w:t xml:space="preserve">, owning to the importance of the LC3I conversion into LC3II </w:t>
      </w:r>
      <w:r w:rsidR="005E62C5">
        <w:rPr>
          <w:rStyle w:val="style3"/>
          <w:rFonts w:ascii="Arial" w:hAnsi="Arial" w:cs="Arial"/>
          <w:color w:val="5B9BD5" w:themeColor="accent1"/>
          <w:sz w:val="20"/>
          <w:szCs w:val="20"/>
          <w:lang w:val="en-US"/>
        </w:rPr>
        <w:t>during</w:t>
      </w:r>
      <w:r w:rsidR="006E6C23">
        <w:rPr>
          <w:rStyle w:val="style3"/>
          <w:rFonts w:ascii="Arial" w:hAnsi="Arial" w:cs="Arial"/>
          <w:color w:val="5B9BD5" w:themeColor="accent1"/>
          <w:sz w:val="20"/>
          <w:szCs w:val="20"/>
          <w:lang w:val="en-US"/>
        </w:rPr>
        <w:t xml:space="preserve"> autophagy. </w:t>
      </w:r>
      <w:r>
        <w:rPr>
          <w:rStyle w:val="style3"/>
          <w:rFonts w:ascii="Arial" w:hAnsi="Arial" w:cs="Arial"/>
          <w:sz w:val="20"/>
          <w:szCs w:val="20"/>
          <w:lang w:val="en-US"/>
        </w:rPr>
        <w:t xml:space="preserve">We observed that, in LNCaP cells, the glucose deprivation increased the </w:t>
      </w:r>
      <w:r w:rsidR="006E6C23">
        <w:rPr>
          <w:rStyle w:val="style3"/>
          <w:rFonts w:ascii="Arial" w:hAnsi="Arial" w:cs="Arial"/>
          <w:sz w:val="20"/>
          <w:szCs w:val="20"/>
          <w:lang w:val="en-US"/>
        </w:rPr>
        <w:t xml:space="preserve">gene </w:t>
      </w:r>
      <w:r>
        <w:rPr>
          <w:rStyle w:val="style3"/>
          <w:rFonts w:ascii="Arial" w:hAnsi="Arial" w:cs="Arial"/>
          <w:sz w:val="20"/>
          <w:szCs w:val="20"/>
          <w:lang w:val="en-US"/>
        </w:rPr>
        <w:t xml:space="preserve">expression of p62, BECLIN, and LC3, all of which are involved in the autophagic process. In LNCaP cells, we also observed an increase in the </w:t>
      </w:r>
      <w:r w:rsidR="006E6C23">
        <w:rPr>
          <w:rStyle w:val="style3"/>
          <w:rFonts w:ascii="Arial" w:hAnsi="Arial" w:cs="Arial"/>
          <w:sz w:val="20"/>
          <w:szCs w:val="20"/>
          <w:lang w:val="en-US"/>
        </w:rPr>
        <w:t xml:space="preserve">protein </w:t>
      </w:r>
      <w:r>
        <w:rPr>
          <w:rStyle w:val="style3"/>
          <w:rFonts w:ascii="Arial" w:hAnsi="Arial" w:cs="Arial"/>
          <w:sz w:val="20"/>
          <w:szCs w:val="20"/>
          <w:lang w:val="en-US"/>
        </w:rPr>
        <w:t>expression of the LC3II and p62 when those cells had the ARHGAP21 protein inhibited</w:t>
      </w:r>
      <w:r w:rsidRPr="00523CC4">
        <w:rPr>
          <w:rStyle w:val="style3"/>
          <w:rFonts w:ascii="Arial" w:hAnsi="Arial" w:cs="Arial"/>
          <w:color w:val="ED7D31" w:themeColor="accent2"/>
          <w:sz w:val="20"/>
          <w:szCs w:val="20"/>
          <w:lang w:val="en-US"/>
        </w:rPr>
        <w:t xml:space="preserve">. </w:t>
      </w:r>
      <w:r w:rsidR="00C2644E" w:rsidRPr="00523CC4">
        <w:rPr>
          <w:rFonts w:ascii="Arial" w:hAnsi="Arial" w:cs="Arial"/>
          <w:color w:val="ED7D31" w:themeColor="accent2"/>
          <w:sz w:val="20"/>
          <w:szCs w:val="20"/>
          <w:lang w:val="en-US"/>
        </w:rPr>
        <w:t>Similar modulation in the autophagic process was not observed in PC3 cells</w:t>
      </w:r>
      <w:r w:rsidR="00C2644E">
        <w:rPr>
          <w:rFonts w:ascii="Arial" w:hAnsi="Arial" w:cs="Arial"/>
          <w:color w:val="ED7D31" w:themeColor="accent2"/>
          <w:sz w:val="20"/>
          <w:szCs w:val="20"/>
          <w:lang w:val="en-US"/>
        </w:rPr>
        <w:t>.</w:t>
      </w:r>
      <w:r w:rsidR="00C2644E" w:rsidRPr="00523CC4">
        <w:rPr>
          <w:rStyle w:val="style3"/>
          <w:rFonts w:ascii="Arial" w:hAnsi="Arial" w:cs="Arial"/>
          <w:color w:val="ED7D31" w:themeColor="accent2"/>
          <w:sz w:val="20"/>
          <w:szCs w:val="20"/>
          <w:lang w:val="en-US"/>
        </w:rPr>
        <w:t xml:space="preserve"> </w:t>
      </w:r>
    </w:p>
    <w:p w14:paraId="0F57B961" w14:textId="77777777" w:rsidR="00C67995" w:rsidRPr="00C67995" w:rsidRDefault="00C67995" w:rsidP="00C67995">
      <w:pPr>
        <w:rPr>
          <w:lang w:val="en-US"/>
        </w:rPr>
      </w:pPr>
    </w:p>
    <w:p w14:paraId="336F86B2" w14:textId="77777777" w:rsidR="009D6061" w:rsidRPr="00C67995" w:rsidRDefault="009D6061">
      <w:pPr>
        <w:rPr>
          <w:lang w:val="en-US"/>
        </w:rPr>
      </w:pPr>
    </w:p>
    <w:sectPr w:rsidR="009D6061" w:rsidRPr="00C67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95"/>
    <w:rsid w:val="004544DE"/>
    <w:rsid w:val="00523CC4"/>
    <w:rsid w:val="005E62C5"/>
    <w:rsid w:val="006E6C23"/>
    <w:rsid w:val="009D6061"/>
    <w:rsid w:val="00C2644E"/>
    <w:rsid w:val="00C6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D5C1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99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">
    <w:name w:val="style3"/>
    <w:basedOn w:val="DefaultParagraphFont"/>
    <w:rsid w:val="00C679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99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">
    <w:name w:val="style3"/>
    <w:basedOn w:val="DefaultParagraphFont"/>
    <w:rsid w:val="00C67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Bueno de Paiva</dc:creator>
  <cp:keywords/>
  <dc:description/>
  <cp:lastModifiedBy>Rafael C Lopes De Sa</cp:lastModifiedBy>
  <cp:revision>2</cp:revision>
  <dcterms:created xsi:type="dcterms:W3CDTF">2014-05-14T00:14:00Z</dcterms:created>
  <dcterms:modified xsi:type="dcterms:W3CDTF">2014-05-14T00:14:00Z</dcterms:modified>
</cp:coreProperties>
</file>